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E9FF2">
      <w:pPr>
        <w:jc w:val="center"/>
        <w:rPr>
          <w:b/>
          <w:bCs/>
          <w:color w:val="auto"/>
          <w:sz w:val="52"/>
          <w:szCs w:val="52"/>
        </w:rPr>
      </w:pPr>
      <w:bookmarkStart w:id="0" w:name="_Toc18425"/>
      <w:bookmarkStart w:id="1" w:name="_Toc16589"/>
    </w:p>
    <w:p w14:paraId="7FBB493A">
      <w:pPr>
        <w:jc w:val="center"/>
        <w:rPr>
          <w:b/>
          <w:bCs/>
          <w:color w:val="auto"/>
          <w:sz w:val="52"/>
          <w:szCs w:val="52"/>
        </w:rPr>
      </w:pPr>
    </w:p>
    <w:p w14:paraId="0AD298FD">
      <w:pPr>
        <w:ind w:left="0" w:leftChars="0" w:firstLine="0" w:firstLineChars="0"/>
        <w:jc w:val="center"/>
        <w:rPr>
          <w:rFonts w:hint="eastAsia"/>
          <w:b/>
          <w:bCs/>
          <w:color w:val="auto"/>
          <w:sz w:val="52"/>
          <w:szCs w:val="52"/>
        </w:rPr>
      </w:pPr>
      <w:r>
        <w:rPr>
          <w:rFonts w:hint="eastAsia"/>
          <w:b/>
          <w:bCs/>
          <w:color w:val="auto"/>
          <w:sz w:val="52"/>
          <w:szCs w:val="52"/>
          <w:lang w:eastAsia="zh-CN"/>
        </w:rPr>
        <w:t>岳阳县鹿角交通渔政综合</w:t>
      </w:r>
      <w:r>
        <w:rPr>
          <w:rFonts w:hint="eastAsia"/>
          <w:b/>
          <w:bCs/>
          <w:color w:val="auto"/>
          <w:sz w:val="52"/>
          <w:szCs w:val="52"/>
          <w:lang w:val="en-US" w:eastAsia="zh-CN"/>
        </w:rPr>
        <w:t>执法</w:t>
      </w:r>
      <w:r>
        <w:rPr>
          <w:rFonts w:hint="eastAsia"/>
          <w:b/>
          <w:bCs/>
          <w:color w:val="auto"/>
          <w:sz w:val="52"/>
          <w:szCs w:val="52"/>
          <w:lang w:eastAsia="zh-CN"/>
        </w:rPr>
        <w:t>码头提质改造工程</w:t>
      </w:r>
      <w:r>
        <w:rPr>
          <w:rFonts w:hint="eastAsia"/>
          <w:b/>
          <w:bCs/>
          <w:color w:val="auto"/>
          <w:sz w:val="52"/>
          <w:szCs w:val="52"/>
        </w:rPr>
        <w:t>项目</w:t>
      </w:r>
    </w:p>
    <w:p w14:paraId="6C5BF611">
      <w:pPr>
        <w:ind w:left="0" w:leftChars="0" w:firstLine="0" w:firstLineChars="0"/>
        <w:jc w:val="center"/>
        <w:rPr>
          <w:b/>
          <w:color w:val="auto"/>
          <w:sz w:val="52"/>
          <w:szCs w:val="52"/>
        </w:rPr>
      </w:pPr>
      <w:r>
        <w:rPr>
          <w:b/>
          <w:color w:val="auto"/>
          <w:sz w:val="52"/>
          <w:szCs w:val="52"/>
        </w:rPr>
        <w:t>环境影响报告书</w:t>
      </w:r>
    </w:p>
    <w:p w14:paraId="52C67B21">
      <w:pPr>
        <w:jc w:val="center"/>
        <w:rPr>
          <w:rFonts w:hint="eastAsia" w:eastAsia="宋体"/>
          <w:b/>
          <w:color w:val="auto"/>
          <w:sz w:val="32"/>
          <w:szCs w:val="32"/>
          <w:lang w:eastAsia="zh-CN"/>
        </w:rPr>
      </w:pPr>
      <w:r>
        <w:rPr>
          <w:rFonts w:hint="eastAsia"/>
          <w:b/>
          <w:color w:val="auto"/>
          <w:sz w:val="32"/>
          <w:szCs w:val="32"/>
          <w:lang w:eastAsia="zh-CN"/>
        </w:rPr>
        <w:t>（</w:t>
      </w:r>
      <w:r>
        <w:rPr>
          <w:rFonts w:hint="eastAsia"/>
          <w:b/>
          <w:color w:val="auto"/>
          <w:sz w:val="32"/>
          <w:szCs w:val="32"/>
          <w:lang w:val="en-US" w:eastAsia="zh-CN"/>
        </w:rPr>
        <w:t>送审稿</w:t>
      </w:r>
      <w:r>
        <w:rPr>
          <w:rFonts w:hint="eastAsia"/>
          <w:b/>
          <w:color w:val="auto"/>
          <w:sz w:val="32"/>
          <w:szCs w:val="32"/>
          <w:lang w:eastAsia="zh-CN"/>
        </w:rPr>
        <w:t>）</w:t>
      </w:r>
    </w:p>
    <w:p w14:paraId="05D357FF">
      <w:pPr>
        <w:jc w:val="center"/>
        <w:rPr>
          <w:b/>
          <w:color w:val="auto"/>
          <w:sz w:val="32"/>
          <w:szCs w:val="32"/>
        </w:rPr>
      </w:pPr>
    </w:p>
    <w:p w14:paraId="511E0205">
      <w:pPr>
        <w:jc w:val="center"/>
        <w:rPr>
          <w:b/>
          <w:color w:val="auto"/>
          <w:sz w:val="32"/>
          <w:szCs w:val="32"/>
        </w:rPr>
      </w:pPr>
    </w:p>
    <w:p w14:paraId="294A264E">
      <w:pPr>
        <w:jc w:val="center"/>
        <w:rPr>
          <w:b/>
          <w:color w:val="auto"/>
          <w:sz w:val="32"/>
          <w:szCs w:val="32"/>
        </w:rPr>
      </w:pPr>
    </w:p>
    <w:p w14:paraId="479B82E0">
      <w:pPr>
        <w:jc w:val="center"/>
        <w:rPr>
          <w:b/>
          <w:color w:val="auto"/>
          <w:sz w:val="32"/>
          <w:szCs w:val="32"/>
        </w:rPr>
      </w:pPr>
    </w:p>
    <w:p w14:paraId="74B7AFBB">
      <w:pPr>
        <w:jc w:val="center"/>
        <w:rPr>
          <w:b/>
          <w:color w:val="auto"/>
          <w:sz w:val="32"/>
          <w:szCs w:val="32"/>
        </w:rPr>
      </w:pPr>
    </w:p>
    <w:p w14:paraId="42E2C7C7">
      <w:pPr>
        <w:rPr>
          <w:color w:val="auto"/>
          <w:sz w:val="32"/>
          <w:szCs w:val="32"/>
        </w:rPr>
      </w:pPr>
    </w:p>
    <w:p w14:paraId="329E060A">
      <w:pPr>
        <w:rPr>
          <w:color w:val="auto"/>
          <w:sz w:val="32"/>
          <w:szCs w:val="32"/>
        </w:rPr>
      </w:pPr>
    </w:p>
    <w:p w14:paraId="74885E88">
      <w:pPr>
        <w:jc w:val="left"/>
        <w:rPr>
          <w:color w:val="auto"/>
          <w:sz w:val="32"/>
          <w:szCs w:val="32"/>
        </w:rPr>
      </w:pPr>
    </w:p>
    <w:p w14:paraId="6786D2A6">
      <w:pPr>
        <w:keepNext w:val="0"/>
        <w:keepLines w:val="0"/>
        <w:pageBreakBefore w:val="0"/>
        <w:widowControl w:val="0"/>
        <w:kinsoku/>
        <w:wordWrap/>
        <w:overflowPunct/>
        <w:topLinePunct w:val="0"/>
        <w:autoSpaceDE/>
        <w:autoSpaceDN/>
        <w:bidi w:val="0"/>
        <w:adjustRightInd/>
        <w:snapToGrid/>
        <w:spacing w:line="720" w:lineRule="auto"/>
        <w:ind w:firstLine="1066" w:firstLineChars="295"/>
        <w:jc w:val="left"/>
        <w:textAlignment w:val="auto"/>
        <w:rPr>
          <w:b/>
          <w:color w:val="auto"/>
          <w:sz w:val="36"/>
          <w:szCs w:val="36"/>
        </w:rPr>
      </w:pPr>
      <w:r>
        <w:rPr>
          <w:b/>
          <w:color w:val="auto"/>
          <w:sz w:val="36"/>
          <w:szCs w:val="36"/>
        </w:rPr>
        <w:t>建设单位：</w:t>
      </w:r>
      <w:r>
        <w:rPr>
          <w:rFonts w:hint="eastAsia" w:ascii="Times New Roman" w:hAnsi="Times New Roman" w:eastAsia="宋体" w:cs="Times New Roman"/>
          <w:b/>
          <w:color w:val="auto"/>
          <w:sz w:val="36"/>
          <w:szCs w:val="36"/>
          <w:lang w:val="en-US" w:eastAsia="zh-CN"/>
        </w:rPr>
        <w:t>岳阳县东洞庭湖渔政监察执法局</w:t>
      </w:r>
    </w:p>
    <w:p w14:paraId="4FC7629E">
      <w:pPr>
        <w:keepNext w:val="0"/>
        <w:keepLines w:val="0"/>
        <w:pageBreakBefore w:val="0"/>
        <w:widowControl w:val="0"/>
        <w:kinsoku/>
        <w:wordWrap/>
        <w:overflowPunct/>
        <w:topLinePunct w:val="0"/>
        <w:autoSpaceDE/>
        <w:autoSpaceDN/>
        <w:bidi w:val="0"/>
        <w:adjustRightInd/>
        <w:snapToGrid/>
        <w:spacing w:line="720" w:lineRule="auto"/>
        <w:ind w:firstLine="1066" w:firstLineChars="295"/>
        <w:jc w:val="left"/>
        <w:textAlignment w:val="auto"/>
        <w:rPr>
          <w:b/>
          <w:color w:val="auto"/>
          <w:sz w:val="36"/>
          <w:szCs w:val="36"/>
        </w:rPr>
      </w:pPr>
      <w:r>
        <w:rPr>
          <w:b/>
          <w:color w:val="auto"/>
          <w:sz w:val="36"/>
          <w:szCs w:val="36"/>
        </w:rPr>
        <w:t>评价单位：湖南联智环境技术有限公司</w:t>
      </w:r>
    </w:p>
    <w:p w14:paraId="666BD480">
      <w:pPr>
        <w:keepNext w:val="0"/>
        <w:keepLines w:val="0"/>
        <w:pageBreakBefore w:val="0"/>
        <w:widowControl w:val="0"/>
        <w:kinsoku/>
        <w:wordWrap/>
        <w:overflowPunct/>
        <w:topLinePunct w:val="0"/>
        <w:autoSpaceDE/>
        <w:autoSpaceDN/>
        <w:bidi w:val="0"/>
        <w:adjustRightInd/>
        <w:snapToGrid/>
        <w:spacing w:line="720" w:lineRule="auto"/>
        <w:ind w:firstLine="1066" w:firstLineChars="295"/>
        <w:jc w:val="left"/>
        <w:textAlignment w:val="auto"/>
        <w:rPr>
          <w:b/>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b/>
          <w:color w:val="auto"/>
          <w:sz w:val="36"/>
          <w:szCs w:val="36"/>
        </w:rPr>
        <w:t>编制时间：二〇二</w:t>
      </w:r>
      <w:r>
        <w:rPr>
          <w:rFonts w:hint="eastAsia"/>
          <w:b/>
          <w:color w:val="auto"/>
          <w:sz w:val="36"/>
          <w:szCs w:val="36"/>
          <w:lang w:val="en-US" w:eastAsia="zh-CN"/>
        </w:rPr>
        <w:t>五</w:t>
      </w:r>
      <w:r>
        <w:rPr>
          <w:b/>
          <w:color w:val="auto"/>
          <w:sz w:val="36"/>
          <w:szCs w:val="36"/>
        </w:rPr>
        <w:t>年</w:t>
      </w:r>
      <w:r>
        <w:rPr>
          <w:rFonts w:hint="eastAsia"/>
          <w:b/>
          <w:color w:val="auto"/>
          <w:sz w:val="36"/>
          <w:szCs w:val="36"/>
          <w:lang w:val="en-US" w:eastAsia="zh-CN"/>
        </w:rPr>
        <w:t>四</w:t>
      </w:r>
      <w:r>
        <w:rPr>
          <w:b/>
          <w:color w:val="auto"/>
          <w:sz w:val="36"/>
          <w:szCs w:val="36"/>
        </w:rPr>
        <w:t>月</w:t>
      </w:r>
    </w:p>
    <w:p w14:paraId="47640897">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8BC4A84">
      <w:pPr>
        <w:ind w:left="0" w:leftChars="0" w:firstLine="0" w:firstLineChars="0"/>
      </w:pPr>
      <w:r>
        <w:drawing>
          <wp:inline distT="0" distB="0" distL="114300" distR="114300">
            <wp:extent cx="5271135" cy="6496685"/>
            <wp:effectExtent l="0" t="0" r="5715" b="1841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0"/>
                    <a:stretch>
                      <a:fillRect/>
                    </a:stretch>
                  </pic:blipFill>
                  <pic:spPr>
                    <a:xfrm>
                      <a:off x="0" y="0"/>
                      <a:ext cx="5271135" cy="6496685"/>
                    </a:xfrm>
                    <a:prstGeom prst="rect">
                      <a:avLst/>
                    </a:prstGeom>
                    <a:noFill/>
                    <a:ln>
                      <a:noFill/>
                    </a:ln>
                  </pic:spPr>
                </pic:pic>
              </a:graphicData>
            </a:graphic>
          </wp:inline>
        </w:drawing>
      </w:r>
    </w:p>
    <w:p w14:paraId="08A48277">
      <w:pPr>
        <w:ind w:left="0" w:leftChars="0" w:firstLine="0" w:firstLineChars="0"/>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z w:val="28"/>
          <w:szCs w:val="28"/>
          <w:lang w:val="en-US" w:eastAsia="zh-CN"/>
        </w:rPr>
        <w:t xml:space="preserve"> </w:t>
      </w:r>
    </w:p>
    <w:p w14:paraId="1023EFBE">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36"/>
          <w:szCs w:val="36"/>
        </w:rPr>
        <w:t>目录</w:t>
      </w:r>
    </w:p>
    <w:p w14:paraId="1BCEB4EE">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"1-2"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_Toc15547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1、概述</w:t>
      </w:r>
      <w:r>
        <w:rPr>
          <w:color w:val="auto"/>
        </w:rPr>
        <w:tab/>
      </w:r>
      <w:r>
        <w:rPr>
          <w:color w:val="auto"/>
        </w:rPr>
        <w:fldChar w:fldCharType="begin"/>
      </w:r>
      <w:r>
        <w:rPr>
          <w:color w:val="auto"/>
        </w:rPr>
        <w:instrText xml:space="preserve"> PAGEREF _Toc15547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rPr>
        <w:fldChar w:fldCharType="end"/>
      </w:r>
    </w:p>
    <w:p w14:paraId="7B98733D">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_Toc5459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1.1项目由来</w:t>
      </w:r>
      <w:r>
        <w:rPr>
          <w:color w:val="auto"/>
        </w:rPr>
        <w:tab/>
      </w:r>
      <w:r>
        <w:rPr>
          <w:color w:val="auto"/>
        </w:rPr>
        <w:fldChar w:fldCharType="begin"/>
      </w:r>
      <w:r>
        <w:rPr>
          <w:color w:val="auto"/>
        </w:rPr>
        <w:instrText xml:space="preserve"> PAGEREF _Toc5459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rPr>
        <w:fldChar w:fldCharType="end"/>
      </w:r>
    </w:p>
    <w:p w14:paraId="0EAAC1F1">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_Toc9022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1.2环境影响评价的工作过程</w:t>
      </w:r>
      <w:r>
        <w:rPr>
          <w:color w:val="auto"/>
        </w:rPr>
        <w:tab/>
      </w:r>
      <w:r>
        <w:rPr>
          <w:color w:val="auto"/>
        </w:rPr>
        <w:fldChar w:fldCharType="begin"/>
      </w:r>
      <w:r>
        <w:rPr>
          <w:color w:val="auto"/>
        </w:rPr>
        <w:instrText xml:space="preserve"> PAGEREF _Toc9022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5CA96479">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_Toc22195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1.3分析判定相关环保政策</w:t>
      </w:r>
      <w:r>
        <w:rPr>
          <w:color w:val="auto"/>
        </w:rPr>
        <w:tab/>
      </w:r>
      <w:r>
        <w:rPr>
          <w:color w:val="auto"/>
        </w:rPr>
        <w:fldChar w:fldCharType="begin"/>
      </w:r>
      <w:r>
        <w:rPr>
          <w:color w:val="auto"/>
        </w:rPr>
        <w:instrText xml:space="preserve"> PAGEREF _Toc22195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rPr>
        <w:fldChar w:fldCharType="end"/>
      </w:r>
    </w:p>
    <w:p w14:paraId="622E722A">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_Toc20428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w:t>
      </w:r>
      <w:r>
        <w:rPr>
          <w:rFonts w:hint="default"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rPr>
        <w:t>主要环境问题及环境影响</w:t>
      </w:r>
      <w:r>
        <w:rPr>
          <w:color w:val="auto"/>
        </w:rPr>
        <w:tab/>
      </w:r>
      <w:r>
        <w:rPr>
          <w:color w:val="auto"/>
        </w:rPr>
        <w:fldChar w:fldCharType="begin"/>
      </w:r>
      <w:r>
        <w:rPr>
          <w:color w:val="auto"/>
        </w:rPr>
        <w:instrText xml:space="preserve"> PAGEREF _Toc20428 \h </w:instrText>
      </w:r>
      <w:r>
        <w:rPr>
          <w:color w:val="auto"/>
        </w:rPr>
        <w:fldChar w:fldCharType="separate"/>
      </w:r>
      <w:r>
        <w:rPr>
          <w:color w:val="auto"/>
        </w:rPr>
        <w:t>18</w:t>
      </w:r>
      <w:r>
        <w:rPr>
          <w:color w:val="auto"/>
        </w:rPr>
        <w:fldChar w:fldCharType="end"/>
      </w:r>
      <w:r>
        <w:rPr>
          <w:rFonts w:hint="default" w:ascii="Times New Roman" w:hAnsi="Times New Roman" w:eastAsia="宋体" w:cs="Times New Roman"/>
          <w:color w:val="auto"/>
        </w:rPr>
        <w:fldChar w:fldCharType="end"/>
      </w:r>
    </w:p>
    <w:p w14:paraId="0866B611">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_Toc15303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w:t>
      </w:r>
      <w:r>
        <w:rPr>
          <w:rFonts w:hint="default"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环境影响评价主要结论</w:t>
      </w:r>
      <w:r>
        <w:rPr>
          <w:color w:val="auto"/>
        </w:rPr>
        <w:tab/>
      </w:r>
      <w:r>
        <w:rPr>
          <w:color w:val="auto"/>
        </w:rPr>
        <w:fldChar w:fldCharType="begin"/>
      </w:r>
      <w:r>
        <w:rPr>
          <w:color w:val="auto"/>
        </w:rPr>
        <w:instrText xml:space="preserve"> PAGEREF _Toc15303 \h </w:instrText>
      </w:r>
      <w:r>
        <w:rPr>
          <w:color w:val="auto"/>
        </w:rPr>
        <w:fldChar w:fldCharType="separate"/>
      </w:r>
      <w:r>
        <w:rPr>
          <w:color w:val="auto"/>
        </w:rPr>
        <w:t>19</w:t>
      </w:r>
      <w:r>
        <w:rPr>
          <w:color w:val="auto"/>
        </w:rPr>
        <w:fldChar w:fldCharType="end"/>
      </w:r>
      <w:r>
        <w:rPr>
          <w:rFonts w:hint="default" w:ascii="Times New Roman" w:hAnsi="Times New Roman" w:eastAsia="宋体" w:cs="Times New Roman"/>
          <w:color w:val="auto"/>
        </w:rPr>
        <w:fldChar w:fldCharType="end"/>
      </w:r>
    </w:p>
    <w:p w14:paraId="3845635A">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_Toc31986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2、总则</w:t>
      </w:r>
      <w:r>
        <w:rPr>
          <w:color w:val="auto"/>
        </w:rPr>
        <w:tab/>
      </w:r>
      <w:r>
        <w:rPr>
          <w:color w:val="auto"/>
        </w:rPr>
        <w:fldChar w:fldCharType="begin"/>
      </w:r>
      <w:r>
        <w:rPr>
          <w:color w:val="auto"/>
        </w:rPr>
        <w:instrText xml:space="preserve"> PAGEREF _Toc31986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rPr>
        <w:fldChar w:fldCharType="end"/>
      </w:r>
    </w:p>
    <w:p w14:paraId="49A585D6">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_Toc18759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2.1编制依据</w:t>
      </w:r>
      <w:r>
        <w:rPr>
          <w:color w:val="auto"/>
        </w:rPr>
        <w:tab/>
      </w:r>
      <w:r>
        <w:rPr>
          <w:color w:val="auto"/>
        </w:rPr>
        <w:fldChar w:fldCharType="begin"/>
      </w:r>
      <w:r>
        <w:rPr>
          <w:color w:val="auto"/>
        </w:rPr>
        <w:instrText xml:space="preserve"> PAGEREF _Toc18759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rPr>
        <w:fldChar w:fldCharType="end"/>
      </w:r>
    </w:p>
    <w:p w14:paraId="5C71710E">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_Toc5942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2.2</w:t>
      </w:r>
      <w:r>
        <w:rPr>
          <w:rFonts w:hint="eastAsia" w:cs="Times New Roman"/>
          <w:color w:val="auto"/>
          <w:szCs w:val="28"/>
          <w:lang w:val="en-US" w:eastAsia="zh-CN"/>
        </w:rPr>
        <w:t>环境影响评价要素识别及</w:t>
      </w:r>
      <w:r>
        <w:rPr>
          <w:rFonts w:hint="default" w:ascii="Times New Roman" w:hAnsi="Times New Roman" w:eastAsia="宋体" w:cs="Times New Roman"/>
          <w:color w:val="auto"/>
          <w:szCs w:val="28"/>
        </w:rPr>
        <w:t>评价因子</w:t>
      </w:r>
      <w:r>
        <w:rPr>
          <w:rFonts w:hint="eastAsia" w:cs="Times New Roman"/>
          <w:color w:val="auto"/>
          <w:szCs w:val="28"/>
          <w:lang w:val="en-US" w:eastAsia="zh-CN"/>
        </w:rPr>
        <w:t>筛选</w:t>
      </w:r>
      <w:r>
        <w:rPr>
          <w:color w:val="auto"/>
        </w:rPr>
        <w:tab/>
      </w:r>
      <w:r>
        <w:rPr>
          <w:color w:val="auto"/>
        </w:rPr>
        <w:fldChar w:fldCharType="begin"/>
      </w:r>
      <w:r>
        <w:rPr>
          <w:color w:val="auto"/>
        </w:rPr>
        <w:instrText xml:space="preserve"> PAGEREF _Toc5942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color w:val="auto"/>
        </w:rPr>
        <w:fldChar w:fldCharType="end"/>
      </w:r>
    </w:p>
    <w:p w14:paraId="4658B905">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_Toc11598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w:t>
      </w:r>
      <w:r>
        <w:rPr>
          <w:rFonts w:hint="eastAsia" w:cs="Times New Roman"/>
          <w:color w:val="auto"/>
          <w:szCs w:val="28"/>
          <w:lang w:val="en-US" w:eastAsia="zh-CN"/>
        </w:rPr>
        <w:t>3环境功能区划</w:t>
      </w:r>
      <w:r>
        <w:rPr>
          <w:color w:val="auto"/>
        </w:rPr>
        <w:tab/>
      </w:r>
      <w:r>
        <w:rPr>
          <w:color w:val="auto"/>
        </w:rPr>
        <w:fldChar w:fldCharType="begin"/>
      </w:r>
      <w:r>
        <w:rPr>
          <w:color w:val="auto"/>
        </w:rPr>
        <w:instrText xml:space="preserve"> PAGEREF _Toc11598 \h </w:instrText>
      </w:r>
      <w:r>
        <w:rPr>
          <w:color w:val="auto"/>
        </w:rPr>
        <w:fldChar w:fldCharType="separate"/>
      </w:r>
      <w:r>
        <w:rPr>
          <w:color w:val="auto"/>
        </w:rPr>
        <w:t>24</w:t>
      </w:r>
      <w:r>
        <w:rPr>
          <w:color w:val="auto"/>
        </w:rPr>
        <w:fldChar w:fldCharType="end"/>
      </w:r>
      <w:r>
        <w:rPr>
          <w:rFonts w:hint="default" w:ascii="Times New Roman" w:hAnsi="Times New Roman" w:eastAsia="宋体" w:cs="Times New Roman"/>
          <w:color w:val="auto"/>
        </w:rPr>
        <w:fldChar w:fldCharType="end"/>
      </w:r>
    </w:p>
    <w:p w14:paraId="3F45D8FE">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_Toc24904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w:t>
      </w:r>
      <w:r>
        <w:rPr>
          <w:rFonts w:hint="eastAsia" w:cs="Times New Roman"/>
          <w:color w:val="auto"/>
          <w:szCs w:val="28"/>
          <w:lang w:val="en-US" w:eastAsia="zh-CN"/>
        </w:rPr>
        <w:t>4评价标准</w:t>
      </w:r>
      <w:r>
        <w:rPr>
          <w:color w:val="auto"/>
        </w:rPr>
        <w:tab/>
      </w:r>
      <w:r>
        <w:rPr>
          <w:color w:val="auto"/>
        </w:rPr>
        <w:fldChar w:fldCharType="begin"/>
      </w:r>
      <w:r>
        <w:rPr>
          <w:color w:val="auto"/>
        </w:rPr>
        <w:instrText xml:space="preserve"> PAGEREF _Toc24904 \h </w:instrText>
      </w:r>
      <w:r>
        <w:rPr>
          <w:color w:val="auto"/>
        </w:rPr>
        <w:fldChar w:fldCharType="separate"/>
      </w:r>
      <w:r>
        <w:rPr>
          <w:color w:val="auto"/>
        </w:rPr>
        <w:t>26</w:t>
      </w:r>
      <w:r>
        <w:rPr>
          <w:color w:val="auto"/>
        </w:rPr>
        <w:fldChar w:fldCharType="end"/>
      </w:r>
      <w:r>
        <w:rPr>
          <w:rFonts w:hint="default" w:ascii="Times New Roman" w:hAnsi="Times New Roman" w:eastAsia="宋体" w:cs="Times New Roman"/>
          <w:color w:val="auto"/>
        </w:rPr>
        <w:fldChar w:fldCharType="end"/>
      </w:r>
    </w:p>
    <w:p w14:paraId="1A0539F5">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_Toc16583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w:t>
      </w:r>
      <w:r>
        <w:rPr>
          <w:rFonts w:hint="eastAsia" w:cs="Times New Roman"/>
          <w:color w:val="auto"/>
          <w:szCs w:val="28"/>
          <w:lang w:val="en-US" w:eastAsia="zh-CN"/>
        </w:rPr>
        <w:t>5</w:t>
      </w:r>
      <w:r>
        <w:rPr>
          <w:rFonts w:hint="default" w:ascii="Times New Roman" w:hAnsi="Times New Roman" w:eastAsia="宋体" w:cs="Times New Roman"/>
          <w:color w:val="auto"/>
          <w:szCs w:val="28"/>
        </w:rPr>
        <w:t>评价工作等级</w:t>
      </w:r>
      <w:r>
        <w:rPr>
          <w:rFonts w:hint="eastAsia" w:cs="Times New Roman"/>
          <w:color w:val="auto"/>
          <w:szCs w:val="28"/>
          <w:lang w:val="en-US" w:eastAsia="zh-CN"/>
        </w:rPr>
        <w:t>及评价范围</w:t>
      </w:r>
      <w:r>
        <w:rPr>
          <w:color w:val="auto"/>
        </w:rPr>
        <w:tab/>
      </w:r>
      <w:r>
        <w:rPr>
          <w:color w:val="auto"/>
        </w:rPr>
        <w:fldChar w:fldCharType="begin"/>
      </w:r>
      <w:r>
        <w:rPr>
          <w:color w:val="auto"/>
        </w:rPr>
        <w:instrText xml:space="preserve"> PAGEREF _Toc16583 \h </w:instrText>
      </w:r>
      <w:r>
        <w:rPr>
          <w:color w:val="auto"/>
        </w:rPr>
        <w:fldChar w:fldCharType="separate"/>
      </w:r>
      <w:r>
        <w:rPr>
          <w:color w:val="auto"/>
        </w:rPr>
        <w:t>28</w:t>
      </w:r>
      <w:r>
        <w:rPr>
          <w:color w:val="auto"/>
        </w:rPr>
        <w:fldChar w:fldCharType="end"/>
      </w:r>
      <w:r>
        <w:rPr>
          <w:rFonts w:hint="default" w:ascii="Times New Roman" w:hAnsi="Times New Roman" w:eastAsia="宋体" w:cs="Times New Roman"/>
          <w:color w:val="auto"/>
        </w:rPr>
        <w:fldChar w:fldCharType="end"/>
      </w:r>
    </w:p>
    <w:p w14:paraId="3B83B45A">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_Toc21882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w:t>
      </w:r>
      <w:r>
        <w:rPr>
          <w:rFonts w:hint="eastAsia" w:cs="Times New Roman"/>
          <w:color w:val="auto"/>
          <w:szCs w:val="28"/>
          <w:lang w:val="en-US" w:eastAsia="zh-CN"/>
        </w:rPr>
        <w:t>6评价重点</w:t>
      </w:r>
      <w:r>
        <w:rPr>
          <w:color w:val="auto"/>
        </w:rPr>
        <w:tab/>
      </w:r>
      <w:r>
        <w:rPr>
          <w:color w:val="auto"/>
        </w:rPr>
        <w:fldChar w:fldCharType="begin"/>
      </w:r>
      <w:r>
        <w:rPr>
          <w:color w:val="auto"/>
        </w:rPr>
        <w:instrText xml:space="preserve"> PAGEREF _Toc21882 \h </w:instrText>
      </w:r>
      <w:r>
        <w:rPr>
          <w:color w:val="auto"/>
        </w:rPr>
        <w:fldChar w:fldCharType="separate"/>
      </w:r>
      <w:r>
        <w:rPr>
          <w:color w:val="auto"/>
        </w:rPr>
        <w:t>35</w:t>
      </w:r>
      <w:r>
        <w:rPr>
          <w:color w:val="auto"/>
        </w:rPr>
        <w:fldChar w:fldCharType="end"/>
      </w:r>
      <w:r>
        <w:rPr>
          <w:rFonts w:hint="default" w:ascii="Times New Roman" w:hAnsi="Times New Roman" w:eastAsia="宋体" w:cs="Times New Roman"/>
          <w:color w:val="auto"/>
        </w:rPr>
        <w:fldChar w:fldCharType="end"/>
      </w:r>
    </w:p>
    <w:p w14:paraId="73351F2B">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_Toc19839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2.</w:t>
      </w:r>
      <w:r>
        <w:rPr>
          <w:rFonts w:hint="eastAsia" w:cs="Times New Roman"/>
          <w:color w:val="auto"/>
          <w:szCs w:val="28"/>
          <w:lang w:val="en-US" w:eastAsia="zh-CN"/>
        </w:rPr>
        <w:t>7</w:t>
      </w:r>
      <w:r>
        <w:rPr>
          <w:rFonts w:hint="default" w:ascii="Times New Roman" w:hAnsi="Times New Roman" w:eastAsia="宋体" w:cs="Times New Roman"/>
          <w:color w:val="auto"/>
          <w:szCs w:val="28"/>
        </w:rPr>
        <w:t>环境</w:t>
      </w:r>
      <w:r>
        <w:rPr>
          <w:rFonts w:hint="eastAsia" w:cs="Times New Roman"/>
          <w:color w:val="auto"/>
          <w:szCs w:val="28"/>
          <w:lang w:val="en-US" w:eastAsia="zh-CN"/>
        </w:rPr>
        <w:t>保护</w:t>
      </w:r>
      <w:r>
        <w:rPr>
          <w:rFonts w:hint="default" w:ascii="Times New Roman" w:hAnsi="Times New Roman" w:eastAsia="宋体" w:cs="Times New Roman"/>
          <w:color w:val="auto"/>
          <w:szCs w:val="28"/>
        </w:rPr>
        <w:t>目标</w:t>
      </w:r>
      <w:r>
        <w:rPr>
          <w:color w:val="auto"/>
        </w:rPr>
        <w:tab/>
      </w:r>
      <w:r>
        <w:rPr>
          <w:color w:val="auto"/>
        </w:rPr>
        <w:fldChar w:fldCharType="begin"/>
      </w:r>
      <w:r>
        <w:rPr>
          <w:color w:val="auto"/>
        </w:rPr>
        <w:instrText xml:space="preserve"> PAGEREF _Toc19839 \h </w:instrText>
      </w:r>
      <w:r>
        <w:rPr>
          <w:color w:val="auto"/>
        </w:rPr>
        <w:fldChar w:fldCharType="separate"/>
      </w:r>
      <w:r>
        <w:rPr>
          <w:color w:val="auto"/>
        </w:rPr>
        <w:t>35</w:t>
      </w:r>
      <w:r>
        <w:rPr>
          <w:color w:val="auto"/>
        </w:rPr>
        <w:fldChar w:fldCharType="end"/>
      </w:r>
      <w:r>
        <w:rPr>
          <w:rFonts w:hint="default" w:ascii="Times New Roman" w:hAnsi="Times New Roman" w:eastAsia="宋体" w:cs="Times New Roman"/>
          <w:color w:val="auto"/>
        </w:rPr>
        <w:fldChar w:fldCharType="end"/>
      </w:r>
    </w:p>
    <w:p w14:paraId="16B4BF25">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_Toc5123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工程</w:t>
      </w:r>
      <w:r>
        <w:rPr>
          <w:rFonts w:hint="default" w:ascii="Times New Roman" w:hAnsi="Times New Roman" w:eastAsia="宋体" w:cs="Times New Roman"/>
          <w:color w:val="auto"/>
          <w:lang w:eastAsia="zh-CN"/>
        </w:rPr>
        <w:t>概况</w:t>
      </w:r>
      <w:r>
        <w:rPr>
          <w:rFonts w:hint="default" w:ascii="Times New Roman" w:hAnsi="Times New Roman" w:eastAsia="宋体" w:cs="Times New Roman"/>
          <w:color w:val="auto"/>
          <w:lang w:val="en-US" w:eastAsia="zh-CN"/>
        </w:rPr>
        <w:t>与工程分析</w:t>
      </w:r>
      <w:r>
        <w:rPr>
          <w:color w:val="auto"/>
        </w:rPr>
        <w:tab/>
      </w:r>
      <w:r>
        <w:rPr>
          <w:color w:val="auto"/>
        </w:rPr>
        <w:fldChar w:fldCharType="begin"/>
      </w:r>
      <w:r>
        <w:rPr>
          <w:color w:val="auto"/>
        </w:rPr>
        <w:instrText xml:space="preserve"> PAGEREF _Toc5123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rPr>
        <w:fldChar w:fldCharType="end"/>
      </w:r>
    </w:p>
    <w:p w14:paraId="0D3641C4">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w:t>
      </w:r>
      <w:r>
        <w:rPr>
          <w:rFonts w:hint="eastAsia" w:cs="Times New Roman"/>
          <w:color w:val="auto"/>
          <w:szCs w:val="28"/>
          <w:lang w:val="en-US" w:eastAsia="zh-CN"/>
        </w:rPr>
        <w:t>1建设</w:t>
      </w:r>
      <w:r>
        <w:rPr>
          <w:rFonts w:hint="default" w:ascii="Times New Roman" w:hAnsi="Times New Roman" w:eastAsia="宋体" w:cs="Times New Roman"/>
          <w:color w:val="auto"/>
          <w:szCs w:val="28"/>
          <w:lang w:val="en-US" w:eastAsia="zh-CN"/>
        </w:rPr>
        <w:t>项目概况</w:t>
      </w:r>
      <w:r>
        <w:rPr>
          <w:color w:val="auto"/>
        </w:rPr>
        <w:tab/>
      </w:r>
      <w:r>
        <w:rPr>
          <w:color w:val="auto"/>
        </w:rPr>
        <w:fldChar w:fldCharType="begin"/>
      </w:r>
      <w:r>
        <w:rPr>
          <w:color w:val="auto"/>
        </w:rPr>
        <w:instrText xml:space="preserve"> PAGEREF _Toc498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rPr>
        <w:fldChar w:fldCharType="end"/>
      </w:r>
    </w:p>
    <w:p w14:paraId="6A94C940">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_Toc19490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w:t>
      </w:r>
      <w:r>
        <w:rPr>
          <w:rFonts w:hint="eastAsia" w:cs="Times New Roman"/>
          <w:color w:val="auto"/>
          <w:szCs w:val="28"/>
          <w:lang w:val="en-US" w:eastAsia="zh-CN"/>
        </w:rPr>
        <w:t>2</w:t>
      </w:r>
      <w:r>
        <w:rPr>
          <w:rFonts w:hint="default" w:ascii="Times New Roman" w:hAnsi="Times New Roman" w:eastAsia="宋体" w:cs="Times New Roman"/>
          <w:color w:val="auto"/>
          <w:szCs w:val="28"/>
          <w:lang w:val="en-US" w:eastAsia="zh-CN"/>
        </w:rPr>
        <w:t xml:space="preserve"> </w:t>
      </w:r>
      <w:r>
        <w:rPr>
          <w:rFonts w:hint="eastAsia" w:cs="Times New Roman"/>
          <w:color w:val="auto"/>
          <w:szCs w:val="28"/>
          <w:lang w:val="en-US" w:eastAsia="zh-CN"/>
        </w:rPr>
        <w:t>总</w:t>
      </w:r>
      <w:r>
        <w:rPr>
          <w:rFonts w:hint="default" w:ascii="Times New Roman" w:hAnsi="Times New Roman" w:eastAsia="宋体" w:cs="Times New Roman"/>
          <w:color w:val="auto"/>
          <w:szCs w:val="28"/>
          <w:lang w:val="en-US" w:eastAsia="zh-CN"/>
        </w:rPr>
        <w:t>平面布置</w:t>
      </w:r>
      <w:r>
        <w:rPr>
          <w:color w:val="auto"/>
        </w:rPr>
        <w:tab/>
      </w:r>
      <w:r>
        <w:rPr>
          <w:color w:val="auto"/>
        </w:rPr>
        <w:fldChar w:fldCharType="begin"/>
      </w:r>
      <w:r>
        <w:rPr>
          <w:color w:val="auto"/>
        </w:rPr>
        <w:instrText xml:space="preserve"> PAGEREF _Toc19490 \h </w:instrText>
      </w:r>
      <w:r>
        <w:rPr>
          <w:color w:val="auto"/>
        </w:rPr>
        <w:fldChar w:fldCharType="separate"/>
      </w:r>
      <w:r>
        <w:rPr>
          <w:color w:val="auto"/>
        </w:rPr>
        <w:t>44</w:t>
      </w:r>
      <w:r>
        <w:rPr>
          <w:color w:val="auto"/>
        </w:rPr>
        <w:fldChar w:fldCharType="end"/>
      </w:r>
      <w:r>
        <w:rPr>
          <w:rFonts w:hint="default" w:ascii="Times New Roman" w:hAnsi="Times New Roman" w:eastAsia="宋体" w:cs="Times New Roman"/>
          <w:color w:val="auto"/>
        </w:rPr>
        <w:fldChar w:fldCharType="end"/>
      </w:r>
    </w:p>
    <w:p w14:paraId="41E8FED5">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_Toc26695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w:t>
      </w:r>
      <w:r>
        <w:rPr>
          <w:rFonts w:hint="eastAsia" w:cs="Times New Roman"/>
          <w:color w:val="auto"/>
          <w:szCs w:val="28"/>
          <w:lang w:val="en-US" w:eastAsia="zh-CN"/>
        </w:rPr>
        <w:t>3</w:t>
      </w:r>
      <w:r>
        <w:rPr>
          <w:rFonts w:hint="default" w:ascii="Times New Roman" w:hAnsi="Times New Roman" w:eastAsia="宋体" w:cs="Times New Roman"/>
          <w:color w:val="auto"/>
          <w:szCs w:val="28"/>
          <w:lang w:val="en-US" w:eastAsia="zh-CN"/>
        </w:rPr>
        <w:t xml:space="preserve"> </w:t>
      </w:r>
      <w:r>
        <w:rPr>
          <w:rFonts w:hint="eastAsia" w:cs="Times New Roman"/>
          <w:color w:val="auto"/>
          <w:szCs w:val="28"/>
          <w:lang w:val="en-US" w:eastAsia="zh-CN"/>
        </w:rPr>
        <w:t>水工建筑物</w:t>
      </w:r>
      <w:r>
        <w:rPr>
          <w:color w:val="auto"/>
        </w:rPr>
        <w:tab/>
      </w:r>
      <w:r>
        <w:rPr>
          <w:color w:val="auto"/>
        </w:rPr>
        <w:fldChar w:fldCharType="begin"/>
      </w:r>
      <w:r>
        <w:rPr>
          <w:color w:val="auto"/>
        </w:rPr>
        <w:instrText xml:space="preserve"> PAGEREF _Toc26695 \h </w:instrText>
      </w:r>
      <w:r>
        <w:rPr>
          <w:color w:val="auto"/>
        </w:rPr>
        <w:fldChar w:fldCharType="separate"/>
      </w:r>
      <w:r>
        <w:rPr>
          <w:color w:val="auto"/>
        </w:rPr>
        <w:t>46</w:t>
      </w:r>
      <w:r>
        <w:rPr>
          <w:color w:val="auto"/>
        </w:rPr>
        <w:fldChar w:fldCharType="end"/>
      </w:r>
      <w:r>
        <w:rPr>
          <w:rFonts w:hint="default" w:ascii="Times New Roman" w:hAnsi="Times New Roman" w:eastAsia="宋体" w:cs="Times New Roman"/>
          <w:color w:val="auto"/>
        </w:rPr>
        <w:fldChar w:fldCharType="end"/>
      </w:r>
    </w:p>
    <w:p w14:paraId="287EEFA5">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_Toc16293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 xml:space="preserve">3.4 </w:t>
      </w:r>
      <w:r>
        <w:rPr>
          <w:rFonts w:hint="eastAsia" w:cs="Times New Roman"/>
          <w:color w:val="auto"/>
          <w:szCs w:val="28"/>
          <w:lang w:val="en-US" w:eastAsia="zh-CN"/>
        </w:rPr>
        <w:t>趸船工程及码头浮桥</w:t>
      </w:r>
      <w:r>
        <w:rPr>
          <w:color w:val="auto"/>
        </w:rPr>
        <w:tab/>
      </w:r>
      <w:r>
        <w:rPr>
          <w:color w:val="auto"/>
        </w:rPr>
        <w:fldChar w:fldCharType="begin"/>
      </w:r>
      <w:r>
        <w:rPr>
          <w:color w:val="auto"/>
        </w:rPr>
        <w:instrText xml:space="preserve"> PAGEREF _Toc16293 \h </w:instrText>
      </w:r>
      <w:r>
        <w:rPr>
          <w:color w:val="auto"/>
        </w:rPr>
        <w:fldChar w:fldCharType="separate"/>
      </w:r>
      <w:r>
        <w:rPr>
          <w:color w:val="auto"/>
        </w:rPr>
        <w:t>46</w:t>
      </w:r>
      <w:r>
        <w:rPr>
          <w:color w:val="auto"/>
        </w:rPr>
        <w:fldChar w:fldCharType="end"/>
      </w:r>
      <w:r>
        <w:rPr>
          <w:rFonts w:hint="default" w:ascii="Times New Roman" w:hAnsi="Times New Roman" w:eastAsia="宋体" w:cs="Times New Roman"/>
          <w:color w:val="auto"/>
        </w:rPr>
        <w:fldChar w:fldCharType="end"/>
      </w:r>
    </w:p>
    <w:p w14:paraId="5A2FE7DE">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_Toc8788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3.5 公用工程</w:t>
      </w:r>
      <w:r>
        <w:rPr>
          <w:color w:val="auto"/>
        </w:rPr>
        <w:tab/>
      </w:r>
      <w:r>
        <w:rPr>
          <w:color w:val="auto"/>
        </w:rPr>
        <w:fldChar w:fldCharType="begin"/>
      </w:r>
      <w:r>
        <w:rPr>
          <w:color w:val="auto"/>
        </w:rPr>
        <w:instrText xml:space="preserve"> PAGEREF _Toc8788 \h </w:instrText>
      </w:r>
      <w:r>
        <w:rPr>
          <w:color w:val="auto"/>
        </w:rPr>
        <w:fldChar w:fldCharType="separate"/>
      </w:r>
      <w:r>
        <w:rPr>
          <w:color w:val="auto"/>
        </w:rPr>
        <w:t>47</w:t>
      </w:r>
      <w:r>
        <w:rPr>
          <w:color w:val="auto"/>
        </w:rPr>
        <w:fldChar w:fldCharType="end"/>
      </w:r>
      <w:r>
        <w:rPr>
          <w:rFonts w:hint="default" w:ascii="Times New Roman" w:hAnsi="Times New Roman" w:eastAsia="宋体" w:cs="Times New Roman"/>
          <w:color w:val="auto"/>
        </w:rPr>
        <w:fldChar w:fldCharType="end"/>
      </w:r>
    </w:p>
    <w:p w14:paraId="7271F220">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_Toc15201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3.6施工</w:t>
      </w:r>
      <w:r>
        <w:rPr>
          <w:rFonts w:hint="eastAsia" w:cs="Times New Roman"/>
          <w:color w:val="auto"/>
          <w:szCs w:val="28"/>
          <w:lang w:val="en-US" w:eastAsia="zh-CN"/>
        </w:rPr>
        <w:t>组织方案</w:t>
      </w:r>
      <w:r>
        <w:rPr>
          <w:rFonts w:hint="default" w:ascii="Times New Roman" w:hAnsi="Times New Roman" w:eastAsia="宋体" w:cs="Times New Roman"/>
          <w:color w:val="auto"/>
          <w:szCs w:val="28"/>
          <w:lang w:val="en-US" w:eastAsia="zh-CN"/>
        </w:rPr>
        <w:t>方法及施工流程</w:t>
      </w:r>
      <w:r>
        <w:rPr>
          <w:color w:val="auto"/>
        </w:rPr>
        <w:tab/>
      </w:r>
      <w:r>
        <w:rPr>
          <w:color w:val="auto"/>
        </w:rPr>
        <w:fldChar w:fldCharType="begin"/>
      </w:r>
      <w:r>
        <w:rPr>
          <w:color w:val="auto"/>
        </w:rPr>
        <w:instrText xml:space="preserve"> PAGEREF _Toc15201 \h </w:instrText>
      </w:r>
      <w:r>
        <w:rPr>
          <w:color w:val="auto"/>
        </w:rPr>
        <w:fldChar w:fldCharType="separate"/>
      </w:r>
      <w:r>
        <w:rPr>
          <w:color w:val="auto"/>
        </w:rPr>
        <w:t>49</w:t>
      </w:r>
      <w:r>
        <w:rPr>
          <w:color w:val="auto"/>
        </w:rPr>
        <w:fldChar w:fldCharType="end"/>
      </w:r>
      <w:r>
        <w:rPr>
          <w:rFonts w:hint="default" w:ascii="Times New Roman" w:hAnsi="Times New Roman" w:eastAsia="宋体" w:cs="Times New Roman"/>
          <w:color w:val="auto"/>
        </w:rPr>
        <w:fldChar w:fldCharType="end"/>
      </w:r>
    </w:p>
    <w:p w14:paraId="4B6217D0">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_Toc31394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3.7 环境影响因素分析</w:t>
      </w:r>
      <w:r>
        <w:rPr>
          <w:color w:val="auto"/>
        </w:rPr>
        <w:tab/>
      </w:r>
      <w:r>
        <w:rPr>
          <w:color w:val="auto"/>
        </w:rPr>
        <w:fldChar w:fldCharType="begin"/>
      </w:r>
      <w:r>
        <w:rPr>
          <w:color w:val="auto"/>
        </w:rPr>
        <w:instrText xml:space="preserve"> PAGEREF _Toc31394 \h </w:instrText>
      </w:r>
      <w:r>
        <w:rPr>
          <w:color w:val="auto"/>
        </w:rPr>
        <w:fldChar w:fldCharType="separate"/>
      </w:r>
      <w:r>
        <w:rPr>
          <w:color w:val="auto"/>
        </w:rPr>
        <w:t>50</w:t>
      </w:r>
      <w:r>
        <w:rPr>
          <w:color w:val="auto"/>
        </w:rPr>
        <w:fldChar w:fldCharType="end"/>
      </w:r>
      <w:r>
        <w:rPr>
          <w:rFonts w:hint="default" w:ascii="Times New Roman" w:hAnsi="Times New Roman" w:eastAsia="宋体" w:cs="Times New Roman"/>
          <w:color w:val="auto"/>
        </w:rPr>
        <w:fldChar w:fldCharType="end"/>
      </w:r>
    </w:p>
    <w:p w14:paraId="3C94AD8B">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_Toc29843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3.9</w:t>
      </w:r>
      <w:r>
        <w:rPr>
          <w:rFonts w:hint="default" w:ascii="Times New Roman" w:hAnsi="Times New Roman" w:eastAsia="宋体" w:cs="Times New Roman"/>
          <w:color w:val="auto"/>
          <w:szCs w:val="28"/>
        </w:rPr>
        <w:t>污染物排放量汇总</w:t>
      </w:r>
      <w:r>
        <w:rPr>
          <w:color w:val="auto"/>
        </w:rPr>
        <w:tab/>
      </w:r>
      <w:r>
        <w:rPr>
          <w:color w:val="auto"/>
        </w:rPr>
        <w:fldChar w:fldCharType="begin"/>
      </w:r>
      <w:r>
        <w:rPr>
          <w:color w:val="auto"/>
        </w:rPr>
        <w:instrText xml:space="preserve"> PAGEREF _Toc29843 \h </w:instrText>
      </w:r>
      <w:r>
        <w:rPr>
          <w:color w:val="auto"/>
        </w:rPr>
        <w:fldChar w:fldCharType="separate"/>
      </w:r>
      <w:r>
        <w:rPr>
          <w:color w:val="auto"/>
        </w:rPr>
        <w:t>61</w:t>
      </w:r>
      <w:r>
        <w:rPr>
          <w:color w:val="auto"/>
        </w:rPr>
        <w:fldChar w:fldCharType="end"/>
      </w:r>
      <w:r>
        <w:rPr>
          <w:rFonts w:hint="default" w:ascii="Times New Roman" w:hAnsi="Times New Roman" w:eastAsia="宋体" w:cs="Times New Roman"/>
          <w:color w:val="auto"/>
        </w:rPr>
        <w:fldChar w:fldCharType="end"/>
      </w:r>
    </w:p>
    <w:p w14:paraId="5F35D77E">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_Toc6866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4、环境质量现状调查与评价</w:t>
      </w:r>
      <w:r>
        <w:rPr>
          <w:color w:val="auto"/>
        </w:rPr>
        <w:tab/>
      </w:r>
      <w:r>
        <w:rPr>
          <w:color w:val="auto"/>
        </w:rPr>
        <w:fldChar w:fldCharType="begin"/>
      </w:r>
      <w:r>
        <w:rPr>
          <w:color w:val="auto"/>
        </w:rPr>
        <w:instrText xml:space="preserve"> PAGEREF _Toc6866 \h </w:instrText>
      </w:r>
      <w:r>
        <w:rPr>
          <w:color w:val="auto"/>
        </w:rPr>
        <w:fldChar w:fldCharType="separate"/>
      </w:r>
      <w:r>
        <w:rPr>
          <w:color w:val="auto"/>
        </w:rPr>
        <w:t>63</w:t>
      </w:r>
      <w:r>
        <w:rPr>
          <w:color w:val="auto"/>
        </w:rPr>
        <w:fldChar w:fldCharType="end"/>
      </w:r>
      <w:r>
        <w:rPr>
          <w:rFonts w:hint="default" w:ascii="Times New Roman" w:hAnsi="Times New Roman" w:eastAsia="宋体" w:cs="Times New Roman"/>
          <w:color w:val="auto"/>
        </w:rPr>
        <w:fldChar w:fldCharType="end"/>
      </w:r>
    </w:p>
    <w:p w14:paraId="6B96880E">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_Toc31315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4.1 区域自然环境概况</w:t>
      </w:r>
      <w:r>
        <w:rPr>
          <w:color w:val="auto"/>
        </w:rPr>
        <w:tab/>
      </w:r>
      <w:r>
        <w:rPr>
          <w:color w:val="auto"/>
        </w:rPr>
        <w:fldChar w:fldCharType="begin"/>
      </w:r>
      <w:r>
        <w:rPr>
          <w:color w:val="auto"/>
        </w:rPr>
        <w:instrText xml:space="preserve"> PAGEREF _Toc31315 \h </w:instrText>
      </w:r>
      <w:r>
        <w:rPr>
          <w:color w:val="auto"/>
        </w:rPr>
        <w:fldChar w:fldCharType="separate"/>
      </w:r>
      <w:r>
        <w:rPr>
          <w:color w:val="auto"/>
        </w:rPr>
        <w:t>63</w:t>
      </w:r>
      <w:r>
        <w:rPr>
          <w:color w:val="auto"/>
        </w:rPr>
        <w:fldChar w:fldCharType="end"/>
      </w:r>
      <w:r>
        <w:rPr>
          <w:rFonts w:hint="default" w:ascii="Times New Roman" w:hAnsi="Times New Roman" w:eastAsia="宋体" w:cs="Times New Roman"/>
          <w:color w:val="auto"/>
        </w:rPr>
        <w:fldChar w:fldCharType="end"/>
      </w:r>
    </w:p>
    <w:p w14:paraId="4565BB82">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_Toc31175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4.2 湖南东洞庭湖国家级自然保护区概况</w:t>
      </w:r>
      <w:r>
        <w:rPr>
          <w:color w:val="auto"/>
        </w:rPr>
        <w:tab/>
      </w:r>
      <w:r>
        <w:rPr>
          <w:color w:val="auto"/>
        </w:rPr>
        <w:fldChar w:fldCharType="begin"/>
      </w:r>
      <w:r>
        <w:rPr>
          <w:color w:val="auto"/>
        </w:rPr>
        <w:instrText xml:space="preserve"> PAGEREF _Toc31175 \h </w:instrText>
      </w:r>
      <w:r>
        <w:rPr>
          <w:color w:val="auto"/>
        </w:rPr>
        <w:fldChar w:fldCharType="separate"/>
      </w:r>
      <w:r>
        <w:rPr>
          <w:color w:val="auto"/>
        </w:rPr>
        <w:t>66</w:t>
      </w:r>
      <w:r>
        <w:rPr>
          <w:color w:val="auto"/>
        </w:rPr>
        <w:fldChar w:fldCharType="end"/>
      </w:r>
      <w:r>
        <w:rPr>
          <w:rFonts w:hint="default" w:ascii="Times New Roman" w:hAnsi="Times New Roman" w:eastAsia="宋体" w:cs="Times New Roman"/>
          <w:color w:val="auto"/>
        </w:rPr>
        <w:fldChar w:fldCharType="end"/>
      </w:r>
    </w:p>
    <w:p w14:paraId="2C10A858">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_Toc9076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4.</w:t>
      </w:r>
      <w:r>
        <w:rPr>
          <w:rFonts w:hint="eastAsia" w:cs="Times New Roman"/>
          <w:color w:val="auto"/>
          <w:szCs w:val="28"/>
          <w:lang w:val="en-US" w:eastAsia="zh-CN"/>
        </w:rPr>
        <w:t>3</w:t>
      </w:r>
      <w:r>
        <w:rPr>
          <w:rFonts w:hint="default" w:ascii="Times New Roman" w:hAnsi="Times New Roman" w:eastAsia="宋体" w:cs="Times New Roman"/>
          <w:color w:val="auto"/>
          <w:szCs w:val="28"/>
          <w:lang w:val="en-US" w:eastAsia="zh-CN"/>
        </w:rPr>
        <w:t xml:space="preserve"> 东洞庭湖江豚自然保护区概况</w:t>
      </w:r>
      <w:r>
        <w:rPr>
          <w:color w:val="auto"/>
        </w:rPr>
        <w:tab/>
      </w:r>
      <w:r>
        <w:rPr>
          <w:color w:val="auto"/>
        </w:rPr>
        <w:fldChar w:fldCharType="begin"/>
      </w:r>
      <w:r>
        <w:rPr>
          <w:color w:val="auto"/>
        </w:rPr>
        <w:instrText xml:space="preserve"> PAGEREF _Toc9076 \h </w:instrText>
      </w:r>
      <w:r>
        <w:rPr>
          <w:color w:val="auto"/>
        </w:rPr>
        <w:fldChar w:fldCharType="separate"/>
      </w:r>
      <w:r>
        <w:rPr>
          <w:color w:val="auto"/>
        </w:rPr>
        <w:t>68</w:t>
      </w:r>
      <w:r>
        <w:rPr>
          <w:color w:val="auto"/>
        </w:rPr>
        <w:fldChar w:fldCharType="end"/>
      </w:r>
      <w:r>
        <w:rPr>
          <w:rFonts w:hint="default" w:ascii="Times New Roman" w:hAnsi="Times New Roman" w:eastAsia="宋体" w:cs="Times New Roman"/>
          <w:color w:val="auto"/>
        </w:rPr>
        <w:fldChar w:fldCharType="end"/>
      </w:r>
    </w:p>
    <w:p w14:paraId="09085730">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_Toc26755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4.</w:t>
      </w:r>
      <w:r>
        <w:rPr>
          <w:rFonts w:hint="eastAsia" w:cs="Times New Roman"/>
          <w:color w:val="auto"/>
          <w:szCs w:val="28"/>
          <w:lang w:val="en-US" w:eastAsia="zh-CN"/>
        </w:rPr>
        <w:t>4</w:t>
      </w:r>
      <w:r>
        <w:rPr>
          <w:rFonts w:hint="default" w:ascii="Times New Roman" w:hAnsi="Times New Roman" w:eastAsia="宋体" w:cs="Times New Roman"/>
          <w:color w:val="auto"/>
          <w:szCs w:val="28"/>
        </w:rPr>
        <w:t>东洞庭湖鲤鲫黄颡鱼国家级水产种质资源保护区概况</w:t>
      </w:r>
      <w:r>
        <w:rPr>
          <w:color w:val="auto"/>
        </w:rPr>
        <w:tab/>
      </w:r>
      <w:r>
        <w:rPr>
          <w:color w:val="auto"/>
        </w:rPr>
        <w:fldChar w:fldCharType="begin"/>
      </w:r>
      <w:r>
        <w:rPr>
          <w:color w:val="auto"/>
        </w:rPr>
        <w:instrText xml:space="preserve"> PAGEREF _Toc26755 \h </w:instrText>
      </w:r>
      <w:r>
        <w:rPr>
          <w:color w:val="auto"/>
        </w:rPr>
        <w:fldChar w:fldCharType="separate"/>
      </w:r>
      <w:r>
        <w:rPr>
          <w:color w:val="auto"/>
        </w:rPr>
        <w:t>72</w:t>
      </w:r>
      <w:r>
        <w:rPr>
          <w:color w:val="auto"/>
        </w:rPr>
        <w:fldChar w:fldCharType="end"/>
      </w:r>
      <w:r>
        <w:rPr>
          <w:rFonts w:hint="default" w:ascii="Times New Roman" w:hAnsi="Times New Roman" w:eastAsia="宋体" w:cs="Times New Roman"/>
          <w:color w:val="auto"/>
        </w:rPr>
        <w:fldChar w:fldCharType="end"/>
      </w:r>
    </w:p>
    <w:p w14:paraId="6822E81D">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_Toc25733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4.</w:t>
      </w:r>
      <w:r>
        <w:rPr>
          <w:rFonts w:hint="eastAsia" w:cs="Times New Roman"/>
          <w:color w:val="auto"/>
          <w:szCs w:val="28"/>
          <w:lang w:val="en-US" w:eastAsia="zh-CN"/>
        </w:rPr>
        <w:t>5</w:t>
      </w:r>
      <w:r>
        <w:rPr>
          <w:rFonts w:hint="default" w:ascii="Times New Roman" w:hAnsi="Times New Roman" w:eastAsia="宋体" w:cs="Times New Roman"/>
          <w:color w:val="auto"/>
          <w:szCs w:val="28"/>
          <w:lang w:val="en-US" w:eastAsia="zh-CN"/>
        </w:rPr>
        <w:t xml:space="preserve"> 区域环境质量概况</w:t>
      </w:r>
      <w:r>
        <w:rPr>
          <w:color w:val="auto"/>
        </w:rPr>
        <w:tab/>
      </w:r>
      <w:r>
        <w:rPr>
          <w:color w:val="auto"/>
        </w:rPr>
        <w:fldChar w:fldCharType="begin"/>
      </w:r>
      <w:r>
        <w:rPr>
          <w:color w:val="auto"/>
        </w:rPr>
        <w:instrText xml:space="preserve"> PAGEREF _Toc25733 \h </w:instrText>
      </w:r>
      <w:r>
        <w:rPr>
          <w:color w:val="auto"/>
        </w:rPr>
        <w:fldChar w:fldCharType="separate"/>
      </w:r>
      <w:r>
        <w:rPr>
          <w:color w:val="auto"/>
        </w:rPr>
        <w:t>76</w:t>
      </w:r>
      <w:r>
        <w:rPr>
          <w:color w:val="auto"/>
        </w:rPr>
        <w:fldChar w:fldCharType="end"/>
      </w:r>
      <w:r>
        <w:rPr>
          <w:rFonts w:hint="default" w:ascii="Times New Roman" w:hAnsi="Times New Roman" w:eastAsia="宋体" w:cs="Times New Roman"/>
          <w:color w:val="auto"/>
        </w:rPr>
        <w:fldChar w:fldCharType="end"/>
      </w:r>
    </w:p>
    <w:p w14:paraId="2BFED276">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_Toc6815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5、环境影响预测与评价</w:t>
      </w:r>
      <w:r>
        <w:rPr>
          <w:color w:val="auto"/>
        </w:rPr>
        <w:tab/>
      </w:r>
      <w:r>
        <w:rPr>
          <w:color w:val="auto"/>
        </w:rPr>
        <w:fldChar w:fldCharType="begin"/>
      </w:r>
      <w:r>
        <w:rPr>
          <w:color w:val="auto"/>
        </w:rPr>
        <w:instrText xml:space="preserve"> PAGEREF _Toc6815 \h </w:instrText>
      </w:r>
      <w:r>
        <w:rPr>
          <w:color w:val="auto"/>
        </w:rPr>
        <w:fldChar w:fldCharType="separate"/>
      </w:r>
      <w:r>
        <w:rPr>
          <w:color w:val="auto"/>
        </w:rPr>
        <w:t>144</w:t>
      </w:r>
      <w:r>
        <w:rPr>
          <w:color w:val="auto"/>
        </w:rPr>
        <w:fldChar w:fldCharType="end"/>
      </w:r>
      <w:r>
        <w:rPr>
          <w:rFonts w:hint="default" w:ascii="Times New Roman" w:hAnsi="Times New Roman" w:eastAsia="宋体" w:cs="Times New Roman"/>
          <w:color w:val="auto"/>
        </w:rPr>
        <w:fldChar w:fldCharType="end"/>
      </w:r>
    </w:p>
    <w:p w14:paraId="6BDDD748">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_Toc5850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.1施工期环境影响分析</w:t>
      </w:r>
      <w:r>
        <w:rPr>
          <w:color w:val="auto"/>
        </w:rPr>
        <w:tab/>
      </w:r>
      <w:r>
        <w:rPr>
          <w:color w:val="auto"/>
        </w:rPr>
        <w:fldChar w:fldCharType="begin"/>
      </w:r>
      <w:r>
        <w:rPr>
          <w:color w:val="auto"/>
        </w:rPr>
        <w:instrText xml:space="preserve"> PAGEREF _Toc5850 \h </w:instrText>
      </w:r>
      <w:r>
        <w:rPr>
          <w:color w:val="auto"/>
        </w:rPr>
        <w:fldChar w:fldCharType="separate"/>
      </w:r>
      <w:r>
        <w:rPr>
          <w:color w:val="auto"/>
        </w:rPr>
        <w:t>144</w:t>
      </w:r>
      <w:r>
        <w:rPr>
          <w:color w:val="auto"/>
        </w:rPr>
        <w:fldChar w:fldCharType="end"/>
      </w:r>
      <w:r>
        <w:rPr>
          <w:rFonts w:hint="default" w:ascii="Times New Roman" w:hAnsi="Times New Roman" w:eastAsia="宋体" w:cs="Times New Roman"/>
          <w:color w:val="auto"/>
        </w:rPr>
        <w:fldChar w:fldCharType="end"/>
      </w:r>
    </w:p>
    <w:p w14:paraId="3C8C8D48">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_Toc12225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.2营运期环境影响分析</w:t>
      </w:r>
      <w:r>
        <w:rPr>
          <w:color w:val="auto"/>
        </w:rPr>
        <w:tab/>
      </w:r>
      <w:r>
        <w:rPr>
          <w:color w:val="auto"/>
        </w:rPr>
        <w:fldChar w:fldCharType="begin"/>
      </w:r>
      <w:r>
        <w:rPr>
          <w:color w:val="auto"/>
        </w:rPr>
        <w:instrText xml:space="preserve"> PAGEREF _Toc12225 \h </w:instrText>
      </w:r>
      <w:r>
        <w:rPr>
          <w:color w:val="auto"/>
        </w:rPr>
        <w:fldChar w:fldCharType="separate"/>
      </w:r>
      <w:r>
        <w:rPr>
          <w:color w:val="auto"/>
        </w:rPr>
        <w:t>151</w:t>
      </w:r>
      <w:r>
        <w:rPr>
          <w:color w:val="auto"/>
        </w:rPr>
        <w:fldChar w:fldCharType="end"/>
      </w:r>
      <w:r>
        <w:rPr>
          <w:rFonts w:hint="default" w:ascii="Times New Roman" w:hAnsi="Times New Roman" w:eastAsia="宋体" w:cs="Times New Roman"/>
          <w:color w:val="auto"/>
        </w:rPr>
        <w:fldChar w:fldCharType="end"/>
      </w:r>
    </w:p>
    <w:p w14:paraId="3BEBE674">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_Toc16568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.3对东洞庭湖江豚自然保护区环境影响分析</w:t>
      </w:r>
      <w:r>
        <w:rPr>
          <w:color w:val="auto"/>
        </w:rPr>
        <w:tab/>
      </w:r>
      <w:r>
        <w:rPr>
          <w:color w:val="auto"/>
        </w:rPr>
        <w:fldChar w:fldCharType="begin"/>
      </w:r>
      <w:r>
        <w:rPr>
          <w:color w:val="auto"/>
        </w:rPr>
        <w:instrText xml:space="preserve"> PAGEREF _Toc16568 \h </w:instrText>
      </w:r>
      <w:r>
        <w:rPr>
          <w:color w:val="auto"/>
        </w:rPr>
        <w:fldChar w:fldCharType="separate"/>
      </w:r>
      <w:r>
        <w:rPr>
          <w:color w:val="auto"/>
        </w:rPr>
        <w:t>176</w:t>
      </w:r>
      <w:r>
        <w:rPr>
          <w:color w:val="auto"/>
        </w:rPr>
        <w:fldChar w:fldCharType="end"/>
      </w:r>
      <w:r>
        <w:rPr>
          <w:rFonts w:hint="default" w:ascii="Times New Roman" w:hAnsi="Times New Roman" w:eastAsia="宋体" w:cs="Times New Roman"/>
          <w:color w:val="auto"/>
        </w:rPr>
        <w:fldChar w:fldCharType="end"/>
      </w:r>
    </w:p>
    <w:p w14:paraId="4630EA2E">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_Toc11644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w:t>
      </w:r>
      <w:r>
        <w:rPr>
          <w:rFonts w:hint="eastAsia" w:cs="Times New Roman"/>
          <w:color w:val="auto"/>
          <w:szCs w:val="28"/>
          <w:lang w:val="en-US" w:eastAsia="zh-CN"/>
        </w:rPr>
        <w:t>4环境风险分析</w:t>
      </w:r>
      <w:r>
        <w:rPr>
          <w:color w:val="auto"/>
        </w:rPr>
        <w:tab/>
      </w:r>
      <w:r>
        <w:rPr>
          <w:color w:val="auto"/>
        </w:rPr>
        <w:fldChar w:fldCharType="begin"/>
      </w:r>
      <w:r>
        <w:rPr>
          <w:color w:val="auto"/>
        </w:rPr>
        <w:instrText xml:space="preserve"> PAGEREF _Toc11644 \h </w:instrText>
      </w:r>
      <w:r>
        <w:rPr>
          <w:color w:val="auto"/>
        </w:rPr>
        <w:fldChar w:fldCharType="separate"/>
      </w:r>
      <w:r>
        <w:rPr>
          <w:color w:val="auto"/>
        </w:rPr>
        <w:t>194</w:t>
      </w:r>
      <w:r>
        <w:rPr>
          <w:color w:val="auto"/>
        </w:rPr>
        <w:fldChar w:fldCharType="end"/>
      </w:r>
      <w:r>
        <w:rPr>
          <w:rFonts w:hint="default" w:ascii="Times New Roman" w:hAnsi="Times New Roman" w:eastAsia="宋体" w:cs="Times New Roman"/>
          <w:color w:val="auto"/>
        </w:rPr>
        <w:fldChar w:fldCharType="end"/>
      </w:r>
    </w:p>
    <w:p w14:paraId="1032B24A">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_Toc12324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6、环境保护措施及其可行性论证</w:t>
      </w:r>
      <w:r>
        <w:rPr>
          <w:color w:val="auto"/>
        </w:rPr>
        <w:tab/>
      </w:r>
      <w:r>
        <w:rPr>
          <w:color w:val="auto"/>
        </w:rPr>
        <w:fldChar w:fldCharType="begin"/>
      </w:r>
      <w:r>
        <w:rPr>
          <w:color w:val="auto"/>
        </w:rPr>
        <w:instrText xml:space="preserve"> PAGEREF _Toc12324 \h </w:instrText>
      </w:r>
      <w:r>
        <w:rPr>
          <w:color w:val="auto"/>
        </w:rPr>
        <w:fldChar w:fldCharType="separate"/>
      </w:r>
      <w:r>
        <w:rPr>
          <w:color w:val="auto"/>
        </w:rPr>
        <w:t>208</w:t>
      </w:r>
      <w:r>
        <w:rPr>
          <w:color w:val="auto"/>
        </w:rPr>
        <w:fldChar w:fldCharType="end"/>
      </w:r>
      <w:r>
        <w:rPr>
          <w:rFonts w:hint="default" w:ascii="Times New Roman" w:hAnsi="Times New Roman" w:eastAsia="宋体" w:cs="Times New Roman"/>
          <w:color w:val="auto"/>
        </w:rPr>
        <w:fldChar w:fldCharType="end"/>
      </w:r>
    </w:p>
    <w:p w14:paraId="7F8FA036">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_Toc5504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6</w:t>
      </w:r>
      <w:r>
        <w:rPr>
          <w:rFonts w:hint="default" w:ascii="Times New Roman" w:hAnsi="Times New Roman" w:eastAsia="宋体" w:cs="Times New Roman"/>
          <w:color w:val="auto"/>
          <w:szCs w:val="28"/>
        </w:rPr>
        <w:t>.1施工期污染防治措施</w:t>
      </w:r>
      <w:r>
        <w:rPr>
          <w:color w:val="auto"/>
        </w:rPr>
        <w:tab/>
      </w:r>
      <w:r>
        <w:rPr>
          <w:color w:val="auto"/>
        </w:rPr>
        <w:fldChar w:fldCharType="begin"/>
      </w:r>
      <w:r>
        <w:rPr>
          <w:color w:val="auto"/>
        </w:rPr>
        <w:instrText xml:space="preserve"> PAGEREF _Toc5504 \h </w:instrText>
      </w:r>
      <w:r>
        <w:rPr>
          <w:color w:val="auto"/>
        </w:rPr>
        <w:fldChar w:fldCharType="separate"/>
      </w:r>
      <w:r>
        <w:rPr>
          <w:color w:val="auto"/>
        </w:rPr>
        <w:t>208</w:t>
      </w:r>
      <w:r>
        <w:rPr>
          <w:color w:val="auto"/>
        </w:rPr>
        <w:fldChar w:fldCharType="end"/>
      </w:r>
      <w:r>
        <w:rPr>
          <w:rFonts w:hint="default" w:ascii="Times New Roman" w:hAnsi="Times New Roman" w:eastAsia="宋体" w:cs="Times New Roman"/>
          <w:color w:val="auto"/>
        </w:rPr>
        <w:fldChar w:fldCharType="end"/>
      </w:r>
    </w:p>
    <w:p w14:paraId="08F1EEBA">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_Toc1250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6</w:t>
      </w:r>
      <w:r>
        <w:rPr>
          <w:rFonts w:hint="default" w:ascii="Times New Roman" w:hAnsi="Times New Roman" w:eastAsia="宋体" w:cs="Times New Roman"/>
          <w:color w:val="auto"/>
          <w:szCs w:val="28"/>
        </w:rPr>
        <w:t>.2营运期污染防治措施</w:t>
      </w:r>
      <w:r>
        <w:rPr>
          <w:color w:val="auto"/>
        </w:rPr>
        <w:tab/>
      </w:r>
      <w:r>
        <w:rPr>
          <w:color w:val="auto"/>
        </w:rPr>
        <w:fldChar w:fldCharType="begin"/>
      </w:r>
      <w:r>
        <w:rPr>
          <w:color w:val="auto"/>
        </w:rPr>
        <w:instrText xml:space="preserve"> PAGEREF _Toc1250 \h </w:instrText>
      </w:r>
      <w:r>
        <w:rPr>
          <w:color w:val="auto"/>
        </w:rPr>
        <w:fldChar w:fldCharType="separate"/>
      </w:r>
      <w:r>
        <w:rPr>
          <w:color w:val="auto"/>
        </w:rPr>
        <w:t>211</w:t>
      </w:r>
      <w:r>
        <w:rPr>
          <w:color w:val="auto"/>
        </w:rPr>
        <w:fldChar w:fldCharType="end"/>
      </w:r>
      <w:r>
        <w:rPr>
          <w:rFonts w:hint="default" w:ascii="Times New Roman" w:hAnsi="Times New Roman" w:eastAsia="宋体" w:cs="Times New Roman"/>
          <w:color w:val="auto"/>
        </w:rPr>
        <w:fldChar w:fldCharType="end"/>
      </w:r>
    </w:p>
    <w:p w14:paraId="57CA5647">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_Toc25096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lang w:val="en-US" w:eastAsia="zh-CN"/>
        </w:rPr>
        <w:t>6.</w:t>
      </w:r>
      <w:r>
        <w:rPr>
          <w:rFonts w:hint="eastAsia" w:cs="Times New Roman"/>
          <w:color w:val="auto"/>
          <w:szCs w:val="28"/>
          <w:lang w:val="en-US" w:eastAsia="zh-CN"/>
        </w:rPr>
        <w:t>3环境</w:t>
      </w:r>
      <w:r>
        <w:rPr>
          <w:rFonts w:hint="default" w:ascii="Times New Roman" w:hAnsi="Times New Roman" w:eastAsia="宋体" w:cs="Times New Roman"/>
          <w:color w:val="auto"/>
          <w:szCs w:val="28"/>
          <w:lang w:val="en-US" w:eastAsia="zh-CN"/>
        </w:rPr>
        <w:t>管理措施</w:t>
      </w:r>
      <w:r>
        <w:rPr>
          <w:color w:val="auto"/>
        </w:rPr>
        <w:tab/>
      </w:r>
      <w:r>
        <w:rPr>
          <w:color w:val="auto"/>
        </w:rPr>
        <w:fldChar w:fldCharType="begin"/>
      </w:r>
      <w:r>
        <w:rPr>
          <w:color w:val="auto"/>
        </w:rPr>
        <w:instrText xml:space="preserve"> PAGEREF _Toc25096 \h </w:instrText>
      </w:r>
      <w:r>
        <w:rPr>
          <w:color w:val="auto"/>
        </w:rPr>
        <w:fldChar w:fldCharType="separate"/>
      </w:r>
      <w:r>
        <w:rPr>
          <w:color w:val="auto"/>
        </w:rPr>
        <w:t>226</w:t>
      </w:r>
      <w:r>
        <w:rPr>
          <w:color w:val="auto"/>
        </w:rPr>
        <w:fldChar w:fldCharType="end"/>
      </w:r>
      <w:r>
        <w:rPr>
          <w:rFonts w:hint="default" w:ascii="Times New Roman" w:hAnsi="Times New Roman" w:eastAsia="宋体" w:cs="Times New Roman"/>
          <w:color w:val="auto"/>
        </w:rPr>
        <w:fldChar w:fldCharType="end"/>
      </w:r>
    </w:p>
    <w:p w14:paraId="2D0E7CC0">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_Toc27555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、环境经济损益分析</w:t>
      </w:r>
      <w:r>
        <w:rPr>
          <w:color w:val="auto"/>
        </w:rPr>
        <w:tab/>
      </w:r>
      <w:r>
        <w:rPr>
          <w:color w:val="auto"/>
        </w:rPr>
        <w:fldChar w:fldCharType="begin"/>
      </w:r>
      <w:r>
        <w:rPr>
          <w:color w:val="auto"/>
        </w:rPr>
        <w:instrText xml:space="preserve"> PAGEREF _Toc27555 \h </w:instrText>
      </w:r>
      <w:r>
        <w:rPr>
          <w:color w:val="auto"/>
        </w:rPr>
        <w:fldChar w:fldCharType="separate"/>
      </w:r>
      <w:r>
        <w:rPr>
          <w:color w:val="auto"/>
        </w:rPr>
        <w:t>228</w:t>
      </w:r>
      <w:r>
        <w:rPr>
          <w:color w:val="auto"/>
        </w:rPr>
        <w:fldChar w:fldCharType="end"/>
      </w:r>
      <w:r>
        <w:rPr>
          <w:rFonts w:hint="default" w:ascii="Times New Roman" w:hAnsi="Times New Roman" w:eastAsia="宋体" w:cs="Times New Roman"/>
          <w:color w:val="auto"/>
        </w:rPr>
        <w:fldChar w:fldCharType="end"/>
      </w:r>
    </w:p>
    <w:p w14:paraId="5E8C0687">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_Toc17119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7</w:t>
      </w:r>
      <w:r>
        <w:rPr>
          <w:rFonts w:hint="default" w:ascii="Times New Roman" w:hAnsi="Times New Roman" w:eastAsia="宋体" w:cs="Times New Roman"/>
          <w:color w:val="auto"/>
          <w:szCs w:val="28"/>
        </w:rPr>
        <w:t>.1环境效益分析</w:t>
      </w:r>
      <w:r>
        <w:rPr>
          <w:color w:val="auto"/>
        </w:rPr>
        <w:tab/>
      </w:r>
      <w:r>
        <w:rPr>
          <w:color w:val="auto"/>
        </w:rPr>
        <w:fldChar w:fldCharType="begin"/>
      </w:r>
      <w:r>
        <w:rPr>
          <w:color w:val="auto"/>
        </w:rPr>
        <w:instrText xml:space="preserve"> PAGEREF _Toc17119 \h </w:instrText>
      </w:r>
      <w:r>
        <w:rPr>
          <w:color w:val="auto"/>
        </w:rPr>
        <w:fldChar w:fldCharType="separate"/>
      </w:r>
      <w:r>
        <w:rPr>
          <w:color w:val="auto"/>
        </w:rPr>
        <w:t>228</w:t>
      </w:r>
      <w:r>
        <w:rPr>
          <w:color w:val="auto"/>
        </w:rPr>
        <w:fldChar w:fldCharType="end"/>
      </w:r>
      <w:r>
        <w:rPr>
          <w:rFonts w:hint="default" w:ascii="Times New Roman" w:hAnsi="Times New Roman" w:eastAsia="宋体" w:cs="Times New Roman"/>
          <w:color w:val="auto"/>
        </w:rPr>
        <w:fldChar w:fldCharType="end"/>
      </w:r>
    </w:p>
    <w:p w14:paraId="01C89A60">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_Toc1916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7</w:t>
      </w:r>
      <w:r>
        <w:rPr>
          <w:rFonts w:hint="default" w:ascii="Times New Roman" w:hAnsi="Times New Roman" w:eastAsia="宋体" w:cs="Times New Roman"/>
          <w:color w:val="auto"/>
          <w:szCs w:val="28"/>
        </w:rPr>
        <w:t>.2综合分析</w:t>
      </w:r>
      <w:r>
        <w:rPr>
          <w:color w:val="auto"/>
        </w:rPr>
        <w:tab/>
      </w:r>
      <w:r>
        <w:rPr>
          <w:color w:val="auto"/>
        </w:rPr>
        <w:fldChar w:fldCharType="begin"/>
      </w:r>
      <w:r>
        <w:rPr>
          <w:color w:val="auto"/>
        </w:rPr>
        <w:instrText xml:space="preserve"> PAGEREF _Toc1916 \h </w:instrText>
      </w:r>
      <w:r>
        <w:rPr>
          <w:color w:val="auto"/>
        </w:rPr>
        <w:fldChar w:fldCharType="separate"/>
      </w:r>
      <w:r>
        <w:rPr>
          <w:color w:val="auto"/>
        </w:rPr>
        <w:t>229</w:t>
      </w:r>
      <w:r>
        <w:rPr>
          <w:color w:val="auto"/>
        </w:rPr>
        <w:fldChar w:fldCharType="end"/>
      </w:r>
      <w:r>
        <w:rPr>
          <w:rFonts w:hint="default" w:ascii="Times New Roman" w:hAnsi="Times New Roman" w:eastAsia="宋体" w:cs="Times New Roman"/>
          <w:color w:val="auto"/>
        </w:rPr>
        <w:fldChar w:fldCharType="end"/>
      </w:r>
    </w:p>
    <w:p w14:paraId="23054B4F">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_Toc28667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、环境管理与监测</w:t>
      </w:r>
      <w:r>
        <w:rPr>
          <w:color w:val="auto"/>
        </w:rPr>
        <w:tab/>
      </w:r>
      <w:r>
        <w:rPr>
          <w:color w:val="auto"/>
        </w:rPr>
        <w:fldChar w:fldCharType="begin"/>
      </w:r>
      <w:r>
        <w:rPr>
          <w:color w:val="auto"/>
        </w:rPr>
        <w:instrText xml:space="preserve"> PAGEREF _Toc28667 \h </w:instrText>
      </w:r>
      <w:r>
        <w:rPr>
          <w:color w:val="auto"/>
        </w:rPr>
        <w:fldChar w:fldCharType="separate"/>
      </w:r>
      <w:r>
        <w:rPr>
          <w:color w:val="auto"/>
        </w:rPr>
        <w:t>230</w:t>
      </w:r>
      <w:r>
        <w:rPr>
          <w:color w:val="auto"/>
        </w:rPr>
        <w:fldChar w:fldCharType="end"/>
      </w:r>
      <w:r>
        <w:rPr>
          <w:rFonts w:hint="default" w:ascii="Times New Roman" w:hAnsi="Times New Roman" w:eastAsia="宋体" w:cs="Times New Roman"/>
          <w:color w:val="auto"/>
        </w:rPr>
        <w:fldChar w:fldCharType="end"/>
      </w:r>
    </w:p>
    <w:p w14:paraId="0B6301C6">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_Toc18173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8</w:t>
      </w:r>
      <w:r>
        <w:rPr>
          <w:rFonts w:hint="default" w:ascii="Times New Roman" w:hAnsi="Times New Roman" w:eastAsia="宋体" w:cs="Times New Roman"/>
          <w:color w:val="auto"/>
          <w:szCs w:val="28"/>
        </w:rPr>
        <w:t>.1环境管理</w:t>
      </w:r>
      <w:r>
        <w:rPr>
          <w:color w:val="auto"/>
        </w:rPr>
        <w:tab/>
      </w:r>
      <w:r>
        <w:rPr>
          <w:color w:val="auto"/>
        </w:rPr>
        <w:fldChar w:fldCharType="begin"/>
      </w:r>
      <w:r>
        <w:rPr>
          <w:color w:val="auto"/>
        </w:rPr>
        <w:instrText xml:space="preserve"> PAGEREF _Toc18173 \h </w:instrText>
      </w:r>
      <w:r>
        <w:rPr>
          <w:color w:val="auto"/>
        </w:rPr>
        <w:fldChar w:fldCharType="separate"/>
      </w:r>
      <w:r>
        <w:rPr>
          <w:color w:val="auto"/>
        </w:rPr>
        <w:t>230</w:t>
      </w:r>
      <w:r>
        <w:rPr>
          <w:color w:val="auto"/>
        </w:rPr>
        <w:fldChar w:fldCharType="end"/>
      </w:r>
      <w:r>
        <w:rPr>
          <w:rFonts w:hint="default" w:ascii="Times New Roman" w:hAnsi="Times New Roman" w:eastAsia="宋体" w:cs="Times New Roman"/>
          <w:color w:val="auto"/>
        </w:rPr>
        <w:fldChar w:fldCharType="end"/>
      </w:r>
    </w:p>
    <w:p w14:paraId="40C5B991">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_Toc3557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8</w:t>
      </w:r>
      <w:r>
        <w:rPr>
          <w:rFonts w:hint="default" w:ascii="Times New Roman" w:hAnsi="Times New Roman" w:eastAsia="宋体" w:cs="Times New Roman"/>
          <w:color w:val="auto"/>
          <w:szCs w:val="28"/>
        </w:rPr>
        <w:t>.2环境</w:t>
      </w:r>
      <w:r>
        <w:rPr>
          <w:rFonts w:hint="eastAsia" w:cs="Times New Roman"/>
          <w:color w:val="auto"/>
          <w:szCs w:val="28"/>
          <w:lang w:val="en-US" w:eastAsia="zh-CN"/>
        </w:rPr>
        <w:t>监测</w:t>
      </w:r>
      <w:r>
        <w:rPr>
          <w:color w:val="auto"/>
        </w:rPr>
        <w:tab/>
      </w:r>
      <w:r>
        <w:rPr>
          <w:color w:val="auto"/>
        </w:rPr>
        <w:fldChar w:fldCharType="begin"/>
      </w:r>
      <w:r>
        <w:rPr>
          <w:color w:val="auto"/>
        </w:rPr>
        <w:instrText xml:space="preserve"> PAGEREF _Toc3557 \h </w:instrText>
      </w:r>
      <w:r>
        <w:rPr>
          <w:color w:val="auto"/>
        </w:rPr>
        <w:fldChar w:fldCharType="separate"/>
      </w:r>
      <w:r>
        <w:rPr>
          <w:color w:val="auto"/>
        </w:rPr>
        <w:t>232</w:t>
      </w:r>
      <w:r>
        <w:rPr>
          <w:color w:val="auto"/>
        </w:rPr>
        <w:fldChar w:fldCharType="end"/>
      </w:r>
      <w:r>
        <w:rPr>
          <w:rFonts w:hint="default" w:ascii="Times New Roman" w:hAnsi="Times New Roman" w:eastAsia="宋体" w:cs="Times New Roman"/>
          <w:color w:val="auto"/>
        </w:rPr>
        <w:fldChar w:fldCharType="end"/>
      </w:r>
    </w:p>
    <w:p w14:paraId="23037053">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_Toc7442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8</w:t>
      </w:r>
      <w:r>
        <w:rPr>
          <w:rFonts w:hint="default" w:ascii="Times New Roman" w:hAnsi="Times New Roman" w:eastAsia="宋体" w:cs="Times New Roman"/>
          <w:color w:val="auto"/>
          <w:szCs w:val="28"/>
        </w:rPr>
        <w:t>.</w:t>
      </w:r>
      <w:r>
        <w:rPr>
          <w:rFonts w:hint="eastAsia" w:cs="Times New Roman"/>
          <w:color w:val="auto"/>
          <w:szCs w:val="28"/>
          <w:lang w:val="en-US" w:eastAsia="zh-CN"/>
        </w:rPr>
        <w:t>3总量控制</w:t>
      </w:r>
      <w:r>
        <w:rPr>
          <w:color w:val="auto"/>
        </w:rPr>
        <w:tab/>
      </w:r>
      <w:r>
        <w:rPr>
          <w:color w:val="auto"/>
        </w:rPr>
        <w:fldChar w:fldCharType="begin"/>
      </w:r>
      <w:r>
        <w:rPr>
          <w:color w:val="auto"/>
        </w:rPr>
        <w:instrText xml:space="preserve"> PAGEREF _Toc7442 \h </w:instrText>
      </w:r>
      <w:r>
        <w:rPr>
          <w:color w:val="auto"/>
        </w:rPr>
        <w:fldChar w:fldCharType="separate"/>
      </w:r>
      <w:r>
        <w:rPr>
          <w:color w:val="auto"/>
        </w:rPr>
        <w:t>234</w:t>
      </w:r>
      <w:r>
        <w:rPr>
          <w:color w:val="auto"/>
        </w:rPr>
        <w:fldChar w:fldCharType="end"/>
      </w:r>
      <w:r>
        <w:rPr>
          <w:rFonts w:hint="default" w:ascii="Times New Roman" w:hAnsi="Times New Roman" w:eastAsia="宋体" w:cs="Times New Roman"/>
          <w:color w:val="auto"/>
        </w:rPr>
        <w:fldChar w:fldCharType="end"/>
      </w:r>
    </w:p>
    <w:p w14:paraId="6A5AD45B">
      <w:pPr>
        <w:pStyle w:val="23"/>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_Toc11468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、建议及结论</w:t>
      </w:r>
      <w:r>
        <w:rPr>
          <w:color w:val="auto"/>
        </w:rPr>
        <w:tab/>
      </w:r>
      <w:r>
        <w:rPr>
          <w:color w:val="auto"/>
        </w:rPr>
        <w:fldChar w:fldCharType="begin"/>
      </w:r>
      <w:r>
        <w:rPr>
          <w:color w:val="auto"/>
        </w:rPr>
        <w:instrText xml:space="preserve"> PAGEREF _Toc11468 \h </w:instrText>
      </w:r>
      <w:r>
        <w:rPr>
          <w:color w:val="auto"/>
        </w:rPr>
        <w:fldChar w:fldCharType="separate"/>
      </w:r>
      <w:r>
        <w:rPr>
          <w:color w:val="auto"/>
        </w:rPr>
        <w:t>235</w:t>
      </w:r>
      <w:r>
        <w:rPr>
          <w:color w:val="auto"/>
        </w:rPr>
        <w:fldChar w:fldCharType="end"/>
      </w:r>
      <w:r>
        <w:rPr>
          <w:rFonts w:hint="default" w:ascii="Times New Roman" w:hAnsi="Times New Roman" w:eastAsia="宋体" w:cs="Times New Roman"/>
          <w:color w:val="auto"/>
        </w:rPr>
        <w:fldChar w:fldCharType="end"/>
      </w:r>
    </w:p>
    <w:p w14:paraId="62AE123C">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_Toc19214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.1项目概况</w:t>
      </w:r>
      <w:r>
        <w:rPr>
          <w:color w:val="auto"/>
        </w:rPr>
        <w:tab/>
      </w:r>
      <w:r>
        <w:rPr>
          <w:color w:val="auto"/>
        </w:rPr>
        <w:fldChar w:fldCharType="begin"/>
      </w:r>
      <w:r>
        <w:rPr>
          <w:color w:val="auto"/>
        </w:rPr>
        <w:instrText xml:space="preserve"> PAGEREF _Toc19214 \h </w:instrText>
      </w:r>
      <w:r>
        <w:rPr>
          <w:color w:val="auto"/>
        </w:rPr>
        <w:fldChar w:fldCharType="separate"/>
      </w:r>
      <w:r>
        <w:rPr>
          <w:color w:val="auto"/>
        </w:rPr>
        <w:t>235</w:t>
      </w:r>
      <w:r>
        <w:rPr>
          <w:color w:val="auto"/>
        </w:rPr>
        <w:fldChar w:fldCharType="end"/>
      </w:r>
      <w:r>
        <w:rPr>
          <w:rFonts w:hint="default" w:ascii="Times New Roman" w:hAnsi="Times New Roman" w:eastAsia="宋体" w:cs="Times New Roman"/>
          <w:color w:val="auto"/>
        </w:rPr>
        <w:fldChar w:fldCharType="end"/>
      </w:r>
    </w:p>
    <w:p w14:paraId="79C9698C">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_Toc14437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.2环境质量现状</w:t>
      </w:r>
      <w:r>
        <w:rPr>
          <w:color w:val="auto"/>
        </w:rPr>
        <w:tab/>
      </w:r>
      <w:r>
        <w:rPr>
          <w:color w:val="auto"/>
        </w:rPr>
        <w:fldChar w:fldCharType="begin"/>
      </w:r>
      <w:r>
        <w:rPr>
          <w:color w:val="auto"/>
        </w:rPr>
        <w:instrText xml:space="preserve"> PAGEREF _Toc14437 \h </w:instrText>
      </w:r>
      <w:r>
        <w:rPr>
          <w:color w:val="auto"/>
        </w:rPr>
        <w:fldChar w:fldCharType="separate"/>
      </w:r>
      <w:r>
        <w:rPr>
          <w:color w:val="auto"/>
        </w:rPr>
        <w:t>235</w:t>
      </w:r>
      <w:r>
        <w:rPr>
          <w:color w:val="auto"/>
        </w:rPr>
        <w:fldChar w:fldCharType="end"/>
      </w:r>
      <w:r>
        <w:rPr>
          <w:rFonts w:hint="default" w:ascii="Times New Roman" w:hAnsi="Times New Roman" w:eastAsia="宋体" w:cs="Times New Roman"/>
          <w:color w:val="auto"/>
        </w:rPr>
        <w:fldChar w:fldCharType="end"/>
      </w:r>
    </w:p>
    <w:p w14:paraId="612FAD23">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_Toc18108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.3环境影响结论</w:t>
      </w:r>
      <w:r>
        <w:rPr>
          <w:color w:val="auto"/>
        </w:rPr>
        <w:tab/>
      </w:r>
      <w:r>
        <w:rPr>
          <w:color w:val="auto"/>
        </w:rPr>
        <w:fldChar w:fldCharType="begin"/>
      </w:r>
      <w:r>
        <w:rPr>
          <w:color w:val="auto"/>
        </w:rPr>
        <w:instrText xml:space="preserve"> PAGEREF _Toc18108 \h </w:instrText>
      </w:r>
      <w:r>
        <w:rPr>
          <w:color w:val="auto"/>
        </w:rPr>
        <w:fldChar w:fldCharType="separate"/>
      </w:r>
      <w:r>
        <w:rPr>
          <w:color w:val="auto"/>
        </w:rPr>
        <w:t>237</w:t>
      </w:r>
      <w:r>
        <w:rPr>
          <w:color w:val="auto"/>
        </w:rPr>
        <w:fldChar w:fldCharType="end"/>
      </w:r>
      <w:r>
        <w:rPr>
          <w:rFonts w:hint="default" w:ascii="Times New Roman" w:hAnsi="Times New Roman" w:eastAsia="宋体" w:cs="Times New Roman"/>
          <w:color w:val="auto"/>
        </w:rPr>
        <w:fldChar w:fldCharType="end"/>
      </w:r>
    </w:p>
    <w:p w14:paraId="2EC3CE81">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_Toc19602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.4项目</w:t>
      </w:r>
      <w:r>
        <w:rPr>
          <w:rFonts w:hint="eastAsia" w:cs="Times New Roman"/>
          <w:color w:val="auto"/>
          <w:szCs w:val="28"/>
          <w:lang w:val="en-US" w:eastAsia="zh-CN"/>
        </w:rPr>
        <w:t>与相关规划法律相符性</w:t>
      </w:r>
      <w:r>
        <w:rPr>
          <w:color w:val="auto"/>
        </w:rPr>
        <w:tab/>
      </w:r>
      <w:r>
        <w:rPr>
          <w:color w:val="auto"/>
        </w:rPr>
        <w:fldChar w:fldCharType="begin"/>
      </w:r>
      <w:r>
        <w:rPr>
          <w:color w:val="auto"/>
        </w:rPr>
        <w:instrText xml:space="preserve"> PAGEREF _Toc19602 \h </w:instrText>
      </w:r>
      <w:r>
        <w:rPr>
          <w:color w:val="auto"/>
        </w:rPr>
        <w:fldChar w:fldCharType="separate"/>
      </w:r>
      <w:r>
        <w:rPr>
          <w:color w:val="auto"/>
        </w:rPr>
        <w:t>240</w:t>
      </w:r>
      <w:r>
        <w:rPr>
          <w:color w:val="auto"/>
        </w:rPr>
        <w:fldChar w:fldCharType="end"/>
      </w:r>
      <w:r>
        <w:rPr>
          <w:rFonts w:hint="default" w:ascii="Times New Roman" w:hAnsi="Times New Roman" w:eastAsia="宋体" w:cs="Times New Roman"/>
          <w:color w:val="auto"/>
        </w:rPr>
        <w:fldChar w:fldCharType="end"/>
      </w:r>
    </w:p>
    <w:p w14:paraId="75C4D8A2">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_Toc19630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.5总结论</w:t>
      </w:r>
      <w:r>
        <w:rPr>
          <w:color w:val="auto"/>
        </w:rPr>
        <w:tab/>
      </w:r>
      <w:r>
        <w:rPr>
          <w:color w:val="auto"/>
        </w:rPr>
        <w:fldChar w:fldCharType="begin"/>
      </w:r>
      <w:r>
        <w:rPr>
          <w:color w:val="auto"/>
        </w:rPr>
        <w:instrText xml:space="preserve"> PAGEREF _Toc19630 \h </w:instrText>
      </w:r>
      <w:r>
        <w:rPr>
          <w:color w:val="auto"/>
        </w:rPr>
        <w:fldChar w:fldCharType="separate"/>
      </w:r>
      <w:r>
        <w:rPr>
          <w:color w:val="auto"/>
        </w:rPr>
        <w:t>241</w:t>
      </w:r>
      <w:r>
        <w:rPr>
          <w:color w:val="auto"/>
        </w:rPr>
        <w:fldChar w:fldCharType="end"/>
      </w:r>
      <w:r>
        <w:rPr>
          <w:rFonts w:hint="default" w:ascii="Times New Roman" w:hAnsi="Times New Roman" w:eastAsia="宋体" w:cs="Times New Roman"/>
          <w:color w:val="auto"/>
        </w:rPr>
        <w:fldChar w:fldCharType="end"/>
      </w:r>
    </w:p>
    <w:p w14:paraId="6AFD41B7">
      <w:pPr>
        <w:pStyle w:val="24"/>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_Toc27377 </w:instrText>
      </w:r>
      <w:r>
        <w:rPr>
          <w:rFonts w:hint="default" w:ascii="Times New Roman" w:hAnsi="Times New Roman" w:eastAsia="宋体" w:cs="Times New Roman"/>
          <w:color w:val="auto"/>
        </w:rPr>
        <w:fldChar w:fldCharType="separate"/>
      </w:r>
      <w:r>
        <w:rPr>
          <w:rFonts w:hint="eastAsia" w:cs="Times New Roman"/>
          <w:color w:val="auto"/>
          <w:szCs w:val="28"/>
          <w:lang w:val="en-US" w:eastAsia="zh-CN"/>
        </w:rPr>
        <w:t>9</w:t>
      </w:r>
      <w:r>
        <w:rPr>
          <w:rFonts w:hint="default" w:ascii="Times New Roman" w:hAnsi="Times New Roman" w:eastAsia="宋体" w:cs="Times New Roman"/>
          <w:color w:val="auto"/>
          <w:szCs w:val="28"/>
        </w:rPr>
        <w:t>.6建议</w:t>
      </w:r>
      <w:r>
        <w:rPr>
          <w:color w:val="auto"/>
        </w:rPr>
        <w:tab/>
      </w:r>
      <w:r>
        <w:rPr>
          <w:color w:val="auto"/>
        </w:rPr>
        <w:fldChar w:fldCharType="begin"/>
      </w:r>
      <w:r>
        <w:rPr>
          <w:color w:val="auto"/>
        </w:rPr>
        <w:instrText xml:space="preserve"> PAGEREF _Toc27377 \h </w:instrText>
      </w:r>
      <w:r>
        <w:rPr>
          <w:color w:val="auto"/>
        </w:rPr>
        <w:fldChar w:fldCharType="separate"/>
      </w:r>
      <w:r>
        <w:rPr>
          <w:color w:val="auto"/>
        </w:rPr>
        <w:t>241</w:t>
      </w:r>
      <w:r>
        <w:rPr>
          <w:color w:val="auto"/>
        </w:rPr>
        <w:fldChar w:fldCharType="end"/>
      </w:r>
      <w:r>
        <w:rPr>
          <w:rFonts w:hint="default" w:ascii="Times New Roman" w:hAnsi="Times New Roman" w:eastAsia="宋体" w:cs="Times New Roman"/>
          <w:color w:val="auto"/>
        </w:rPr>
        <w:fldChar w:fldCharType="end"/>
      </w:r>
    </w:p>
    <w:p w14:paraId="70545730">
      <w:pPr>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end"/>
      </w:r>
    </w:p>
    <w:p w14:paraId="170F23EB">
      <w:pPr>
        <w:rPr>
          <w:rFonts w:hint="default" w:ascii="Times New Roman" w:hAnsi="Times New Roman" w:eastAsia="宋体" w:cs="Times New Roman"/>
          <w:b/>
          <w:bCs/>
          <w:color w:val="auto"/>
          <w:lang w:val="en-US" w:eastAsia="zh-CN"/>
        </w:rPr>
      </w:pPr>
      <w:r>
        <w:rPr>
          <w:rFonts w:hint="eastAsia" w:cs="Times New Roman"/>
          <w:b/>
          <w:bCs/>
          <w:color w:val="auto"/>
          <w:lang w:val="en-US" w:eastAsia="zh-CN"/>
        </w:rPr>
        <w:t>附件</w:t>
      </w:r>
    </w:p>
    <w:p w14:paraId="6E0E89E3">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附</w:t>
      </w:r>
      <w:r>
        <w:rPr>
          <w:rFonts w:hint="default" w:ascii="Times New Roman" w:hAnsi="Times New Roman" w:eastAsia="宋体" w:cs="Times New Roman"/>
          <w:color w:val="auto"/>
          <w:lang w:val="en-US" w:eastAsia="zh-CN"/>
        </w:rPr>
        <w:t>件1 委托书</w:t>
      </w:r>
    </w:p>
    <w:p w14:paraId="260046FE">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附件2 岳阳县政府决议</w:t>
      </w:r>
    </w:p>
    <w:p w14:paraId="033DE33E">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附件3 县政府同意建设批复</w:t>
      </w:r>
    </w:p>
    <w:p w14:paraId="6818A16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附件4 东洞庭湖自然保护区管理局意见</w:t>
      </w:r>
    </w:p>
    <w:p w14:paraId="64327F3F">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附件5 市交通运输局决议</w:t>
      </w:r>
    </w:p>
    <w:p w14:paraId="3E2CA71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附件6 岳阳港总体规划环评批复</w:t>
      </w:r>
    </w:p>
    <w:p w14:paraId="393BF7C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附件7 关于印发《湘江资水沅水岳阳段港口码头专项整治方案》的通知</w:t>
      </w:r>
    </w:p>
    <w:p w14:paraId="70A9438D">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 8 关于岳阳港总体规划的审查意见（交办规划函[2019]218 号）</w:t>
      </w:r>
    </w:p>
    <w:p w14:paraId="281FCC1F">
      <w:pPr>
        <w:rPr>
          <w:rFonts w:hint="default" w:ascii="Times New Roman" w:hAnsi="Times New Roman" w:eastAsia="宋体" w:cs="Times New Roman"/>
          <w:color w:val="auto"/>
        </w:rPr>
      </w:pPr>
      <w:r>
        <w:rPr>
          <w:rFonts w:hint="default" w:ascii="Times New Roman" w:hAnsi="Times New Roman" w:eastAsia="宋体" w:cs="Times New Roman"/>
          <w:color w:val="auto"/>
        </w:rPr>
        <w:t>附件</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rPr>
        <w:t xml:space="preserve"> 可研报告批复（市发改）</w:t>
      </w:r>
    </w:p>
    <w:p w14:paraId="12731BAF">
      <w:pP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附件1</w:t>
      </w:r>
      <w:r>
        <w:rPr>
          <w:rFonts w:hint="eastAsia" w:ascii="Times New Roman" w:hAnsi="Times New Roman" w:eastAsia="宋体" w:cs="Times New Roman"/>
          <w:color w:val="auto"/>
          <w:lang w:val="en-US" w:eastAsia="zh-CN"/>
        </w:rPr>
        <w:t>0</w:t>
      </w:r>
      <w:r>
        <w:rPr>
          <w:rFonts w:hint="eastAsia" w:cs="Times New Roman"/>
          <w:color w:val="auto"/>
          <w:lang w:val="en-US" w:eastAsia="zh-CN"/>
        </w:rPr>
        <w:t xml:space="preserve"> </w:t>
      </w:r>
      <w:r>
        <w:rPr>
          <w:rFonts w:hint="default" w:ascii="Times New Roman" w:hAnsi="Times New Roman" w:eastAsia="宋体" w:cs="Times New Roman"/>
          <w:color w:val="auto"/>
        </w:rPr>
        <w:t>可研报告批复（县发改）</w:t>
      </w:r>
    </w:p>
    <w:p w14:paraId="748C6C4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 xml:space="preserve"> 项目监测报告</w:t>
      </w:r>
    </w:p>
    <w:p w14:paraId="750A9A6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附件1</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 xml:space="preserve"> 《湘江资水沅水岳阳段港口码头专项整治方案》</w:t>
      </w:r>
    </w:p>
    <w:p w14:paraId="170E835F">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附件1</w:t>
      </w:r>
      <w:r>
        <w:rPr>
          <w:rFonts w:hint="eastAsia" w:ascii="Times New Roman" w:hAnsi="Times New Roman" w:eastAsia="宋体" w:cs="Times New Roman"/>
          <w:color w:val="auto"/>
          <w:lang w:val="en-US" w:eastAsia="zh-CN"/>
        </w:rPr>
        <w:t>3</w:t>
      </w:r>
      <w:r>
        <w:rPr>
          <w:rFonts w:hint="eastAsia" w:cs="Times New Roman"/>
          <w:color w:val="auto"/>
          <w:lang w:val="en-US" w:eastAsia="zh-CN"/>
        </w:rPr>
        <w:t xml:space="preserve"> </w:t>
      </w:r>
      <w:r>
        <w:rPr>
          <w:rFonts w:hint="default" w:ascii="Times New Roman" w:hAnsi="Times New Roman" w:eastAsia="宋体" w:cs="Times New Roman"/>
          <w:color w:val="auto"/>
          <w:lang w:val="en-US" w:eastAsia="zh-CN"/>
        </w:rPr>
        <w:t>生态专题备案表</w:t>
      </w:r>
    </w:p>
    <w:p w14:paraId="2FDF0B9D">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附件14 湖南省农业农村厅审查意见</w:t>
      </w:r>
    </w:p>
    <w:p w14:paraId="2CDF9B9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附件15 岳阳县自然资源局意见</w:t>
      </w:r>
    </w:p>
    <w:p w14:paraId="45E99298">
      <w:pPr>
        <w:rPr>
          <w:rFonts w:hint="eastAsia" w:cs="Times New Roman"/>
          <w:b/>
          <w:bCs/>
          <w:color w:val="auto"/>
          <w:lang w:val="en-US" w:eastAsia="zh-CN"/>
        </w:rPr>
      </w:pPr>
      <w:r>
        <w:rPr>
          <w:rFonts w:hint="eastAsia" w:cs="Times New Roman"/>
          <w:b/>
          <w:bCs/>
          <w:color w:val="auto"/>
          <w:lang w:val="en-US" w:eastAsia="zh-CN"/>
        </w:rPr>
        <w:t>附图</w:t>
      </w:r>
    </w:p>
    <w:p w14:paraId="7045D31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 项目地理位置图</w:t>
      </w:r>
    </w:p>
    <w:p w14:paraId="1D52C63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附图2 环境敏感目标分布图</w:t>
      </w:r>
    </w:p>
    <w:p w14:paraId="54141E2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附图3 项目总平面布置图</w:t>
      </w:r>
    </w:p>
    <w:p w14:paraId="2F1AE84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附图4 项目与自然保护区位置关系图</w:t>
      </w:r>
    </w:p>
    <w:p w14:paraId="6AE2B1B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附图5 项目与东洞庭湖江豚自然保护区关系图</w:t>
      </w:r>
    </w:p>
    <w:p w14:paraId="4147373F">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附图6 项目与东洞庭湖水产种质资源保护区关系图</w:t>
      </w:r>
    </w:p>
    <w:p w14:paraId="6D24571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附图7 项目与饮用水资源关系图</w:t>
      </w:r>
    </w:p>
    <w:p w14:paraId="29241E2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附图8 项目与岳阳港总体规划位置关系图</w:t>
      </w:r>
    </w:p>
    <w:p w14:paraId="511A06A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附图9 区域鱼类三场分布图</w:t>
      </w:r>
    </w:p>
    <w:p w14:paraId="48AEB953">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附图10 项目与自然保护区功能区划位置图</w:t>
      </w:r>
    </w:p>
    <w:p w14:paraId="64C565C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附图11 项目在三个保护区功能区划位置图</w:t>
      </w:r>
    </w:p>
    <w:p w14:paraId="70340A7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附图12 项目周边主要水系分布图</w:t>
      </w:r>
    </w:p>
    <w:p w14:paraId="60524FE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附图13 项目与饮用水水源地、鹿角国控断面位置图</w:t>
      </w:r>
    </w:p>
    <w:p w14:paraId="46F975DF">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附图14 重点保护植物分布位置图</w:t>
      </w:r>
    </w:p>
    <w:p w14:paraId="52464975">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附图15 重点野生动物分布图</w:t>
      </w:r>
    </w:p>
    <w:p w14:paraId="782106AF">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附图16 项目在江豚自然保护区功能区划位置图</w:t>
      </w:r>
    </w:p>
    <w:p w14:paraId="27413C86">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附图17 土地利用现状图</w:t>
      </w:r>
    </w:p>
    <w:p w14:paraId="443158C5">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附图18 项目与生态红线图</w:t>
      </w:r>
    </w:p>
    <w:p w14:paraId="576C3D6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附图19 区域照片</w:t>
      </w:r>
    </w:p>
    <w:p w14:paraId="5A613A1D">
      <w:pPr>
        <w:rPr>
          <w:rFonts w:hint="default" w:ascii="Times New Roman" w:hAnsi="Times New Roman" w:eastAsia="宋体" w:cs="Times New Roman"/>
          <w:b/>
          <w:bCs/>
          <w:color w:val="auto"/>
          <w:lang w:val="en-US" w:eastAsia="zh-CN"/>
        </w:rPr>
      </w:pPr>
      <w:r>
        <w:rPr>
          <w:rFonts w:hint="eastAsia" w:cs="Times New Roman"/>
          <w:b/>
          <w:bCs/>
          <w:color w:val="auto"/>
          <w:lang w:val="en-US" w:eastAsia="zh-CN"/>
        </w:rPr>
        <w:t>附表</w:t>
      </w:r>
    </w:p>
    <w:p w14:paraId="061434D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附表1：建设项目环评审批基础信息表</w:t>
      </w:r>
    </w:p>
    <w:p w14:paraId="3BB027B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附表2：地表水环境影响评价自查表</w:t>
      </w:r>
    </w:p>
    <w:p w14:paraId="5C6B5B6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附表3：大气环境影响评价自查表</w:t>
      </w:r>
    </w:p>
    <w:p w14:paraId="10F3F7F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附表4：风险环境评价自查表</w:t>
      </w:r>
    </w:p>
    <w:p w14:paraId="389DE30D">
      <w:pPr>
        <w:pStyle w:val="15"/>
        <w:rPr>
          <w:rFonts w:hint="default"/>
          <w:color w:val="auto"/>
        </w:rPr>
      </w:pPr>
    </w:p>
    <w:p w14:paraId="4CA614A9">
      <w:pPr>
        <w:pStyle w:val="15"/>
        <w:rPr>
          <w:rFonts w:hint="default"/>
          <w:color w:val="auto"/>
          <w:lang w:val="en-US" w:eastAsia="zh-CN"/>
        </w:rPr>
      </w:pPr>
    </w:p>
    <w:p w14:paraId="7F7AF79C">
      <w:pPr>
        <w:pStyle w:val="15"/>
        <w:rPr>
          <w:rFonts w:hint="default"/>
          <w:color w:val="auto"/>
        </w:rPr>
      </w:pPr>
    </w:p>
    <w:p w14:paraId="615DEEC0">
      <w:pPr>
        <w:pStyle w:val="16"/>
        <w:rPr>
          <w:rFonts w:hint="default"/>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31ADC1DB">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rPr>
      </w:pPr>
      <w:bookmarkStart w:id="2" w:name="_Toc12050"/>
      <w:bookmarkStart w:id="3" w:name="_Toc15547"/>
      <w:bookmarkStart w:id="4" w:name="_Toc19835"/>
      <w:r>
        <w:rPr>
          <w:rFonts w:hint="default" w:ascii="Times New Roman" w:hAnsi="Times New Roman" w:eastAsia="宋体" w:cs="Times New Roman"/>
          <w:color w:val="auto"/>
        </w:rPr>
        <w:t>1、概述</w:t>
      </w:r>
      <w:bookmarkEnd w:id="0"/>
      <w:bookmarkEnd w:id="1"/>
      <w:bookmarkEnd w:id="2"/>
      <w:bookmarkEnd w:id="3"/>
      <w:bookmarkEnd w:id="4"/>
    </w:p>
    <w:p w14:paraId="06C9487E">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5" w:name="_Toc5459"/>
      <w:bookmarkStart w:id="6" w:name="_Toc22837"/>
      <w:bookmarkStart w:id="7" w:name="_Toc363"/>
      <w:bookmarkStart w:id="8" w:name="_Toc12666_WPSOffice_Level2"/>
      <w:bookmarkStart w:id="9" w:name="_Toc22577_WPSOffice_Level2"/>
      <w:bookmarkStart w:id="10" w:name="_Toc26807"/>
      <w:bookmarkStart w:id="11" w:name="_Toc6220_WPSOffice_Level2"/>
      <w:bookmarkStart w:id="12" w:name="_Toc1734_WPSOffice_Level2"/>
      <w:bookmarkStart w:id="13" w:name="_Toc29062_WPSOffice_Level2"/>
      <w:bookmarkStart w:id="14" w:name="_Toc22449"/>
      <w:bookmarkStart w:id="15" w:name="_Toc7361"/>
      <w:bookmarkStart w:id="16" w:name="_Toc146"/>
      <w:bookmarkStart w:id="17" w:name="_Toc4740_WPSOffice_Level2"/>
      <w:bookmarkStart w:id="18" w:name="_Toc7342_WPSOffice_Level2"/>
      <w:r>
        <w:rPr>
          <w:rFonts w:hint="default" w:ascii="Times New Roman" w:hAnsi="Times New Roman" w:eastAsia="宋体" w:cs="Times New Roman"/>
          <w:color w:val="auto"/>
          <w:sz w:val="28"/>
          <w:szCs w:val="28"/>
        </w:rPr>
        <w:t>1.1项目由来</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596772B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岳阳县，隶属于湖南省岳阳市，位于湖南省东北部，东接湖北省通城县，东南连平江县，南抵汨罗市，西南以湖洲与沅江市、南县交界，西与华容县、君山区毗邻，北与临湘市、云溪区、岳阳楼区、君山区接壤。境内河湖交错，池塘水库众多，全区共有共有3各国营渔场，水域面积25.5万亩、其中池塘精养面积10.6万亩，年产水产品近2.96万吨，发展水产业的条件可谓得天独厚，素有“鱼米之乡”的美称。现有专、副业渔民近万人，专业捕捞渔船1700艘，其中机动渔船1100艘，常年捕捞水产品量13万吨，是湘北地区最大的淡水鱼生产和交易基地。</w:t>
      </w:r>
    </w:p>
    <w:p w14:paraId="3101FE3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目前，岳阳县共辖东洞庭湖1328平方公里，占洞庭湖总面积的68%。现有专、副业渔民近万人，专业捕捞渔船1700艘，其中机动渔船1100艘，常年捕捞水产品量13万吨，是湘北地区最大的淡水鱼生产和交易基地。</w:t>
      </w:r>
    </w:p>
    <w:p w14:paraId="35EA8EF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过去由于忽视渔港建设，历史上形成的渔港逐步被货、客运码头挤占，每逢捕捞旺季或狂风暴雨来临之时，渔船没有固定渔港停泊，不能及时靠岸进行水产品交易和躲避风险，往往造成大批水产品腐烂变质和大量碰撞事故。每年造成捕捞水产品腐烂变质或低价拍卖的达1000吨左右，给捕捞渔民的生命和财产安全造成重大损失，为保证渔民生产生活安全迫切需要建设渔政综合执法码头。</w:t>
      </w:r>
    </w:p>
    <w:p w14:paraId="1AEA9C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由于整个岳阳县没有一个规范的渔政综合码头，为岳阳县渔业生产及渔政执法带来了严重不便，给渔民生产作业和渔政执法人员工作执法存在着严重的安全隐患，严重制约着当地渔业的发展，因此，加快鹿角交通渔政综合码头的建设，使岳阳县渔业发展走上良性循环发展的道路和加强渔政执法，势在必行。</w:t>
      </w:r>
    </w:p>
    <w:p w14:paraId="5FC920A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岳阳县交通综合码头（中心点经纬度：</w:t>
      </w:r>
      <w:r>
        <w:rPr>
          <w:rFonts w:hint="default" w:ascii="Times New Roman" w:hAnsi="Times New Roman" w:eastAsia="宋体" w:cs="Times New Roman"/>
          <w:color w:val="auto"/>
          <w:u w:val="none" w:color="auto"/>
          <w:lang w:eastAsia="zh-CN"/>
        </w:rPr>
        <w:t xml:space="preserve">东经112.999811079、北纬29.158144050 </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val="en-US" w:eastAsia="zh-CN"/>
        </w:rPr>
        <w:t>地处</w:t>
      </w:r>
      <w:r>
        <w:rPr>
          <w:rFonts w:hint="default" w:ascii="Times New Roman" w:hAnsi="Times New Roman" w:eastAsia="宋体" w:cs="Times New Roman"/>
          <w:color w:val="auto"/>
          <w:u w:val="none" w:color="auto"/>
        </w:rPr>
        <w:t>岳阳县鹿角镇杨庙村的湘江右岸河段</w:t>
      </w:r>
      <w:r>
        <w:rPr>
          <w:rFonts w:hint="default" w:ascii="Times New Roman" w:hAnsi="Times New Roman" w:eastAsia="宋体" w:cs="Times New Roman"/>
          <w:color w:val="auto"/>
          <w:u w:val="none" w:color="auto"/>
          <w:lang w:eastAsia="zh-CN"/>
        </w:rPr>
        <w:t>、湘江下游右岸、</w:t>
      </w:r>
      <w:r>
        <w:rPr>
          <w:rFonts w:hint="default" w:ascii="Times New Roman" w:hAnsi="Times New Roman" w:eastAsia="宋体" w:cs="Times New Roman"/>
          <w:color w:val="auto"/>
          <w:u w:val="none" w:color="auto"/>
          <w:lang w:val="en-US" w:eastAsia="zh-CN"/>
        </w:rPr>
        <w:t>岳阳县鹿角</w:t>
      </w:r>
      <w:r>
        <w:rPr>
          <w:rFonts w:hint="default" w:ascii="Times New Roman" w:hAnsi="Times New Roman" w:eastAsia="宋体" w:cs="Times New Roman"/>
          <w:color w:val="auto"/>
          <w:u w:val="none" w:color="auto"/>
        </w:rPr>
        <w:t>港区，距下游鹿角水文站约500m</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val="en-US" w:eastAsia="zh-CN"/>
        </w:rPr>
        <w:t>距左侧鹿角国控监测断面约1364m，</w:t>
      </w:r>
      <w:r>
        <w:rPr>
          <w:rFonts w:hint="default" w:ascii="Times New Roman" w:hAnsi="Times New Roman" w:eastAsia="宋体" w:cs="Times New Roman"/>
          <w:color w:val="auto"/>
          <w:u w:val="none" w:color="auto"/>
        </w:rPr>
        <w:t>湘江干流下游主航道与洞庭湖的结合部，码头地理位置优越，陆路距岳阳县城10公里，水路距城陵矶港</w:t>
      </w:r>
      <w:r>
        <w:rPr>
          <w:rFonts w:hint="default" w:ascii="Times New Roman" w:hAnsi="Times New Roman" w:eastAsia="宋体" w:cs="Times New Roman"/>
          <w:color w:val="auto"/>
          <w:u w:val="none" w:color="auto"/>
          <w:lang w:eastAsia="zh-CN"/>
        </w:rPr>
        <w:t>（长江航道）</w:t>
      </w:r>
      <w:r>
        <w:rPr>
          <w:rFonts w:hint="default" w:ascii="Times New Roman" w:hAnsi="Times New Roman" w:eastAsia="宋体" w:cs="Times New Roman"/>
          <w:color w:val="auto"/>
          <w:u w:val="none" w:color="auto"/>
        </w:rPr>
        <w:t>30公里</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岳阳县鹿角港区是岳阳港的重要组成部分，上通湘、资、沅、澧四水，下连川、长两江，具有十分优越的水文条件，是湘江航道上的优良港口之一</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val="en-US" w:eastAsia="zh-CN"/>
        </w:rPr>
        <w:t>也</w:t>
      </w:r>
      <w:r>
        <w:rPr>
          <w:rFonts w:hint="default" w:ascii="Times New Roman" w:hAnsi="Times New Roman" w:eastAsia="宋体" w:cs="Times New Roman"/>
          <w:color w:val="auto"/>
          <w:u w:val="none" w:color="auto"/>
        </w:rPr>
        <w:t>是</w:t>
      </w:r>
      <w:r>
        <w:rPr>
          <w:rFonts w:hint="default" w:ascii="Times New Roman" w:hAnsi="Times New Roman" w:eastAsia="宋体" w:cs="Times New Roman"/>
          <w:color w:val="auto"/>
          <w:u w:val="none" w:color="auto"/>
          <w:lang w:val="en-US" w:eastAsia="zh-CN"/>
        </w:rPr>
        <w:t>岳阳</w:t>
      </w:r>
      <w:r>
        <w:rPr>
          <w:rFonts w:hint="default" w:ascii="Times New Roman" w:hAnsi="Times New Roman" w:eastAsia="宋体" w:cs="Times New Roman"/>
          <w:color w:val="auto"/>
          <w:u w:val="none" w:color="auto"/>
        </w:rPr>
        <w:t>县通江达海的交通优势所在。航道等级为Ⅱ级，航道条件十分优越，是湘江航道最具活力的天然深水航道</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是湘江航线及环洞庭湖经济带上的重要港口，也是岳阳县及周边地区的重要航运客运中心。现布局有客运码头，交通公务码头、矽石临时堆场等。由于建成时间较长，现有码头标准较低、安全环保等存在隐患，已不能适应新形势下的发展需要。</w:t>
      </w:r>
    </w:p>
    <w:p w14:paraId="24C75EA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color w:val="auto"/>
          <w:u w:val="none" w:color="auto"/>
          <w:lang w:val="en-US" w:eastAsia="zh-CN"/>
        </w:rPr>
        <w:t>2020年5月13日生态环境部对《岳阳港总体规划（2017-2035年）环境影响报告书》进行了审查，出具了审查意见（环审〔2020〕65号）。</w:t>
      </w:r>
      <w:r>
        <w:rPr>
          <w:rFonts w:hint="default" w:ascii="Times New Roman" w:hAnsi="Times New Roman" w:eastAsia="宋体" w:cs="Times New Roman"/>
          <w:color w:val="auto"/>
          <w:u w:val="none" w:color="auto"/>
        </w:rPr>
        <w:t>为认真贯彻习近平生态文明思想和</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守护好一江碧水</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嘱托，根据省政府办公厅《关于印发〈洞庭湖和湘资沅澧四水非法码头渡口专项</w:t>
      </w:r>
      <w:r>
        <w:rPr>
          <w:rFonts w:hint="default" w:ascii="Times New Roman" w:hAnsi="Times New Roman" w:eastAsia="宋体" w:cs="Times New Roman"/>
          <w:color w:val="auto"/>
          <w:u w:val="none" w:color="auto"/>
          <w:lang w:eastAsia="zh-CN"/>
        </w:rPr>
        <w:t>规范提升</w:t>
      </w:r>
      <w:r>
        <w:rPr>
          <w:rFonts w:hint="default" w:ascii="Times New Roman" w:hAnsi="Times New Roman" w:eastAsia="宋体" w:cs="Times New Roman"/>
          <w:color w:val="auto"/>
          <w:u w:val="none" w:color="auto"/>
        </w:rPr>
        <w:t>工作方案〉的通知》（湘政办函〔2020〕8号）、省交通运输厅《关于</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一湖一江四水</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港口码头专项</w:t>
      </w:r>
      <w:r>
        <w:rPr>
          <w:rFonts w:hint="default" w:ascii="Times New Roman" w:hAnsi="Times New Roman" w:eastAsia="宋体" w:cs="Times New Roman"/>
          <w:color w:val="auto"/>
          <w:u w:val="none" w:color="auto"/>
          <w:lang w:eastAsia="zh-CN"/>
        </w:rPr>
        <w:t>规范提升</w:t>
      </w:r>
      <w:r>
        <w:rPr>
          <w:rFonts w:hint="default" w:ascii="Times New Roman" w:hAnsi="Times New Roman" w:eastAsia="宋体" w:cs="Times New Roman"/>
          <w:color w:val="auto"/>
          <w:u w:val="none" w:color="auto"/>
        </w:rPr>
        <w:t>工作有关事项的通知》（湘交港航〔2020〕71号）精神</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2020年5月29日岳阳市人民政府办公室印发《湘江资水沅水岳阳段港口码头专项</w:t>
      </w:r>
      <w:r>
        <w:rPr>
          <w:rFonts w:hint="default" w:ascii="Times New Roman" w:hAnsi="Times New Roman" w:eastAsia="宋体" w:cs="Times New Roman"/>
          <w:color w:val="auto"/>
          <w:u w:val="none" w:color="auto"/>
          <w:lang w:eastAsia="zh-CN"/>
        </w:rPr>
        <w:t>规范提升</w:t>
      </w:r>
      <w:r>
        <w:rPr>
          <w:rFonts w:hint="default" w:ascii="Times New Roman" w:hAnsi="Times New Roman" w:eastAsia="宋体" w:cs="Times New Roman"/>
          <w:color w:val="auto"/>
          <w:u w:val="none" w:color="auto"/>
        </w:rPr>
        <w:t>方案》的通知（岳政办函〔2020〕39号）</w:t>
      </w:r>
      <w:r>
        <w:rPr>
          <w:rFonts w:hint="default" w:ascii="Times New Roman" w:hAnsi="Times New Roman" w:eastAsia="宋体" w:cs="Times New Roman"/>
          <w:color w:val="auto"/>
          <w:u w:val="none" w:color="auto"/>
          <w:lang w:eastAsia="zh-CN"/>
        </w:rPr>
        <w:t>：完成湘江岳阳段</w:t>
      </w:r>
      <w:r>
        <w:rPr>
          <w:rFonts w:hint="default" w:ascii="Times New Roman" w:hAnsi="Times New Roman" w:eastAsia="宋体" w:cs="Times New Roman"/>
          <w:color w:val="auto"/>
          <w:u w:val="none" w:color="auto"/>
          <w:lang w:val="en-US" w:eastAsia="zh-CN"/>
        </w:rPr>
        <w:t>岳阳县</w:t>
      </w:r>
      <w:r>
        <w:rPr>
          <w:rFonts w:hint="default" w:ascii="Times New Roman" w:hAnsi="Times New Roman" w:eastAsia="宋体" w:cs="Times New Roman"/>
          <w:color w:val="auto"/>
          <w:u w:val="none" w:color="auto"/>
          <w:lang w:eastAsia="zh-CN"/>
        </w:rPr>
        <w:t>非法码头规范提升，共</w:t>
      </w:r>
      <w:r>
        <w:rPr>
          <w:rFonts w:hint="default" w:ascii="Times New Roman" w:hAns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lang w:eastAsia="zh-CN"/>
        </w:rPr>
        <w:t>家</w:t>
      </w:r>
      <w:r>
        <w:rPr>
          <w:rFonts w:hint="default" w:ascii="Times New Roman" w:hAnsi="Times New Roman" w:eastAsia="宋体" w:cs="Times New Roman"/>
          <w:color w:val="auto"/>
          <w:u w:val="none" w:color="auto"/>
          <w:lang w:val="en-US" w:eastAsia="zh-CN"/>
        </w:rPr>
        <w:t>10</w:t>
      </w:r>
      <w:r>
        <w:rPr>
          <w:rFonts w:hint="default" w:ascii="Times New Roman" w:hAnsi="Times New Roman" w:eastAsia="宋体" w:cs="Times New Roman"/>
          <w:color w:val="auto"/>
          <w:u w:val="none" w:color="auto"/>
          <w:lang w:eastAsia="zh-CN"/>
        </w:rPr>
        <w:t>个泊位（详见</w:t>
      </w:r>
      <w:r>
        <w:rPr>
          <w:rFonts w:hint="default" w:ascii="Times New Roman" w:hAnsi="Times New Roman" w:eastAsia="宋体" w:cs="Times New Roman"/>
          <w:color w:val="auto"/>
          <w:u w:val="none" w:color="auto"/>
          <w:lang w:val="en-US" w:eastAsia="zh-CN"/>
        </w:rPr>
        <w:t>下表1.1-1</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val="en-US" w:eastAsia="zh-CN"/>
        </w:rPr>
        <w:t>其中</w:t>
      </w:r>
      <w:r>
        <w:rPr>
          <w:rFonts w:hint="default" w:ascii="Times New Roman" w:hAnsi="Times New Roman" w:eastAsia="宋体" w:cs="Times New Roman"/>
          <w:color w:val="auto"/>
          <w:u w:val="none" w:color="auto"/>
          <w:lang w:eastAsia="zh-CN"/>
        </w:rPr>
        <w:t>交通综合码头属于“规范提升类”码头，规范提升内容为补办安全环保手续，基本实现码头安全环保、规范高效，渡口布局合理、安全可控，岸线科学利用、监管长效。</w:t>
      </w:r>
    </w:p>
    <w:p w14:paraId="3381509B">
      <w:pPr>
        <w:pStyle w:val="4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表1.1-1 </w:t>
      </w:r>
      <w:r>
        <w:rPr>
          <w:rFonts w:hint="default" w:ascii="Times New Roman" w:hAnsi="Times New Roman" w:eastAsia="宋体" w:cs="Times New Roman"/>
          <w:color w:val="auto"/>
          <w:sz w:val="24"/>
          <w:szCs w:val="24"/>
          <w:lang w:eastAsia="zh-CN"/>
        </w:rPr>
        <w:t>湘江岳阳段</w:t>
      </w:r>
      <w:r>
        <w:rPr>
          <w:rFonts w:hint="default" w:ascii="Times New Roman" w:hAnsi="Times New Roman" w:eastAsia="宋体" w:cs="Times New Roman"/>
          <w:color w:val="auto"/>
          <w:sz w:val="24"/>
          <w:szCs w:val="24"/>
          <w:lang w:val="en-US" w:eastAsia="zh-CN"/>
        </w:rPr>
        <w:t>岳阳县</w:t>
      </w:r>
      <w:r>
        <w:rPr>
          <w:rFonts w:hint="default" w:ascii="Times New Roman" w:hAnsi="Times New Roman" w:eastAsia="宋体" w:cs="Times New Roman"/>
          <w:color w:val="auto"/>
          <w:sz w:val="24"/>
          <w:szCs w:val="24"/>
          <w:lang w:eastAsia="zh-CN"/>
        </w:rPr>
        <w:t>码头规范提升台账</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370"/>
        <w:gridCol w:w="1110"/>
        <w:gridCol w:w="944"/>
        <w:gridCol w:w="835"/>
        <w:gridCol w:w="755"/>
        <w:gridCol w:w="675"/>
        <w:gridCol w:w="959"/>
        <w:gridCol w:w="705"/>
        <w:gridCol w:w="1079"/>
        <w:gridCol w:w="1085"/>
      </w:tblGrid>
      <w:tr w14:paraId="769447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trPr>
        <w:tc>
          <w:tcPr>
            <w:tcW w:w="217" w:type="pct"/>
            <w:tcBorders>
              <w:tl2br w:val="nil"/>
              <w:tr2bl w:val="nil"/>
            </w:tcBorders>
            <w:noWrap w:val="0"/>
            <w:vAlign w:val="center"/>
          </w:tcPr>
          <w:p w14:paraId="79995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序号</w:t>
            </w:r>
          </w:p>
        </w:tc>
        <w:tc>
          <w:tcPr>
            <w:tcW w:w="651" w:type="pct"/>
            <w:tcBorders>
              <w:tl2br w:val="nil"/>
              <w:tr2bl w:val="nil"/>
            </w:tcBorders>
            <w:noWrap w:val="0"/>
            <w:vAlign w:val="center"/>
          </w:tcPr>
          <w:p w14:paraId="7BE5A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业主名称</w:t>
            </w:r>
          </w:p>
        </w:tc>
        <w:tc>
          <w:tcPr>
            <w:tcW w:w="554" w:type="pct"/>
            <w:tcBorders>
              <w:tl2br w:val="nil"/>
              <w:tr2bl w:val="nil"/>
            </w:tcBorders>
            <w:noWrap w:val="0"/>
            <w:vAlign w:val="center"/>
          </w:tcPr>
          <w:p w14:paraId="7A9B3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码头名称</w:t>
            </w:r>
          </w:p>
        </w:tc>
        <w:tc>
          <w:tcPr>
            <w:tcW w:w="490" w:type="pct"/>
            <w:tcBorders>
              <w:tl2br w:val="nil"/>
              <w:tr2bl w:val="nil"/>
            </w:tcBorders>
            <w:noWrap w:val="0"/>
            <w:vAlign w:val="center"/>
          </w:tcPr>
          <w:p w14:paraId="5B31C9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具体位置</w:t>
            </w:r>
          </w:p>
        </w:tc>
        <w:tc>
          <w:tcPr>
            <w:tcW w:w="443" w:type="pct"/>
            <w:tcBorders>
              <w:tl2br w:val="nil"/>
              <w:tr2bl w:val="nil"/>
            </w:tcBorders>
            <w:noWrap w:val="0"/>
            <w:vAlign w:val="center"/>
          </w:tcPr>
          <w:p w14:paraId="435F7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建成投产时间</w:t>
            </w:r>
          </w:p>
        </w:tc>
        <w:tc>
          <w:tcPr>
            <w:tcW w:w="396" w:type="pct"/>
            <w:tcBorders>
              <w:tl2br w:val="nil"/>
              <w:tr2bl w:val="nil"/>
            </w:tcBorders>
            <w:noWrap w:val="0"/>
            <w:vAlign w:val="center"/>
          </w:tcPr>
          <w:p w14:paraId="0A3D8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泊位个数</w:t>
            </w:r>
          </w:p>
        </w:tc>
        <w:tc>
          <w:tcPr>
            <w:tcW w:w="562" w:type="pct"/>
            <w:tcBorders>
              <w:tl2br w:val="nil"/>
              <w:tr2bl w:val="nil"/>
            </w:tcBorders>
            <w:noWrap w:val="0"/>
            <w:vAlign w:val="center"/>
          </w:tcPr>
          <w:p w14:paraId="7B4D4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岸线长度（米）</w:t>
            </w:r>
          </w:p>
        </w:tc>
        <w:tc>
          <w:tcPr>
            <w:tcW w:w="413" w:type="pct"/>
            <w:tcBorders>
              <w:tl2br w:val="nil"/>
              <w:tr2bl w:val="nil"/>
            </w:tcBorders>
            <w:noWrap w:val="0"/>
            <w:vAlign w:val="center"/>
          </w:tcPr>
          <w:p w14:paraId="59CC51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经营现状</w:t>
            </w:r>
          </w:p>
        </w:tc>
        <w:tc>
          <w:tcPr>
            <w:tcW w:w="633" w:type="pct"/>
            <w:tcBorders>
              <w:tl2br w:val="nil"/>
              <w:tr2bl w:val="nil"/>
            </w:tcBorders>
            <w:noWrap w:val="0"/>
            <w:vAlign w:val="center"/>
          </w:tcPr>
          <w:p w14:paraId="45594A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规范提升原因</w:t>
            </w:r>
          </w:p>
        </w:tc>
        <w:tc>
          <w:tcPr>
            <w:tcW w:w="636" w:type="pct"/>
            <w:tcBorders>
              <w:tl2br w:val="nil"/>
              <w:tr2bl w:val="nil"/>
            </w:tcBorders>
            <w:noWrap w:val="0"/>
            <w:vAlign w:val="center"/>
          </w:tcPr>
          <w:p w14:paraId="239D92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规范提升要求</w:t>
            </w:r>
          </w:p>
        </w:tc>
      </w:tr>
      <w:tr w14:paraId="1D3796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000" w:type="pct"/>
            <w:gridSpan w:val="10"/>
            <w:tcBorders>
              <w:tl2br w:val="nil"/>
              <w:tr2bl w:val="nil"/>
            </w:tcBorders>
            <w:noWrap w:val="0"/>
            <w:vAlign w:val="center"/>
          </w:tcPr>
          <w:p w14:paraId="54342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一、取缔类非法码头</w:t>
            </w:r>
          </w:p>
        </w:tc>
      </w:tr>
      <w:tr w14:paraId="277FFE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217" w:type="pct"/>
            <w:tcBorders>
              <w:tl2br w:val="nil"/>
              <w:tr2bl w:val="nil"/>
            </w:tcBorders>
            <w:noWrap w:val="0"/>
            <w:vAlign w:val="center"/>
          </w:tcPr>
          <w:p w14:paraId="63FBF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651" w:type="pct"/>
            <w:tcBorders>
              <w:tl2br w:val="nil"/>
              <w:tr2bl w:val="nil"/>
            </w:tcBorders>
            <w:noWrap w:val="0"/>
            <w:vAlign w:val="center"/>
          </w:tcPr>
          <w:p w14:paraId="5EC99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岳阳丰利纸业有限公司</w:t>
            </w:r>
          </w:p>
        </w:tc>
        <w:tc>
          <w:tcPr>
            <w:tcW w:w="554" w:type="pct"/>
            <w:tcBorders>
              <w:tl2br w:val="nil"/>
              <w:tr2bl w:val="nil"/>
            </w:tcBorders>
            <w:noWrap w:val="0"/>
            <w:vAlign w:val="center"/>
          </w:tcPr>
          <w:p w14:paraId="321C3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丰利纸业芦苇码头</w:t>
            </w:r>
          </w:p>
        </w:tc>
        <w:tc>
          <w:tcPr>
            <w:tcW w:w="490" w:type="pct"/>
            <w:tcBorders>
              <w:tl2br w:val="nil"/>
              <w:tr2bl w:val="nil"/>
            </w:tcBorders>
            <w:noWrap w:val="0"/>
            <w:vAlign w:val="center"/>
          </w:tcPr>
          <w:p w14:paraId="13A92D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20B94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1979年</w:t>
            </w:r>
          </w:p>
        </w:tc>
        <w:tc>
          <w:tcPr>
            <w:tcW w:w="396" w:type="pct"/>
            <w:tcBorders>
              <w:tl2br w:val="nil"/>
              <w:tr2bl w:val="nil"/>
            </w:tcBorders>
            <w:noWrap w:val="0"/>
            <w:vAlign w:val="center"/>
          </w:tcPr>
          <w:p w14:paraId="3EB70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3D05D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150</w:t>
            </w:r>
          </w:p>
        </w:tc>
        <w:tc>
          <w:tcPr>
            <w:tcW w:w="413" w:type="pct"/>
            <w:tcBorders>
              <w:tl2br w:val="nil"/>
              <w:tr2bl w:val="nil"/>
            </w:tcBorders>
            <w:noWrap w:val="0"/>
            <w:vAlign w:val="center"/>
          </w:tcPr>
          <w:p w14:paraId="259FD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停业</w:t>
            </w:r>
          </w:p>
        </w:tc>
        <w:tc>
          <w:tcPr>
            <w:tcW w:w="633" w:type="pct"/>
            <w:tcBorders>
              <w:tl2br w:val="nil"/>
              <w:tr2bl w:val="nil"/>
            </w:tcBorders>
            <w:noWrap w:val="0"/>
            <w:vAlign w:val="center"/>
          </w:tcPr>
          <w:p w14:paraId="6367F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无相关批复，与规划不符</w:t>
            </w:r>
          </w:p>
        </w:tc>
        <w:tc>
          <w:tcPr>
            <w:tcW w:w="636" w:type="pct"/>
            <w:tcBorders>
              <w:tl2br w:val="nil"/>
              <w:tr2bl w:val="nil"/>
            </w:tcBorders>
            <w:noWrap w:val="0"/>
            <w:vAlign w:val="center"/>
          </w:tcPr>
          <w:p w14:paraId="2D37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关闭拆除、岸坡整理复绿</w:t>
            </w:r>
          </w:p>
        </w:tc>
      </w:tr>
      <w:tr w14:paraId="62BE95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217" w:type="pct"/>
            <w:tcBorders>
              <w:tl2br w:val="nil"/>
              <w:tr2bl w:val="nil"/>
            </w:tcBorders>
            <w:noWrap w:val="0"/>
            <w:vAlign w:val="center"/>
          </w:tcPr>
          <w:p w14:paraId="1F620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651" w:type="pct"/>
            <w:tcBorders>
              <w:tl2br w:val="nil"/>
              <w:tr2bl w:val="nil"/>
            </w:tcBorders>
            <w:noWrap w:val="0"/>
            <w:vAlign w:val="center"/>
          </w:tcPr>
          <w:p w14:paraId="2217C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湖南六九零一单位</w:t>
            </w:r>
          </w:p>
        </w:tc>
        <w:tc>
          <w:tcPr>
            <w:tcW w:w="554" w:type="pct"/>
            <w:tcBorders>
              <w:tl2br w:val="nil"/>
              <w:tr2bl w:val="nil"/>
            </w:tcBorders>
            <w:noWrap w:val="0"/>
            <w:vAlign w:val="center"/>
          </w:tcPr>
          <w:p w14:paraId="20B8C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6901棉麻仓库专用码头</w:t>
            </w:r>
          </w:p>
        </w:tc>
        <w:tc>
          <w:tcPr>
            <w:tcW w:w="490" w:type="pct"/>
            <w:tcBorders>
              <w:tl2br w:val="nil"/>
              <w:tr2bl w:val="nil"/>
            </w:tcBorders>
            <w:noWrap w:val="0"/>
            <w:vAlign w:val="center"/>
          </w:tcPr>
          <w:p w14:paraId="62E34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042CC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1967年</w:t>
            </w:r>
          </w:p>
        </w:tc>
        <w:tc>
          <w:tcPr>
            <w:tcW w:w="396" w:type="pct"/>
            <w:tcBorders>
              <w:tl2br w:val="nil"/>
              <w:tr2bl w:val="nil"/>
            </w:tcBorders>
            <w:noWrap w:val="0"/>
            <w:vAlign w:val="center"/>
          </w:tcPr>
          <w:p w14:paraId="52BD2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16F57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55</w:t>
            </w:r>
          </w:p>
        </w:tc>
        <w:tc>
          <w:tcPr>
            <w:tcW w:w="413" w:type="pct"/>
            <w:tcBorders>
              <w:tl2br w:val="nil"/>
              <w:tr2bl w:val="nil"/>
            </w:tcBorders>
            <w:noWrap w:val="0"/>
            <w:vAlign w:val="center"/>
          </w:tcPr>
          <w:p w14:paraId="532BE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停业</w:t>
            </w:r>
          </w:p>
        </w:tc>
        <w:tc>
          <w:tcPr>
            <w:tcW w:w="633" w:type="pct"/>
            <w:tcBorders>
              <w:tl2br w:val="nil"/>
              <w:tr2bl w:val="nil"/>
            </w:tcBorders>
            <w:noWrap w:val="0"/>
            <w:vAlign w:val="center"/>
          </w:tcPr>
          <w:p w14:paraId="69CFD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无相关批复，与规划不符</w:t>
            </w:r>
          </w:p>
        </w:tc>
        <w:tc>
          <w:tcPr>
            <w:tcW w:w="636" w:type="pct"/>
            <w:tcBorders>
              <w:tl2br w:val="nil"/>
              <w:tr2bl w:val="nil"/>
            </w:tcBorders>
            <w:noWrap w:val="0"/>
            <w:vAlign w:val="center"/>
          </w:tcPr>
          <w:p w14:paraId="6548A6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关闭拆除、岸坡整理复绿</w:t>
            </w:r>
          </w:p>
        </w:tc>
      </w:tr>
      <w:tr w14:paraId="186BB6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000" w:type="pct"/>
            <w:gridSpan w:val="10"/>
            <w:tcBorders>
              <w:tl2br w:val="nil"/>
              <w:tr2bl w:val="nil"/>
            </w:tcBorders>
            <w:noWrap/>
            <w:vAlign w:val="center"/>
          </w:tcPr>
          <w:p w14:paraId="57EFE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二、规范提升类非法码头</w:t>
            </w:r>
          </w:p>
        </w:tc>
      </w:tr>
      <w:tr w14:paraId="772361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217" w:type="pct"/>
            <w:tcBorders>
              <w:tl2br w:val="nil"/>
              <w:tr2bl w:val="nil"/>
            </w:tcBorders>
            <w:noWrap w:val="0"/>
            <w:vAlign w:val="center"/>
          </w:tcPr>
          <w:p w14:paraId="2EC42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651" w:type="pct"/>
            <w:tcBorders>
              <w:tl2br w:val="nil"/>
              <w:tr2bl w:val="nil"/>
            </w:tcBorders>
            <w:noWrap w:val="0"/>
            <w:vAlign w:val="center"/>
          </w:tcPr>
          <w:p w14:paraId="2282B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岳阳县兴和能源公司</w:t>
            </w:r>
          </w:p>
        </w:tc>
        <w:tc>
          <w:tcPr>
            <w:tcW w:w="554" w:type="pct"/>
            <w:tcBorders>
              <w:tl2br w:val="nil"/>
              <w:tr2bl w:val="nil"/>
            </w:tcBorders>
            <w:noWrap w:val="0"/>
            <w:vAlign w:val="center"/>
          </w:tcPr>
          <w:p w14:paraId="67909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兴和能源码头提质改造</w:t>
            </w:r>
          </w:p>
        </w:tc>
        <w:tc>
          <w:tcPr>
            <w:tcW w:w="490" w:type="pct"/>
            <w:tcBorders>
              <w:tl2br w:val="nil"/>
              <w:tr2bl w:val="nil"/>
            </w:tcBorders>
            <w:noWrap w:val="0"/>
            <w:vAlign w:val="center"/>
          </w:tcPr>
          <w:p w14:paraId="619E7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中洲乡机场村</w:t>
            </w:r>
          </w:p>
        </w:tc>
        <w:tc>
          <w:tcPr>
            <w:tcW w:w="443" w:type="pct"/>
            <w:tcBorders>
              <w:tl2br w:val="nil"/>
              <w:tr2bl w:val="nil"/>
            </w:tcBorders>
            <w:noWrap w:val="0"/>
            <w:vAlign w:val="center"/>
          </w:tcPr>
          <w:p w14:paraId="22798F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2003年</w:t>
            </w:r>
          </w:p>
        </w:tc>
        <w:tc>
          <w:tcPr>
            <w:tcW w:w="396" w:type="pct"/>
            <w:tcBorders>
              <w:tl2br w:val="nil"/>
              <w:tr2bl w:val="nil"/>
            </w:tcBorders>
            <w:noWrap w:val="0"/>
            <w:vAlign w:val="center"/>
          </w:tcPr>
          <w:p w14:paraId="657BD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404E0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140</w:t>
            </w:r>
          </w:p>
        </w:tc>
        <w:tc>
          <w:tcPr>
            <w:tcW w:w="413" w:type="pct"/>
            <w:tcBorders>
              <w:tl2br w:val="nil"/>
              <w:tr2bl w:val="nil"/>
            </w:tcBorders>
            <w:noWrap w:val="0"/>
            <w:vAlign w:val="center"/>
          </w:tcPr>
          <w:p w14:paraId="592C0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停业</w:t>
            </w:r>
          </w:p>
        </w:tc>
        <w:tc>
          <w:tcPr>
            <w:tcW w:w="633" w:type="pct"/>
            <w:tcBorders>
              <w:tl2br w:val="nil"/>
              <w:tr2bl w:val="nil"/>
            </w:tcBorders>
            <w:noWrap w:val="0"/>
            <w:vAlign w:val="center"/>
          </w:tcPr>
          <w:p w14:paraId="40D364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程序不完善，安全环保有待提升</w:t>
            </w:r>
          </w:p>
        </w:tc>
        <w:tc>
          <w:tcPr>
            <w:tcW w:w="636" w:type="pct"/>
            <w:tcBorders>
              <w:tl2br w:val="nil"/>
              <w:tr2bl w:val="nil"/>
            </w:tcBorders>
            <w:noWrap w:val="0"/>
            <w:vAlign w:val="center"/>
          </w:tcPr>
          <w:p w14:paraId="4E062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规范提升</w:t>
            </w:r>
          </w:p>
        </w:tc>
      </w:tr>
      <w:tr w14:paraId="42DF8E5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217" w:type="pct"/>
            <w:tcBorders>
              <w:tl2br w:val="nil"/>
              <w:tr2bl w:val="nil"/>
            </w:tcBorders>
            <w:noWrap w:val="0"/>
            <w:vAlign w:val="center"/>
          </w:tcPr>
          <w:p w14:paraId="79DD6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2</w:t>
            </w:r>
          </w:p>
        </w:tc>
        <w:tc>
          <w:tcPr>
            <w:tcW w:w="651" w:type="pct"/>
            <w:tcBorders>
              <w:tl2br w:val="nil"/>
              <w:tr2bl w:val="nil"/>
            </w:tcBorders>
            <w:noWrap w:val="0"/>
            <w:vAlign w:val="center"/>
          </w:tcPr>
          <w:p w14:paraId="48431E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岳阳县容源化工公司</w:t>
            </w:r>
          </w:p>
        </w:tc>
        <w:tc>
          <w:tcPr>
            <w:tcW w:w="554" w:type="pct"/>
            <w:tcBorders>
              <w:tl2br w:val="nil"/>
              <w:tr2bl w:val="nil"/>
            </w:tcBorders>
            <w:noWrap w:val="0"/>
            <w:vAlign w:val="center"/>
          </w:tcPr>
          <w:p w14:paraId="16A4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 xml:space="preserve">岳阳县鹿角交通渔政综合执法码头 </w:t>
            </w:r>
          </w:p>
        </w:tc>
        <w:tc>
          <w:tcPr>
            <w:tcW w:w="490" w:type="pct"/>
            <w:tcBorders>
              <w:tl2br w:val="nil"/>
              <w:tr2bl w:val="nil"/>
            </w:tcBorders>
            <w:noWrap w:val="0"/>
            <w:vAlign w:val="center"/>
          </w:tcPr>
          <w:p w14:paraId="02021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554B12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1978年</w:t>
            </w:r>
          </w:p>
        </w:tc>
        <w:tc>
          <w:tcPr>
            <w:tcW w:w="396" w:type="pct"/>
            <w:tcBorders>
              <w:tl2br w:val="nil"/>
              <w:tr2bl w:val="nil"/>
            </w:tcBorders>
            <w:noWrap w:val="0"/>
            <w:vAlign w:val="center"/>
          </w:tcPr>
          <w:p w14:paraId="67AE69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50C0D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80</w:t>
            </w:r>
          </w:p>
        </w:tc>
        <w:tc>
          <w:tcPr>
            <w:tcW w:w="413" w:type="pct"/>
            <w:tcBorders>
              <w:tl2br w:val="nil"/>
              <w:tr2bl w:val="nil"/>
            </w:tcBorders>
            <w:noWrap w:val="0"/>
            <w:vAlign w:val="center"/>
          </w:tcPr>
          <w:p w14:paraId="57649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停业</w:t>
            </w:r>
          </w:p>
        </w:tc>
        <w:tc>
          <w:tcPr>
            <w:tcW w:w="633" w:type="pct"/>
            <w:tcBorders>
              <w:tl2br w:val="nil"/>
              <w:tr2bl w:val="nil"/>
            </w:tcBorders>
            <w:noWrap w:val="0"/>
            <w:vAlign w:val="center"/>
          </w:tcPr>
          <w:p w14:paraId="605CE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程序不完善，安全环保有待提升</w:t>
            </w:r>
          </w:p>
        </w:tc>
        <w:tc>
          <w:tcPr>
            <w:tcW w:w="636" w:type="pct"/>
            <w:tcBorders>
              <w:tl2br w:val="nil"/>
              <w:tr2bl w:val="nil"/>
            </w:tcBorders>
            <w:noWrap w:val="0"/>
            <w:vAlign w:val="center"/>
          </w:tcPr>
          <w:p w14:paraId="440E1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规范提升</w:t>
            </w:r>
          </w:p>
        </w:tc>
      </w:tr>
      <w:tr w14:paraId="1DC684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217" w:type="pct"/>
            <w:tcBorders>
              <w:tl2br w:val="nil"/>
              <w:tr2bl w:val="nil"/>
            </w:tcBorders>
            <w:noWrap w:val="0"/>
            <w:vAlign w:val="center"/>
          </w:tcPr>
          <w:p w14:paraId="719BD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651" w:type="pct"/>
            <w:tcBorders>
              <w:tl2br w:val="nil"/>
              <w:tr2bl w:val="nil"/>
            </w:tcBorders>
            <w:noWrap w:val="0"/>
            <w:vAlign w:val="center"/>
          </w:tcPr>
          <w:p w14:paraId="39F44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湖南岳阳南方水泥公司</w:t>
            </w:r>
          </w:p>
        </w:tc>
        <w:tc>
          <w:tcPr>
            <w:tcW w:w="554" w:type="pct"/>
            <w:tcBorders>
              <w:tl2br w:val="nil"/>
              <w:tr2bl w:val="nil"/>
            </w:tcBorders>
            <w:noWrap w:val="0"/>
            <w:vAlign w:val="center"/>
          </w:tcPr>
          <w:p w14:paraId="31145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南方水泥专用码头</w:t>
            </w:r>
          </w:p>
        </w:tc>
        <w:tc>
          <w:tcPr>
            <w:tcW w:w="490" w:type="pct"/>
            <w:tcBorders>
              <w:tl2br w:val="nil"/>
              <w:tr2bl w:val="nil"/>
            </w:tcBorders>
            <w:noWrap w:val="0"/>
            <w:vAlign w:val="center"/>
          </w:tcPr>
          <w:p w14:paraId="42A9A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48E9E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2011年</w:t>
            </w:r>
          </w:p>
        </w:tc>
        <w:tc>
          <w:tcPr>
            <w:tcW w:w="396" w:type="pct"/>
            <w:tcBorders>
              <w:tl2br w:val="nil"/>
              <w:tr2bl w:val="nil"/>
            </w:tcBorders>
            <w:noWrap w:val="0"/>
            <w:vAlign w:val="center"/>
          </w:tcPr>
          <w:p w14:paraId="049F79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562" w:type="pct"/>
            <w:tcBorders>
              <w:tl2br w:val="nil"/>
              <w:tr2bl w:val="nil"/>
            </w:tcBorders>
            <w:noWrap w:val="0"/>
            <w:vAlign w:val="center"/>
          </w:tcPr>
          <w:p w14:paraId="11C5E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200</w:t>
            </w:r>
          </w:p>
        </w:tc>
        <w:tc>
          <w:tcPr>
            <w:tcW w:w="413" w:type="pct"/>
            <w:tcBorders>
              <w:tl2br w:val="nil"/>
              <w:tr2bl w:val="nil"/>
            </w:tcBorders>
            <w:noWrap w:val="0"/>
            <w:vAlign w:val="center"/>
          </w:tcPr>
          <w:p w14:paraId="5FD918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营业</w:t>
            </w:r>
          </w:p>
        </w:tc>
        <w:tc>
          <w:tcPr>
            <w:tcW w:w="633" w:type="pct"/>
            <w:tcBorders>
              <w:tl2br w:val="nil"/>
              <w:tr2bl w:val="nil"/>
            </w:tcBorders>
            <w:noWrap w:val="0"/>
            <w:vAlign w:val="center"/>
          </w:tcPr>
          <w:p w14:paraId="2F7F2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程序不完善，安全环保有待提升</w:t>
            </w:r>
          </w:p>
        </w:tc>
        <w:tc>
          <w:tcPr>
            <w:tcW w:w="636" w:type="pct"/>
            <w:tcBorders>
              <w:tl2br w:val="nil"/>
              <w:tr2bl w:val="nil"/>
            </w:tcBorders>
            <w:noWrap w:val="0"/>
            <w:vAlign w:val="center"/>
          </w:tcPr>
          <w:p w14:paraId="001DA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规范提升</w:t>
            </w:r>
          </w:p>
        </w:tc>
      </w:tr>
      <w:tr w14:paraId="24E560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217" w:type="pct"/>
            <w:tcBorders>
              <w:tl2br w:val="nil"/>
              <w:tr2bl w:val="nil"/>
            </w:tcBorders>
            <w:noWrap w:val="0"/>
            <w:vAlign w:val="center"/>
          </w:tcPr>
          <w:p w14:paraId="69487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4</w:t>
            </w:r>
          </w:p>
        </w:tc>
        <w:tc>
          <w:tcPr>
            <w:tcW w:w="651" w:type="pct"/>
            <w:tcBorders>
              <w:tl2br w:val="nil"/>
              <w:tr2bl w:val="nil"/>
            </w:tcBorders>
            <w:noWrap w:val="0"/>
            <w:vAlign w:val="center"/>
          </w:tcPr>
          <w:p w14:paraId="126423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岳阳县港航综合服务中心</w:t>
            </w:r>
          </w:p>
        </w:tc>
        <w:tc>
          <w:tcPr>
            <w:tcW w:w="554" w:type="pct"/>
            <w:tcBorders>
              <w:tl2br w:val="nil"/>
              <w:tr2bl w:val="nil"/>
            </w:tcBorders>
            <w:noWrap w:val="0"/>
            <w:vAlign w:val="center"/>
          </w:tcPr>
          <w:p w14:paraId="21E7B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交通综合码头</w:t>
            </w:r>
          </w:p>
        </w:tc>
        <w:tc>
          <w:tcPr>
            <w:tcW w:w="490" w:type="pct"/>
            <w:tcBorders>
              <w:tl2br w:val="nil"/>
              <w:tr2bl w:val="nil"/>
            </w:tcBorders>
            <w:noWrap w:val="0"/>
            <w:vAlign w:val="center"/>
          </w:tcPr>
          <w:p w14:paraId="0850E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63271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1991年</w:t>
            </w:r>
          </w:p>
        </w:tc>
        <w:tc>
          <w:tcPr>
            <w:tcW w:w="396" w:type="pct"/>
            <w:tcBorders>
              <w:tl2br w:val="nil"/>
              <w:tr2bl w:val="nil"/>
            </w:tcBorders>
            <w:noWrap w:val="0"/>
            <w:vAlign w:val="center"/>
          </w:tcPr>
          <w:p w14:paraId="1A6238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22F6F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100</w:t>
            </w:r>
          </w:p>
        </w:tc>
        <w:tc>
          <w:tcPr>
            <w:tcW w:w="413" w:type="pct"/>
            <w:tcBorders>
              <w:tl2br w:val="nil"/>
              <w:tr2bl w:val="nil"/>
            </w:tcBorders>
            <w:noWrap w:val="0"/>
            <w:vAlign w:val="center"/>
          </w:tcPr>
          <w:p w14:paraId="392FD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营业</w:t>
            </w:r>
          </w:p>
        </w:tc>
        <w:tc>
          <w:tcPr>
            <w:tcW w:w="633" w:type="pct"/>
            <w:tcBorders>
              <w:tl2br w:val="nil"/>
              <w:tr2bl w:val="nil"/>
            </w:tcBorders>
            <w:noWrap w:val="0"/>
            <w:vAlign w:val="center"/>
          </w:tcPr>
          <w:p w14:paraId="23DD0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程序不完善，安全环保有待提升</w:t>
            </w:r>
          </w:p>
        </w:tc>
        <w:tc>
          <w:tcPr>
            <w:tcW w:w="636" w:type="pct"/>
            <w:tcBorders>
              <w:tl2br w:val="nil"/>
              <w:tr2bl w:val="nil"/>
            </w:tcBorders>
            <w:noWrap w:val="0"/>
            <w:vAlign w:val="center"/>
          </w:tcPr>
          <w:p w14:paraId="13815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规范提升</w:t>
            </w:r>
          </w:p>
        </w:tc>
      </w:tr>
      <w:tr w14:paraId="4B16C78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217" w:type="pct"/>
            <w:tcBorders>
              <w:tl2br w:val="nil"/>
              <w:tr2bl w:val="nil"/>
            </w:tcBorders>
            <w:noWrap w:val="0"/>
            <w:vAlign w:val="center"/>
          </w:tcPr>
          <w:p w14:paraId="58DAE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651" w:type="pct"/>
            <w:tcBorders>
              <w:tl2br w:val="nil"/>
              <w:tr2bl w:val="nil"/>
            </w:tcBorders>
            <w:noWrap w:val="0"/>
            <w:vAlign w:val="center"/>
          </w:tcPr>
          <w:p w14:paraId="22A5A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岳阳县丰利纸业公司</w:t>
            </w:r>
          </w:p>
        </w:tc>
        <w:tc>
          <w:tcPr>
            <w:tcW w:w="554" w:type="pct"/>
            <w:tcBorders>
              <w:tl2br w:val="nil"/>
              <w:tr2bl w:val="nil"/>
            </w:tcBorders>
            <w:noWrap w:val="0"/>
            <w:vAlign w:val="center"/>
          </w:tcPr>
          <w:p w14:paraId="19824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丰利纸厂自用码头</w:t>
            </w:r>
          </w:p>
        </w:tc>
        <w:tc>
          <w:tcPr>
            <w:tcW w:w="490" w:type="pct"/>
            <w:tcBorders>
              <w:tl2br w:val="nil"/>
              <w:tr2bl w:val="nil"/>
            </w:tcBorders>
            <w:noWrap w:val="0"/>
            <w:vAlign w:val="center"/>
          </w:tcPr>
          <w:p w14:paraId="6F7B4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58C2D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1979年</w:t>
            </w:r>
          </w:p>
        </w:tc>
        <w:tc>
          <w:tcPr>
            <w:tcW w:w="396" w:type="pct"/>
            <w:tcBorders>
              <w:tl2br w:val="nil"/>
              <w:tr2bl w:val="nil"/>
            </w:tcBorders>
            <w:noWrap w:val="0"/>
            <w:vAlign w:val="center"/>
          </w:tcPr>
          <w:p w14:paraId="6F38E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tcBorders>
              <w:tl2br w:val="nil"/>
              <w:tr2bl w:val="nil"/>
            </w:tcBorders>
            <w:noWrap w:val="0"/>
            <w:vAlign w:val="center"/>
          </w:tcPr>
          <w:p w14:paraId="7688B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55</w:t>
            </w:r>
          </w:p>
        </w:tc>
        <w:tc>
          <w:tcPr>
            <w:tcW w:w="413" w:type="pct"/>
            <w:tcBorders>
              <w:tl2br w:val="nil"/>
              <w:tr2bl w:val="nil"/>
            </w:tcBorders>
            <w:noWrap w:val="0"/>
            <w:vAlign w:val="center"/>
          </w:tcPr>
          <w:p w14:paraId="03C4E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停业</w:t>
            </w:r>
          </w:p>
        </w:tc>
        <w:tc>
          <w:tcPr>
            <w:tcW w:w="633" w:type="pct"/>
            <w:tcBorders>
              <w:tl2br w:val="nil"/>
              <w:tr2bl w:val="nil"/>
            </w:tcBorders>
            <w:noWrap w:val="0"/>
            <w:vAlign w:val="center"/>
          </w:tcPr>
          <w:p w14:paraId="282C7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程序不完善，安全环保有待提升</w:t>
            </w:r>
          </w:p>
        </w:tc>
        <w:tc>
          <w:tcPr>
            <w:tcW w:w="636" w:type="pct"/>
            <w:tcBorders>
              <w:tl2br w:val="nil"/>
              <w:tr2bl w:val="nil"/>
            </w:tcBorders>
            <w:noWrap w:val="0"/>
            <w:vAlign w:val="center"/>
          </w:tcPr>
          <w:p w14:paraId="19D65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规范提升</w:t>
            </w:r>
          </w:p>
        </w:tc>
      </w:tr>
      <w:tr w14:paraId="760A23F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000" w:type="pct"/>
            <w:gridSpan w:val="10"/>
            <w:tcBorders>
              <w:tl2br w:val="nil"/>
              <w:tr2bl w:val="nil"/>
            </w:tcBorders>
            <w:noWrap/>
            <w:vAlign w:val="center"/>
          </w:tcPr>
          <w:p w14:paraId="1BF265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三、合法类码头</w:t>
            </w:r>
          </w:p>
        </w:tc>
      </w:tr>
      <w:tr w14:paraId="5C0078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217" w:type="pct"/>
            <w:tcBorders>
              <w:tl2br w:val="nil"/>
              <w:tr2bl w:val="nil"/>
            </w:tcBorders>
            <w:noWrap w:val="0"/>
            <w:vAlign w:val="center"/>
          </w:tcPr>
          <w:p w14:paraId="43821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651" w:type="pct"/>
            <w:tcBorders>
              <w:tl2br w:val="nil"/>
              <w:tr2bl w:val="nil"/>
            </w:tcBorders>
            <w:noWrap w:val="0"/>
            <w:vAlign w:val="center"/>
          </w:tcPr>
          <w:p w14:paraId="1C77F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岳阳县荣鹿公路建设开发公司</w:t>
            </w:r>
          </w:p>
        </w:tc>
        <w:tc>
          <w:tcPr>
            <w:tcW w:w="554" w:type="pct"/>
            <w:tcBorders>
              <w:tl2br w:val="nil"/>
              <w:tr2bl w:val="nil"/>
            </w:tcBorders>
            <w:noWrap w:val="0"/>
            <w:vAlign w:val="center"/>
          </w:tcPr>
          <w:p w14:paraId="659AD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鹿角浮码头</w:t>
            </w:r>
          </w:p>
        </w:tc>
        <w:tc>
          <w:tcPr>
            <w:tcW w:w="490" w:type="pct"/>
            <w:tcBorders>
              <w:tl2br w:val="nil"/>
              <w:tr2bl w:val="nil"/>
            </w:tcBorders>
            <w:noWrap w:val="0"/>
            <w:vAlign w:val="center"/>
          </w:tcPr>
          <w:p w14:paraId="297D1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0A9A2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2016年</w:t>
            </w:r>
          </w:p>
        </w:tc>
        <w:tc>
          <w:tcPr>
            <w:tcW w:w="396" w:type="pct"/>
            <w:tcBorders>
              <w:tl2br w:val="nil"/>
              <w:tr2bl w:val="nil"/>
            </w:tcBorders>
            <w:noWrap w:val="0"/>
            <w:vAlign w:val="center"/>
          </w:tcPr>
          <w:p w14:paraId="31547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vMerge w:val="restart"/>
            <w:tcBorders>
              <w:tl2br w:val="nil"/>
              <w:tr2bl w:val="nil"/>
            </w:tcBorders>
            <w:noWrap w:val="0"/>
            <w:vAlign w:val="center"/>
          </w:tcPr>
          <w:p w14:paraId="0CF6A4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224</w:t>
            </w:r>
          </w:p>
        </w:tc>
        <w:tc>
          <w:tcPr>
            <w:tcW w:w="413" w:type="pct"/>
            <w:tcBorders>
              <w:tl2br w:val="nil"/>
              <w:tr2bl w:val="nil"/>
            </w:tcBorders>
            <w:noWrap w:val="0"/>
            <w:vAlign w:val="center"/>
          </w:tcPr>
          <w:p w14:paraId="21393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营业</w:t>
            </w:r>
          </w:p>
        </w:tc>
        <w:tc>
          <w:tcPr>
            <w:tcW w:w="1270" w:type="pct"/>
            <w:gridSpan w:val="2"/>
            <w:tcBorders>
              <w:tl2br w:val="nil"/>
              <w:tr2bl w:val="nil"/>
            </w:tcBorders>
            <w:noWrap w:val="0"/>
            <w:vAlign w:val="center"/>
          </w:tcPr>
          <w:p w14:paraId="36215F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补充岸电、船舶污染物接收设施，环保设施提质</w:t>
            </w:r>
          </w:p>
        </w:tc>
      </w:tr>
      <w:tr w14:paraId="0CEC3F4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217" w:type="pct"/>
            <w:tcBorders>
              <w:tl2br w:val="nil"/>
              <w:tr2bl w:val="nil"/>
            </w:tcBorders>
            <w:noWrap w:val="0"/>
            <w:vAlign w:val="center"/>
          </w:tcPr>
          <w:p w14:paraId="04656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651" w:type="pct"/>
            <w:tcBorders>
              <w:tl2br w:val="nil"/>
              <w:tr2bl w:val="nil"/>
            </w:tcBorders>
            <w:noWrap w:val="0"/>
            <w:vAlign w:val="center"/>
          </w:tcPr>
          <w:p w14:paraId="36974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岳阳县荣鹿公路建设开发公司</w:t>
            </w:r>
          </w:p>
        </w:tc>
        <w:tc>
          <w:tcPr>
            <w:tcW w:w="554" w:type="pct"/>
            <w:tcBorders>
              <w:tl2br w:val="nil"/>
              <w:tr2bl w:val="nil"/>
            </w:tcBorders>
            <w:noWrap w:val="0"/>
            <w:vAlign w:val="center"/>
          </w:tcPr>
          <w:p w14:paraId="3ACAC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鹿角直立码头</w:t>
            </w:r>
          </w:p>
        </w:tc>
        <w:tc>
          <w:tcPr>
            <w:tcW w:w="490" w:type="pct"/>
            <w:tcBorders>
              <w:tl2br w:val="nil"/>
              <w:tr2bl w:val="nil"/>
            </w:tcBorders>
            <w:noWrap w:val="0"/>
            <w:vAlign w:val="center"/>
          </w:tcPr>
          <w:p w14:paraId="64E8B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荣家湾镇鹿角</w:t>
            </w:r>
          </w:p>
        </w:tc>
        <w:tc>
          <w:tcPr>
            <w:tcW w:w="443" w:type="pct"/>
            <w:tcBorders>
              <w:tl2br w:val="nil"/>
              <w:tr2bl w:val="nil"/>
            </w:tcBorders>
            <w:noWrap w:val="0"/>
            <w:vAlign w:val="center"/>
          </w:tcPr>
          <w:p w14:paraId="070E1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2016年</w:t>
            </w:r>
          </w:p>
        </w:tc>
        <w:tc>
          <w:tcPr>
            <w:tcW w:w="396" w:type="pct"/>
            <w:tcBorders>
              <w:tl2br w:val="nil"/>
              <w:tr2bl w:val="nil"/>
            </w:tcBorders>
            <w:noWrap w:val="0"/>
            <w:vAlign w:val="center"/>
          </w:tcPr>
          <w:p w14:paraId="45C25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562" w:type="pct"/>
            <w:vMerge w:val="continue"/>
            <w:tcBorders>
              <w:tl2br w:val="nil"/>
              <w:tr2bl w:val="nil"/>
            </w:tcBorders>
            <w:noWrap w:val="0"/>
            <w:vAlign w:val="center"/>
          </w:tcPr>
          <w:p w14:paraId="38B5CD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color="auto"/>
              </w:rPr>
            </w:pPr>
          </w:p>
        </w:tc>
        <w:tc>
          <w:tcPr>
            <w:tcW w:w="413" w:type="pct"/>
            <w:tcBorders>
              <w:tl2br w:val="nil"/>
              <w:tr2bl w:val="nil"/>
            </w:tcBorders>
            <w:noWrap w:val="0"/>
            <w:vAlign w:val="center"/>
          </w:tcPr>
          <w:p w14:paraId="60D01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营业</w:t>
            </w:r>
          </w:p>
        </w:tc>
        <w:tc>
          <w:tcPr>
            <w:tcW w:w="1270" w:type="pct"/>
            <w:gridSpan w:val="2"/>
            <w:tcBorders>
              <w:tl2br w:val="nil"/>
              <w:tr2bl w:val="nil"/>
            </w:tcBorders>
            <w:noWrap w:val="0"/>
            <w:vAlign w:val="center"/>
          </w:tcPr>
          <w:p w14:paraId="048C7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补充岸电、船舶污染物接收设施，环保设施提质</w:t>
            </w:r>
          </w:p>
        </w:tc>
      </w:tr>
    </w:tbl>
    <w:p w14:paraId="7A0AC671">
      <w:pPr>
        <w:pStyle w:val="8"/>
        <w:keepNext/>
        <w:keepLines/>
        <w:pageBreakBefore w:val="0"/>
        <w:widowControl w:val="0"/>
        <w:kinsoku/>
        <w:wordWrap/>
        <w:overflowPunct/>
        <w:topLinePunct w:val="0"/>
        <w:autoSpaceDE/>
        <w:autoSpaceDN/>
        <w:bidi w:val="0"/>
        <w:adjustRightInd/>
        <w:snapToGrid/>
        <w:spacing w:before="313" w:beforeLines="100" w:after="0" w:line="360" w:lineRule="auto"/>
        <w:ind w:left="578" w:hanging="578"/>
        <w:textAlignment w:val="auto"/>
        <w:rPr>
          <w:rFonts w:hint="default" w:ascii="Times New Roman" w:hAnsi="Times New Roman" w:eastAsia="宋体" w:cs="Times New Roman"/>
          <w:color w:val="auto"/>
          <w:sz w:val="28"/>
          <w:szCs w:val="28"/>
        </w:rPr>
      </w:pPr>
      <w:bookmarkStart w:id="19" w:name="_Toc2192"/>
      <w:bookmarkStart w:id="20" w:name="_Toc9022"/>
      <w:bookmarkStart w:id="21" w:name="_Toc4491_WPSOffice_Level2"/>
      <w:bookmarkStart w:id="22" w:name="_Toc23635_WPSOffice_Level2"/>
      <w:bookmarkStart w:id="23" w:name="_Toc1643"/>
      <w:bookmarkStart w:id="24" w:name="_Toc26293_WPSOffice_Level2"/>
      <w:bookmarkStart w:id="25" w:name="_Toc18434_WPSOffice_Level2"/>
      <w:bookmarkStart w:id="26" w:name="_Toc9127_WPSOffice_Level2"/>
      <w:bookmarkStart w:id="27" w:name="_Toc19029"/>
      <w:bookmarkStart w:id="28" w:name="_Toc19873_WPSOffice_Level2"/>
      <w:bookmarkStart w:id="29" w:name="_Toc21676"/>
      <w:r>
        <w:rPr>
          <w:rFonts w:hint="default" w:ascii="Times New Roman" w:hAnsi="Times New Roman" w:eastAsia="宋体" w:cs="Times New Roman"/>
          <w:color w:val="auto"/>
          <w:sz w:val="28"/>
          <w:szCs w:val="28"/>
        </w:rPr>
        <w:t>1.2环境影响评价的工作过程</w:t>
      </w:r>
      <w:bookmarkEnd w:id="19"/>
      <w:bookmarkEnd w:id="20"/>
      <w:bookmarkEnd w:id="21"/>
      <w:bookmarkEnd w:id="22"/>
      <w:bookmarkEnd w:id="23"/>
      <w:bookmarkEnd w:id="24"/>
      <w:bookmarkEnd w:id="25"/>
      <w:bookmarkEnd w:id="26"/>
      <w:bookmarkEnd w:id="27"/>
      <w:bookmarkEnd w:id="28"/>
      <w:bookmarkEnd w:id="29"/>
    </w:p>
    <w:p w14:paraId="15555E45">
      <w:pPr>
        <w:pStyle w:val="3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《中华人民共和国环境保护法》、《中华人民共和国环境影响评价法》、《建设项目环境保护管理条例》的有关规定，建设对环境有影响的项目，应当依法进行环境影响评价。</w:t>
      </w:r>
      <w:r>
        <w:rPr>
          <w:rFonts w:hint="eastAsia" w:cs="Times New Roman"/>
          <w:color w:val="auto"/>
          <w:sz w:val="24"/>
          <w:szCs w:val="24"/>
          <w:lang w:val="en-US" w:eastAsia="zh-CN"/>
        </w:rPr>
        <w:t>由于</w:t>
      </w: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位于</w:t>
      </w:r>
      <w:r>
        <w:rPr>
          <w:rFonts w:hint="default" w:ascii="Times New Roman" w:hAnsi="Times New Roman" w:eastAsia="宋体" w:cs="Times New Roman"/>
          <w:color w:val="auto"/>
          <w:sz w:val="24"/>
          <w:szCs w:val="24"/>
        </w:rPr>
        <w:t>江豚自然保护区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东洞庭湖鲤、鲫、黄颡国家级水产种质资源保护区</w:t>
      </w:r>
      <w:r>
        <w:rPr>
          <w:rFonts w:hint="eastAsia" w:cs="Times New Roman"/>
          <w:color w:val="auto"/>
          <w:sz w:val="24"/>
          <w:szCs w:val="24"/>
          <w:lang w:val="en-US" w:eastAsia="zh-CN"/>
        </w:rPr>
        <w:t>及江豚自然保护区缓冲区范围内，</w:t>
      </w:r>
      <w:r>
        <w:rPr>
          <w:rFonts w:hint="default" w:ascii="Times New Roman" w:hAnsi="Times New Roman" w:eastAsia="宋体" w:cs="Times New Roman"/>
          <w:color w:val="auto"/>
          <w:sz w:val="24"/>
          <w:szCs w:val="24"/>
        </w:rPr>
        <w:t>根据《建设项目环境影响评价分类管理名录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》（部令第</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号），该项目属于</w:t>
      </w:r>
      <w:r>
        <w:rPr>
          <w:rFonts w:hint="eastAsia" w:cs="Times New Roman"/>
          <w:color w:val="auto"/>
          <w:sz w:val="24"/>
          <w:szCs w:val="24"/>
          <w:lang w:eastAsia="zh-CN"/>
        </w:rPr>
        <w:t>“五十二、交通运输业、管道运输业”</w:t>
      </w:r>
      <w:r>
        <w:rPr>
          <w:rFonts w:hint="default" w:ascii="Times New Roman" w:hAnsi="Times New Roman" w:eastAsia="宋体" w:cs="Times New Roman"/>
          <w:color w:val="auto"/>
          <w:sz w:val="24"/>
          <w:szCs w:val="24"/>
          <w:lang w:eastAsia="zh-CN"/>
        </w:rPr>
        <w:t>中</w:t>
      </w:r>
      <w:r>
        <w:rPr>
          <w:rFonts w:hint="eastAsia" w:cs="Times New Roman"/>
          <w:color w:val="auto"/>
          <w:sz w:val="24"/>
          <w:szCs w:val="24"/>
          <w:lang w:eastAsia="zh-CN"/>
        </w:rPr>
        <w:t>“145.滚装、客运、工作船、游艇码头”</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涉及环境敏感区</w:t>
      </w:r>
      <w:r>
        <w:rPr>
          <w:rFonts w:hint="default" w:ascii="Times New Roman" w:hAnsi="Times New Roman" w:eastAsia="宋体" w:cs="Times New Roman"/>
          <w:color w:val="auto"/>
          <w:sz w:val="24"/>
          <w:szCs w:val="24"/>
        </w:rPr>
        <w:t>，按要求应编制环境影响报告书。</w:t>
      </w:r>
    </w:p>
    <w:p w14:paraId="2602EDB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为完善环保审批手续，岳阳县东洞庭湖渔政监察执法局</w:t>
      </w:r>
      <w:r>
        <w:rPr>
          <w:rFonts w:hint="default" w:ascii="Times New Roman" w:hAnsi="Times New Roman" w:eastAsia="宋体" w:cs="Times New Roman"/>
          <w:color w:val="auto"/>
          <w:sz w:val="24"/>
          <w:szCs w:val="24"/>
        </w:rPr>
        <w:t>委托</w:t>
      </w:r>
      <w:r>
        <w:rPr>
          <w:rFonts w:hint="default" w:ascii="Times New Roman" w:hAnsi="Times New Roman" w:eastAsia="宋体" w:cs="Times New Roman"/>
          <w:color w:val="auto"/>
          <w:sz w:val="24"/>
          <w:szCs w:val="24"/>
          <w:lang w:val="en-US" w:eastAsia="zh-CN"/>
        </w:rPr>
        <w:t>湖南联智环境技术有限公司</w:t>
      </w:r>
      <w:r>
        <w:rPr>
          <w:rFonts w:hint="default" w:ascii="Times New Roman" w:hAnsi="Times New Roman" w:eastAsia="宋体" w:cs="Times New Roman"/>
          <w:color w:val="auto"/>
          <w:sz w:val="24"/>
          <w:szCs w:val="24"/>
        </w:rPr>
        <w:t>承担</w:t>
      </w: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项目的环境影响评价编制工作。</w:t>
      </w:r>
    </w:p>
    <w:p w14:paraId="3B6DE13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我公司承接了岳阳县鹿角交通渔政综合执法码头提质改造工程项目环境影响评价的工作任务</w:t>
      </w:r>
      <w:r>
        <w:rPr>
          <w:rFonts w:hint="default" w:ascii="Times New Roman" w:hAnsi="Times New Roman" w:eastAsia="宋体" w:cs="Times New Roman"/>
          <w:color w:val="auto"/>
          <w:sz w:val="24"/>
          <w:szCs w:val="24"/>
        </w:rPr>
        <w:t>。</w:t>
      </w:r>
    </w:p>
    <w:p w14:paraId="0504CB4D">
      <w:pPr>
        <w:pStyle w:val="38"/>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2023年1月</w:t>
      </w:r>
      <w:r>
        <w:rPr>
          <w:rFonts w:hint="default" w:ascii="Times New Roman" w:hAnsi="Times New Roman" w:eastAsia="宋体" w:cs="Times New Roman"/>
          <w:color w:val="auto"/>
          <w:sz w:val="24"/>
          <w:szCs w:val="24"/>
        </w:rPr>
        <w:t>我</w:t>
      </w:r>
      <w:r>
        <w:rPr>
          <w:rFonts w:hint="default" w:ascii="Times New Roman" w:hAnsi="Times New Roman" w:eastAsia="宋体" w:cs="Times New Roman"/>
          <w:color w:val="auto"/>
          <w:sz w:val="24"/>
          <w:szCs w:val="24"/>
          <w:lang w:eastAsia="zh-CN"/>
        </w:rPr>
        <w:t>公司</w:t>
      </w:r>
      <w:r>
        <w:rPr>
          <w:rFonts w:hint="default" w:ascii="Times New Roman" w:hAnsi="Times New Roman" w:eastAsia="宋体" w:cs="Times New Roman"/>
          <w:color w:val="auto"/>
          <w:sz w:val="24"/>
          <w:szCs w:val="24"/>
        </w:rPr>
        <w:t>承接</w:t>
      </w:r>
      <w:r>
        <w:rPr>
          <w:rFonts w:hint="default" w:ascii="Times New Roman" w:hAnsi="Times New Roman" w:eastAsia="宋体" w:cs="Times New Roman"/>
          <w:color w:val="auto"/>
          <w:sz w:val="24"/>
          <w:szCs w:val="24"/>
          <w:lang w:eastAsia="zh-CN"/>
        </w:rPr>
        <w:t>环评委托</w:t>
      </w:r>
      <w:r>
        <w:rPr>
          <w:rFonts w:hint="default" w:ascii="Times New Roman" w:hAnsi="Times New Roman" w:eastAsia="宋体" w:cs="Times New Roman"/>
          <w:color w:val="auto"/>
          <w:sz w:val="24"/>
          <w:szCs w:val="24"/>
        </w:rPr>
        <w:t>任务后，评价技术人员收集项目设计方案及相关规划等基础资料，对现场初步调查，对项目工程进行初步分析，对环境影响因素进行识别与筛选，确定项目评价重点和环境保护目标、评价工作等级、评价范围和评价标准等。</w:t>
      </w:r>
      <w:r>
        <w:rPr>
          <w:rFonts w:hint="default" w:ascii="Times New Roman" w:hAnsi="Times New Roman" w:eastAsia="宋体" w:cs="Times New Roman"/>
          <w:color w:val="auto"/>
          <w:sz w:val="24"/>
          <w:szCs w:val="24"/>
          <w:lang w:eastAsia="zh-CN"/>
        </w:rPr>
        <w:t>并</w:t>
      </w:r>
      <w:r>
        <w:rPr>
          <w:rFonts w:hint="default" w:ascii="Times New Roman" w:hAnsi="Times New Roman" w:eastAsia="宋体" w:cs="Times New Roman"/>
          <w:color w:val="auto"/>
          <w:sz w:val="24"/>
          <w:szCs w:val="24"/>
        </w:rPr>
        <w:t>收集有关资料，调查</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周围的地表水、环境空气、声环境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底泥环境质量现状资料，收集了项目所在区域近期环境质量现状监测数据；并根据项目的规模、污染物排放量及其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处理措施，分析和预测项目可能对周围环境产生的影响程度和范围，提出相应的减缓环境影响的对策和措施。在以上基础上，根据国家、省市的有关环保法规及环境影响评价技术导则的要求，并结合本项目的工程特点，</w:t>
      </w:r>
      <w:r>
        <w:rPr>
          <w:rFonts w:hint="eastAsia" w:ascii="Times New Roman" w:hAnsi="Times New Roman" w:eastAsia="宋体" w:cs="Times New Roman"/>
          <w:color w:val="auto"/>
          <w:sz w:val="24"/>
          <w:szCs w:val="24"/>
          <w:lang w:val="en-US" w:eastAsia="zh-CN"/>
        </w:rPr>
        <w:t>2023年6月</w:t>
      </w:r>
      <w:r>
        <w:rPr>
          <w:rFonts w:hint="default" w:ascii="Times New Roman" w:hAnsi="Times New Roman" w:eastAsia="宋体" w:cs="Times New Roman"/>
          <w:color w:val="auto"/>
          <w:sz w:val="24"/>
          <w:szCs w:val="24"/>
        </w:rPr>
        <w:t>完成了《岳阳县鹿角交通渔政综合执法码头提质改造工程项目环境影响报告书》</w:t>
      </w:r>
      <w:r>
        <w:rPr>
          <w:rFonts w:hint="eastAsia" w:ascii="Times New Roman" w:hAnsi="Times New Roman" w:eastAsia="宋体" w:cs="Times New Roman"/>
          <w:color w:val="auto"/>
          <w:sz w:val="24"/>
          <w:szCs w:val="24"/>
          <w:lang w:val="en-US" w:eastAsia="zh-CN"/>
        </w:rPr>
        <w:t>的编制工作</w:t>
      </w:r>
      <w:r>
        <w:rPr>
          <w:rFonts w:hint="eastAsia" w:ascii="Times New Roman" w:hAnsi="Times New Roman" w:eastAsia="宋体" w:cs="Times New Roman"/>
          <w:color w:val="auto"/>
          <w:sz w:val="24"/>
          <w:szCs w:val="24"/>
          <w:lang w:eastAsia="zh-CN"/>
        </w:rPr>
        <w:t>。</w:t>
      </w:r>
    </w:p>
    <w:p w14:paraId="5A48B44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岳阳县东洞庭湖渔政监察执法局</w:t>
      </w:r>
      <w:r>
        <w:rPr>
          <w:rFonts w:hint="eastAsia"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在岳阳县人民政府官网</w:t>
      </w:r>
      <w:r>
        <w:rPr>
          <w:rFonts w:hint="default" w:ascii="Times New Roman" w:hAnsi="Times New Roman" w:eastAsia="宋体" w:cs="Times New Roman"/>
          <w:color w:val="auto"/>
          <w:sz w:val="24"/>
          <w:szCs w:val="24"/>
        </w:rPr>
        <w:t>发布了项目环评第一次公示</w:t>
      </w:r>
      <w:r>
        <w:rPr>
          <w:rFonts w:hint="eastAsia" w:ascii="Times New Roman" w:hAnsi="Times New Roman" w:eastAsia="宋体" w:cs="Times New Roman"/>
          <w:color w:val="auto"/>
          <w:sz w:val="24"/>
          <w:szCs w:val="24"/>
          <w:lang w:eastAsia="zh-CN"/>
        </w:rPr>
        <w:t>。2023年6月</w:t>
      </w:r>
      <w:r>
        <w:rPr>
          <w:rFonts w:hint="eastAsia" w:ascii="Times New Roman" w:hAnsi="Times New Roman" w:eastAsia="宋体" w:cs="Times New Roman"/>
          <w:color w:val="auto"/>
          <w:sz w:val="24"/>
          <w:szCs w:val="24"/>
          <w:lang w:val="en-US" w:eastAsia="zh-CN"/>
        </w:rPr>
        <w:t>我公司编制</w:t>
      </w:r>
      <w:r>
        <w:rPr>
          <w:rFonts w:hint="eastAsia" w:ascii="Times New Roman" w:hAnsi="Times New Roman" w:eastAsia="宋体" w:cs="Times New Roman"/>
          <w:color w:val="auto"/>
          <w:sz w:val="24"/>
          <w:szCs w:val="24"/>
          <w:lang w:eastAsia="zh-CN"/>
        </w:rPr>
        <w:t>完成了《岳阳县鹿角交通渔政综合执法码头提质改造工程项目环境影响报告书》（</w:t>
      </w:r>
      <w:r>
        <w:rPr>
          <w:rFonts w:hint="eastAsia" w:ascii="Times New Roman" w:hAnsi="Times New Roman" w:eastAsia="宋体" w:cs="Times New Roman"/>
          <w:color w:val="auto"/>
          <w:sz w:val="24"/>
          <w:szCs w:val="24"/>
          <w:lang w:val="en-US" w:eastAsia="zh-CN"/>
        </w:rPr>
        <w:t>征求意见稿</w:t>
      </w:r>
      <w:r>
        <w:rPr>
          <w:rFonts w:hint="eastAsia" w:ascii="Times New Roman" w:hAnsi="Times New Roman" w:eastAsia="宋体" w:cs="Times New Roman"/>
          <w:color w:val="auto"/>
          <w:sz w:val="24"/>
          <w:szCs w:val="24"/>
          <w:lang w:eastAsia="zh-CN"/>
        </w:rPr>
        <w:t>），岳阳县东洞庭湖渔政监察执法局</w:t>
      </w:r>
      <w:r>
        <w:rPr>
          <w:rFonts w:hint="eastAsia"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日在岳阳县人民政府官网进行了环境影响评价报告书征求意见稿公示，</w:t>
      </w:r>
      <w:r>
        <w:rPr>
          <w:rFonts w:hint="eastAsia" w:ascii="Times New Roman" w:hAnsi="Times New Roman" w:eastAsia="宋体" w:cs="Times New Roman"/>
          <w:color w:val="auto"/>
          <w:sz w:val="24"/>
          <w:szCs w:val="24"/>
          <w:lang w:eastAsia="zh-CN"/>
        </w:rPr>
        <w:t>并同步通过岳阳日报、建设项目所在地公众易于知悉的场所张贴公告的方式公开项目信息。</w:t>
      </w:r>
    </w:p>
    <w:p w14:paraId="33BC1B9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w:t>
      </w:r>
      <w:r>
        <w:rPr>
          <w:rFonts w:hint="eastAsia"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rPr>
        <w:t>建设单位</w:t>
      </w:r>
      <w:r>
        <w:rPr>
          <w:rFonts w:hint="eastAsia" w:ascii="Times New Roman" w:hAnsi="Times New Roman" w:eastAsia="宋体" w:cs="Times New Roman"/>
          <w:color w:val="auto"/>
          <w:sz w:val="24"/>
          <w:szCs w:val="24"/>
          <w:lang w:val="en-US" w:eastAsia="zh-CN"/>
        </w:rPr>
        <w:t>将《岳阳县鹿角交通渔政综合执法码头提质改造工程项目环境影响报告书》（送审稿）</w:t>
      </w:r>
      <w:r>
        <w:rPr>
          <w:rFonts w:hint="default" w:ascii="Times New Roman" w:hAnsi="Times New Roman" w:eastAsia="宋体" w:cs="Times New Roman"/>
          <w:color w:val="auto"/>
          <w:sz w:val="24"/>
          <w:szCs w:val="24"/>
        </w:rPr>
        <w:t>呈送</w:t>
      </w:r>
      <w:r>
        <w:rPr>
          <w:rFonts w:hint="default" w:ascii="Times New Roman" w:hAnsi="Times New Roman" w:eastAsia="宋体" w:cs="Times New Roman"/>
          <w:color w:val="auto"/>
          <w:sz w:val="24"/>
          <w:szCs w:val="24"/>
          <w:lang w:eastAsia="zh-CN"/>
        </w:rPr>
        <w:t>生态环境</w:t>
      </w:r>
      <w:r>
        <w:rPr>
          <w:rFonts w:hint="default" w:ascii="Times New Roman" w:hAnsi="Times New Roman" w:eastAsia="宋体" w:cs="Times New Roman"/>
          <w:color w:val="auto"/>
          <w:sz w:val="24"/>
          <w:szCs w:val="24"/>
        </w:rPr>
        <w:t>主管部门审查。本项目环境影响评价程序如下图所示。</w:t>
      </w:r>
    </w:p>
    <w:p w14:paraId="1590621D">
      <w:pPr>
        <w:pStyle w:val="38"/>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rPr>
      </w:pPr>
      <w:r>
        <w:rPr>
          <w:rFonts w:hint="eastAsia" w:ascii="仿宋" w:hAnsi="仿宋" w:eastAsia="仿宋" w:cs="仿宋"/>
          <w:color w:val="auto"/>
        </w:rPr>
        <w:object>
          <v:shape id="_x0000_i1025" o:spt="75" type="#_x0000_t75" style="height:541.25pt;width:414.3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14:paraId="6B8FEA0D">
      <w:pPr>
        <w:pStyle w:val="38"/>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eastAsiaTheme="majorEastAsia"/>
          <w:b/>
          <w:bCs/>
          <w:color w:val="auto"/>
          <w:lang w:val="en-US" w:eastAsia="zh-CN"/>
        </w:rPr>
        <w:t>图</w:t>
      </w:r>
      <w:r>
        <w:rPr>
          <w:rFonts w:hint="eastAsia" w:cs="Times New Roman" w:eastAsiaTheme="majorEastAsia"/>
          <w:b/>
          <w:bCs/>
          <w:color w:val="auto"/>
          <w:lang w:val="en-US" w:eastAsia="zh-CN"/>
        </w:rPr>
        <w:t>1</w:t>
      </w:r>
      <w:r>
        <w:rPr>
          <w:rFonts w:hint="default" w:ascii="Times New Roman" w:hAnsi="Times New Roman" w:cs="Times New Roman" w:eastAsiaTheme="majorEastAsia"/>
          <w:b/>
          <w:bCs/>
          <w:color w:val="auto"/>
          <w:lang w:val="en-US" w:eastAsia="zh-CN"/>
        </w:rPr>
        <w:t>.</w:t>
      </w:r>
      <w:r>
        <w:rPr>
          <w:rFonts w:hint="eastAsia" w:cs="Times New Roman" w:eastAsiaTheme="majorEastAsia"/>
          <w:b/>
          <w:bCs/>
          <w:color w:val="auto"/>
          <w:lang w:val="en-US" w:eastAsia="zh-CN"/>
        </w:rPr>
        <w:t>2</w:t>
      </w:r>
      <w:r>
        <w:rPr>
          <w:rFonts w:hint="default" w:ascii="Times New Roman" w:hAnsi="Times New Roman" w:cs="Times New Roman" w:eastAsiaTheme="majorEastAsia"/>
          <w:b/>
          <w:bCs/>
          <w:color w:val="auto"/>
          <w:lang w:val="en-US" w:eastAsia="zh-CN"/>
        </w:rPr>
        <w:t>-1 环境影响评价工作程序图</w:t>
      </w:r>
    </w:p>
    <w:p w14:paraId="0A96EBE8">
      <w:pPr>
        <w:pStyle w:val="8"/>
        <w:keepNext/>
        <w:keepLines/>
        <w:pageBreakBefore w:val="0"/>
        <w:widowControl w:val="0"/>
        <w:kinsoku/>
        <w:wordWrap/>
        <w:overflowPunct/>
        <w:topLinePunct w:val="0"/>
        <w:autoSpaceDE/>
        <w:autoSpaceDN/>
        <w:bidi w:val="0"/>
        <w:adjustRightInd/>
        <w:snapToGrid/>
        <w:spacing w:before="0" w:after="0" w:line="360" w:lineRule="auto"/>
        <w:ind w:left="578" w:hanging="578"/>
        <w:textAlignment w:val="auto"/>
        <w:rPr>
          <w:rFonts w:hint="default" w:ascii="Times New Roman" w:hAnsi="Times New Roman" w:eastAsia="宋体" w:cs="Times New Roman"/>
          <w:color w:val="auto"/>
          <w:sz w:val="28"/>
          <w:szCs w:val="28"/>
        </w:rPr>
      </w:pPr>
      <w:bookmarkStart w:id="30" w:name="_Toc6173_WPSOffice_Level2"/>
      <w:bookmarkStart w:id="31" w:name="_Toc1561_WPSOffice_Level2"/>
      <w:bookmarkStart w:id="32" w:name="_Toc22195"/>
      <w:bookmarkStart w:id="33" w:name="_Toc10450_WPSOffice_Level2"/>
      <w:bookmarkStart w:id="34" w:name="_Toc14010"/>
      <w:bookmarkStart w:id="35" w:name="_Toc13460_WPSOffice_Level2"/>
      <w:bookmarkStart w:id="36" w:name="_Toc13698"/>
      <w:bookmarkStart w:id="37" w:name="_Toc23085"/>
      <w:bookmarkStart w:id="38" w:name="_Toc31780"/>
      <w:bookmarkStart w:id="39" w:name="_Toc4867"/>
      <w:bookmarkStart w:id="40" w:name="_Toc4971"/>
      <w:bookmarkStart w:id="41" w:name="_Toc343691364"/>
      <w:bookmarkStart w:id="42" w:name="_Toc9919"/>
      <w:bookmarkStart w:id="43" w:name="_Toc25794_WPSOffice_Level2"/>
      <w:bookmarkStart w:id="44" w:name="_Toc29683_WPSOffice_Level2"/>
      <w:bookmarkStart w:id="45" w:name="_Toc1015_WPSOffice_Level2"/>
      <w:bookmarkStart w:id="46" w:name="_Toc372124975"/>
      <w:bookmarkStart w:id="47" w:name="_Toc6427"/>
      <w:r>
        <w:rPr>
          <w:rFonts w:hint="default" w:ascii="Times New Roman" w:hAnsi="Times New Roman" w:eastAsia="宋体" w:cs="Times New Roman"/>
          <w:color w:val="auto"/>
          <w:sz w:val="28"/>
          <w:szCs w:val="28"/>
        </w:rPr>
        <w:t>1.3分析判定相关环保政策</w:t>
      </w:r>
      <w:bookmarkEnd w:id="30"/>
      <w:bookmarkEnd w:id="31"/>
      <w:bookmarkEnd w:id="32"/>
      <w:bookmarkEnd w:id="33"/>
      <w:bookmarkEnd w:id="34"/>
      <w:bookmarkEnd w:id="35"/>
      <w:bookmarkEnd w:id="36"/>
      <w:bookmarkEnd w:id="37"/>
    </w:p>
    <w:p w14:paraId="1FEA92B5">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rPr>
      </w:pPr>
      <w:bookmarkStart w:id="48" w:name="_Toc10724"/>
      <w:bookmarkStart w:id="49" w:name="_Toc6554"/>
      <w:bookmarkStart w:id="50" w:name="_Toc29991"/>
      <w:bookmarkStart w:id="51" w:name="_Toc17000"/>
      <w:bookmarkStart w:id="52" w:name="_Toc17997"/>
      <w:bookmarkStart w:id="53" w:name="_Toc10002"/>
      <w:bookmarkStart w:id="54" w:name="_Toc19394"/>
      <w:bookmarkStart w:id="55" w:name="_Toc31251"/>
      <w:bookmarkStart w:id="56" w:name="_Toc10090"/>
      <w:r>
        <w:rPr>
          <w:rFonts w:hint="default" w:ascii="Times New Roman" w:hAnsi="Times New Roman" w:eastAsia="宋体" w:cs="Times New Roman"/>
          <w:color w:val="auto"/>
          <w:sz w:val="24"/>
          <w:szCs w:val="24"/>
        </w:rPr>
        <w:t>1.3.1产业政策相符性分析</w:t>
      </w:r>
      <w:bookmarkEnd w:id="38"/>
      <w:bookmarkEnd w:id="48"/>
      <w:bookmarkEnd w:id="49"/>
      <w:bookmarkEnd w:id="50"/>
      <w:bookmarkEnd w:id="51"/>
      <w:bookmarkEnd w:id="52"/>
      <w:bookmarkEnd w:id="53"/>
      <w:bookmarkEnd w:id="54"/>
      <w:bookmarkEnd w:id="55"/>
      <w:bookmarkEnd w:id="56"/>
      <w:bookmarkStart w:id="57" w:name="_Toc13351_WPSOffice_Level3"/>
      <w:bookmarkStart w:id="58" w:name="_Toc4118_WPSOffice_Level3"/>
    </w:p>
    <w:p w14:paraId="36B640A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为渔政综合执法码头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符合《产业结构调整指导目录（20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中鼓励类</w:t>
      </w:r>
      <w:r>
        <w:rPr>
          <w:rFonts w:hint="eastAsia" w:ascii="Times New Roman" w:hAnsi="Times New Roman" w:eastAsia="宋体" w:cs="Times New Roman"/>
          <w:color w:val="auto"/>
          <w:sz w:val="24"/>
          <w:szCs w:val="24"/>
          <w:lang w:eastAsia="zh-CN"/>
        </w:rPr>
        <w:t>“一、农林牧渔业业”</w:t>
      </w:r>
      <w:r>
        <w:rPr>
          <w:rFonts w:hint="default" w:ascii="Times New Roman" w:hAnsi="Times New Roman" w:eastAsia="宋体" w:cs="Times New Roman"/>
          <w:color w:val="auto"/>
          <w:sz w:val="24"/>
          <w:szCs w:val="24"/>
          <w:lang w:eastAsia="zh-CN"/>
        </w:rPr>
        <w:t>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14.现代畜牧业及水产生态健康养殖：畜禽标准化规模养殖技术开发与应用，农牧渔产品绿色生产技术开发与应用，畜禽养殖废弃物处理和资源化利用（畜禽粪污肥料化、能源化、基料化和垫料化利用，病死畜禽无害化处理），</w:t>
      </w:r>
      <w:r>
        <w:rPr>
          <w:rFonts w:hint="eastAsia" w:ascii="Times New Roman" w:hAnsi="Times New Roman" w:eastAsia="宋体" w:cs="Times New Roman"/>
          <w:b/>
          <w:bCs/>
          <w:color w:val="auto"/>
          <w:sz w:val="24"/>
          <w:szCs w:val="24"/>
          <w:lang w:val="en-US" w:eastAsia="zh-CN"/>
        </w:rPr>
        <w:t>远洋渔业、人工鱼礁、渔政渔港工程</w:t>
      </w:r>
      <w:r>
        <w:rPr>
          <w:rFonts w:hint="eastAsia" w:ascii="Times New Roman" w:hAnsi="Times New Roman" w:eastAsia="宋体" w:cs="Times New Roman"/>
          <w:color w:val="auto"/>
          <w:sz w:val="24"/>
          <w:szCs w:val="24"/>
          <w:lang w:val="en-US" w:eastAsia="zh-CN"/>
        </w:rPr>
        <w:t>、绿色环保功能性渔具示范与应用，新能源渔船，淡水与海水健康养殖及产品深加工，淡水与海水渔业资源增殖与保护，海洋牧场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因此，项目符合国家产业政策。</w:t>
      </w:r>
    </w:p>
    <w:p w14:paraId="58EA0B94">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-1  项目与产业结构调整指导目录符合性分析</w:t>
      </w:r>
    </w:p>
    <w:tbl>
      <w:tblPr>
        <w:tblStyle w:val="29"/>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5970"/>
        <w:gridCol w:w="914"/>
        <w:gridCol w:w="738"/>
      </w:tblGrid>
      <w:tr w14:paraId="60F2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noWrap w:val="0"/>
            <w:vAlign w:val="center"/>
          </w:tcPr>
          <w:p w14:paraId="2493BBD6">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内容</w:t>
            </w:r>
          </w:p>
        </w:tc>
        <w:tc>
          <w:tcPr>
            <w:tcW w:w="3611" w:type="pct"/>
            <w:noWrap w:val="0"/>
            <w:vAlign w:val="center"/>
          </w:tcPr>
          <w:p w14:paraId="08E0D267">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产业结构调整指导目录要求</w:t>
            </w:r>
          </w:p>
        </w:tc>
        <w:tc>
          <w:tcPr>
            <w:tcW w:w="553" w:type="pct"/>
            <w:noWrap w:val="0"/>
            <w:vAlign w:val="center"/>
          </w:tcPr>
          <w:p w14:paraId="799C8CA2">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本项目符合性</w:t>
            </w:r>
          </w:p>
        </w:tc>
        <w:tc>
          <w:tcPr>
            <w:tcW w:w="446" w:type="pct"/>
            <w:noWrap w:val="0"/>
            <w:vAlign w:val="center"/>
          </w:tcPr>
          <w:p w14:paraId="158DE62B">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分析结果</w:t>
            </w:r>
          </w:p>
        </w:tc>
      </w:tr>
      <w:tr w14:paraId="553F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8" w:type="pct"/>
            <w:noWrap w:val="0"/>
            <w:vAlign w:val="center"/>
          </w:tcPr>
          <w:p w14:paraId="567485BC">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鼓励类</w:t>
            </w:r>
          </w:p>
        </w:tc>
        <w:tc>
          <w:tcPr>
            <w:tcW w:w="3611" w:type="pct"/>
            <w:noWrap w:val="0"/>
            <w:vAlign w:val="center"/>
          </w:tcPr>
          <w:p w14:paraId="6627744B">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一、农林牧渔业业</w:t>
            </w:r>
          </w:p>
          <w:p w14:paraId="282E4A73">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现代畜牧业及水产生态健康养殖：畜禽标准化规模养殖技术开发与应用，农牧渔产品绿色生产技术开发与应用，畜禽养殖废弃物处理和资源化利用（畜禽粪污肥料化、能源化、基料化和垫料化利用，病死畜禽无害化处理），远洋渔业、人工鱼礁、渔政渔港工程、绿色环保功能性渔具示范与应用，新能源渔船，淡水与海水健康养殖及产品深加工，淡水与海水渔业资源增殖与保护，海洋牧场</w:t>
            </w:r>
          </w:p>
        </w:tc>
        <w:tc>
          <w:tcPr>
            <w:tcW w:w="553" w:type="pct"/>
            <w:noWrap w:val="0"/>
            <w:vAlign w:val="center"/>
          </w:tcPr>
          <w:p w14:paraId="72DD41E4">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渔政码头建设</w:t>
            </w:r>
          </w:p>
        </w:tc>
        <w:tc>
          <w:tcPr>
            <w:tcW w:w="446" w:type="pct"/>
            <w:noWrap w:val="0"/>
            <w:vAlign w:val="center"/>
          </w:tcPr>
          <w:p w14:paraId="6C298FAA">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符合鼓励类要求</w:t>
            </w:r>
          </w:p>
        </w:tc>
      </w:tr>
      <w:bookmarkEnd w:id="57"/>
      <w:bookmarkEnd w:id="58"/>
    </w:tbl>
    <w:p w14:paraId="155C9649">
      <w:pPr>
        <w:pStyle w:val="9"/>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b/>
          <w:bCs/>
          <w:color w:val="auto"/>
          <w:sz w:val="24"/>
          <w:szCs w:val="24"/>
        </w:rPr>
      </w:pPr>
      <w:bookmarkStart w:id="59" w:name="_Toc22160"/>
      <w:bookmarkStart w:id="60" w:name="_Toc18806"/>
      <w:bookmarkStart w:id="61" w:name="_Toc6280"/>
      <w:bookmarkStart w:id="62" w:name="_Toc29056"/>
      <w:bookmarkStart w:id="63" w:name="_Toc19179"/>
      <w:r>
        <w:rPr>
          <w:rFonts w:hint="default" w:ascii="Times New Roman" w:hAnsi="Times New Roman" w:eastAsia="宋体" w:cs="Times New Roman"/>
          <w:color w:val="auto"/>
          <w:sz w:val="24"/>
          <w:szCs w:val="24"/>
        </w:rPr>
        <w:t>1.3.</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相关规划符合性分析</w:t>
      </w:r>
      <w:bookmarkEnd w:id="59"/>
    </w:p>
    <w:p w14:paraId="06AD2A41">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与《长江干线港口布局及港口岸线保护利用规划》的符合性分析相符性分析</w:t>
      </w:r>
    </w:p>
    <w:p w14:paraId="6B72885C">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坚持有保有压、有增有减，做优港口岸线增量，优先保障主要港口、规模化公用港区、铁水联运港区和LNG加注站、洗舱站、水上绿色综合服务区等安全绿色港口建设的岸线需求。从严审批工矿企业自备码头岸线和危险化学品码头岸线。鼓励老旧码头腾退和复绿岸线，严格新建项目港口岸线使用审查，严禁未批先建、占大建小。</w:t>
      </w:r>
    </w:p>
    <w:p w14:paraId="6AF01418">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支持鼓励老旧码头、闲置码头、支持系统码头等的岸线资源整合和升级利用。港口规划应与航道规划相适应，新建港口码头原则上不低于所在航道通航标准。实行港口岸线高效利用的精细化管理，规范提升港口岸线利用整体效率。”</w:t>
      </w:r>
    </w:p>
    <w:p w14:paraId="6C2E592B">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项目为渔政趸船</w:t>
      </w:r>
      <w:r>
        <w:rPr>
          <w:rFonts w:hint="eastAsia" w:cs="Times New Roman"/>
          <w:color w:val="auto"/>
          <w:sz w:val="24"/>
          <w:szCs w:val="24"/>
          <w:lang w:val="en-US" w:eastAsia="zh-CN"/>
        </w:rPr>
        <w:t>改建</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老旧码头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属于支持系统码头的岸线资源整合和升级利用。选址位于规划位置，符合《长江干线港口布局及港口岸线保护利用规划》要求。</w:t>
      </w:r>
    </w:p>
    <w:p w14:paraId="6232D814">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与《长江岸线保护和开发利用总体规划》的符合性分析</w:t>
      </w:r>
    </w:p>
    <w:p w14:paraId="4D6EA54F">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长江岸线保护和开发利用总体规划》共划分岸线保护区516个，长度1964.2公里，占岸线总长度的11.3%；岸线保留区1034个，长度为9306.3公里，占岸线总长度的53.5%；岸线控制利用区817个，长度为4642.8公里，占岸线总长度的26.7%；岸线开发利用区232个，长度为1480.4公里，占岸线总长度的8.5%。</w:t>
      </w:r>
    </w:p>
    <w:p w14:paraId="7677491A">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规划，湖南共1659.9公里岸线列入规划范围，其中长江干堤岸线148.8公里，湘江干流萍岛至濠河口岸线1292.4公里，洞庭湖入江水道濠河口至城陵矶段岸线约218.6公里。规划将岸线功能进行了专门分区，湖南划分岸线保护区61个、长度149.6公里，保留区104个、长度907.6公里，控制利用区92个、长度541.3公里，开发利用区27个、长度61.4公里。</w:t>
      </w:r>
    </w:p>
    <w:p w14:paraId="32CBE125">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岸线保护区</w:t>
      </w:r>
      <w:r>
        <w:rPr>
          <w:rFonts w:hint="default" w:ascii="Times New Roman" w:hAnsi="Times New Roman" w:eastAsia="宋体" w:cs="Times New Roman"/>
          <w:color w:val="auto"/>
          <w:sz w:val="24"/>
          <w:szCs w:val="24"/>
        </w:rPr>
        <w:t>是指岸线开发利用可能对防洪安全、河势稳定、供水安全、生态环境、重要枢纽工程安全等有明显不利影响的岸段。</w:t>
      </w:r>
    </w:p>
    <w:p w14:paraId="324EF9BA">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岸线保留区</w:t>
      </w:r>
      <w:r>
        <w:rPr>
          <w:rFonts w:hint="default" w:ascii="Times New Roman" w:hAnsi="Times New Roman" w:eastAsia="宋体" w:cs="Times New Roman"/>
          <w:color w:val="auto"/>
          <w:sz w:val="24"/>
          <w:szCs w:val="24"/>
        </w:rPr>
        <w:t>是指暂不具备开发利用条件，或有生态环境保护要求，或为满足生活生态岸线开发需要，或暂无开发利用需求的岸段。</w:t>
      </w:r>
    </w:p>
    <w:p w14:paraId="47B32261">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岸线控制利用区</w:t>
      </w:r>
      <w:r>
        <w:rPr>
          <w:rFonts w:hint="default" w:ascii="Times New Roman" w:hAnsi="Times New Roman" w:eastAsia="宋体" w:cs="Times New Roman"/>
          <w:color w:val="auto"/>
          <w:sz w:val="24"/>
          <w:szCs w:val="24"/>
        </w:rPr>
        <w:t>是指岸线开发利用程度较高，或开发利用对防洪安全、河势稳定、供水安全、生态环境可能造成一定影响，需要控制其开发利用强度或开发利用方式的岸段。</w:t>
      </w:r>
    </w:p>
    <w:p w14:paraId="3CF17A89">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岸线开发利用区</w:t>
      </w:r>
      <w:r>
        <w:rPr>
          <w:rFonts w:hint="default" w:ascii="Times New Roman" w:hAnsi="Times New Roman" w:eastAsia="宋体" w:cs="Times New Roman"/>
          <w:color w:val="auto"/>
          <w:sz w:val="24"/>
          <w:szCs w:val="24"/>
        </w:rPr>
        <w:t>是指河势基本稳定、岸线利用条件较好，岸线开发利用对防洪安全、河势稳定、供水安全以及生态环境影响较小的岸段。</w:t>
      </w:r>
    </w:p>
    <w:p w14:paraId="19081716">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考虑现有岸线开发利用程度及限制条件，规划范围内岸线控制利用区划分有以下两类情况:</w:t>
      </w:r>
    </w:p>
    <w:p w14:paraId="517C604E">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（1）需控制开发利用强度划定的岸线控制利用区</w:t>
      </w:r>
    </w:p>
    <w:p w14:paraId="194756F5">
      <w:pPr>
        <w:pStyle w:val="38"/>
        <w:ind w:firstLine="48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对岸线开发利用程度相对较高的岸段，为避免进一步开发可能对防洪安全、河势稳定、供水安全、航道稳定等带来不利影响，需要控制其开发利用强度的岸段，划分为岸线控制利用区</w:t>
      </w:r>
      <w:r>
        <w:rPr>
          <w:rFonts w:hint="eastAsia" w:cs="Times New Roman"/>
          <w:color w:val="auto"/>
          <w:sz w:val="24"/>
          <w:szCs w:val="24"/>
          <w:lang w:eastAsia="zh-CN"/>
        </w:rPr>
        <w:t>。</w:t>
      </w:r>
    </w:p>
    <w:p w14:paraId="41072D01">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（2）需控制开发利用方式划定的岸线控制利用区</w:t>
      </w:r>
    </w:p>
    <w:p w14:paraId="556E4211">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重要险工险段、重要涉水工程及设施、河势变化敏感区、地质灾害易发区、水土流失严重区，需控制开发利用方式的岸段，划为岸线控制利用区: 根据省级以上人民政府批准的城市总体规划、港口规划，将</w:t>
      </w:r>
      <w:r>
        <w:rPr>
          <w:rFonts w:hint="default" w:ascii="Times New Roman" w:hAnsi="Times New Roman" w:eastAsia="宋体" w:cs="Times New Roman"/>
          <w:b/>
          <w:bCs/>
          <w:color w:val="auto"/>
          <w:sz w:val="24"/>
          <w:szCs w:val="24"/>
        </w:rPr>
        <w:t>国家级和省级自然保护区的实验区</w:t>
      </w:r>
      <w:r>
        <w:rPr>
          <w:rFonts w:hint="default" w:ascii="Times New Roman" w:hAnsi="Times New Roman" w:eastAsia="宋体" w:cs="Times New Roman"/>
          <w:color w:val="auto"/>
          <w:sz w:val="24"/>
          <w:szCs w:val="24"/>
        </w:rPr>
        <w:t>、风景名胜区、</w:t>
      </w:r>
      <w:r>
        <w:rPr>
          <w:rFonts w:hint="default" w:ascii="Times New Roman" w:hAnsi="Times New Roman" w:eastAsia="宋体" w:cs="Times New Roman"/>
          <w:b/>
          <w:bCs/>
          <w:color w:val="auto"/>
          <w:sz w:val="24"/>
          <w:szCs w:val="24"/>
        </w:rPr>
        <w:t>水产种质资源保护区</w:t>
      </w:r>
      <w:r>
        <w:rPr>
          <w:rFonts w:hint="default" w:ascii="Times New Roman" w:hAnsi="Times New Roman" w:eastAsia="宋体" w:cs="Times New Roman"/>
          <w:color w:val="auto"/>
          <w:sz w:val="24"/>
          <w:szCs w:val="24"/>
        </w:rPr>
        <w:t>、重要湿地、湿地公园等生态敏感区，以及水源地二级保护区、准保护区内需控制开发利用方式的部分岸段，划分为岸线控制利用区。</w:t>
      </w:r>
    </w:p>
    <w:p w14:paraId="58F4C68B">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岸线控制利用区管理：岸线控制利用区管理重点是严格控制建设项目类型，或控制其开发利用强度。</w:t>
      </w:r>
    </w:p>
    <w:p w14:paraId="5C0EE425">
      <w:pPr>
        <w:pStyle w:val="3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重要险工险段、重要涉水工程及设施、河势变化敏感区、地质灾害易发区、水土流失严重区所在岸段的岸线控制利用区，应禁止建设可能影响防洪安全、河势稳定、设施安全、岸坡稳定以及加重水土流失的项目；对水产种质资源保护区等生态敏感区及水源地所在岸段的岸线控制利用区，要严格按照保护要求，严禁建设可能对生态敏感区及水源地有明显不利影响的危化</w:t>
      </w:r>
      <w:r>
        <w:rPr>
          <w:rFonts w:hint="default" w:ascii="Times New Roman" w:hAnsi="Times New Roman" w:eastAsia="宋体" w:cs="Times New Roman"/>
          <w:color w:val="auto"/>
          <w:sz w:val="24"/>
          <w:szCs w:val="24"/>
          <w:lang w:val="en-US" w:eastAsia="zh-CN"/>
        </w:rPr>
        <w:t>品码头、排污口、电厂排水口等建设项目，饮用水水源二级保护区内的岸线禁止建设排放污染物的建设项目，饮用水水源准保护区内的岸线禁止新建和扩建对水体污染严重的建设项目、改建项目不得增加排污量。</w:t>
      </w:r>
    </w:p>
    <w:p w14:paraId="2E8CA379">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对需控制开发利用强度划定的岸线控制利用区，应按照国土、城市、水利、交通等相关规划，合理控制整体开发规模和强度，新建和改扩建项目必须严格论证，不得加大对防洪安全、河势稳定、供水安全、航道稳定的不利影响。各省（直辖市）人民政府应严格按照有关法律法规的规定，对岸线控制利用区内违法违规建设项目进行清退；对岸线开发利用程度较高岸段的已建项目进行整合；对防洪安全、河势稳定、供水安全、航道稳定有较大不利影响的已建项目进行整改、拆除或搬迁。”</w:t>
      </w:r>
    </w:p>
    <w:p w14:paraId="5817816C">
      <w:pPr>
        <w:pStyle w:val="38"/>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位于</w:t>
      </w:r>
      <w:r>
        <w:rPr>
          <w:rFonts w:hint="default" w:ascii="Times New Roman" w:hAnsi="Times New Roman" w:eastAsia="宋体" w:cs="Times New Roman"/>
          <w:color w:val="auto"/>
          <w:sz w:val="24"/>
          <w:szCs w:val="24"/>
        </w:rPr>
        <w:t>东洞庭湖国家级自然保护区实验区</w:t>
      </w:r>
      <w:r>
        <w:rPr>
          <w:rFonts w:hint="eastAsia" w:cs="Times New Roman"/>
          <w:color w:val="auto"/>
          <w:sz w:val="24"/>
          <w:szCs w:val="24"/>
          <w:lang w:eastAsia="zh-CN"/>
        </w:rPr>
        <w:t>、东洞庭湖鲤、鲫、黄颡国家级水产种质资源保护区范围实验区，</w:t>
      </w:r>
      <w:r>
        <w:rPr>
          <w:rFonts w:hint="eastAsia" w:cs="Times New Roman"/>
          <w:color w:val="auto"/>
          <w:sz w:val="24"/>
          <w:szCs w:val="24"/>
          <w:lang w:val="en-US" w:eastAsia="zh-CN"/>
        </w:rPr>
        <w:t>位置河段</w:t>
      </w:r>
      <w:r>
        <w:rPr>
          <w:rFonts w:hint="default" w:ascii="Times New Roman" w:hAnsi="Times New Roman" w:eastAsia="宋体" w:cs="Times New Roman"/>
          <w:color w:val="auto"/>
          <w:sz w:val="24"/>
          <w:szCs w:val="24"/>
        </w:rPr>
        <w:t>属于长江岸线功能区分区规划中的控制利用区的规划港口岸线，预留港口发展岸线，根据长江岸线功能区分区规划，本项目不在岸线保护区和保留区内，</w:t>
      </w:r>
      <w:r>
        <w:rPr>
          <w:rFonts w:hint="default" w:ascii="Times New Roman" w:hAnsi="Times New Roman" w:eastAsia="宋体" w:cs="Times New Roman"/>
          <w:color w:val="auto"/>
          <w:sz w:val="24"/>
          <w:szCs w:val="24"/>
          <w:lang w:val="en-US" w:eastAsia="zh-CN"/>
        </w:rPr>
        <w:t>属于为生态环境保护划定的岸线控制利用区，项目的建设具备指挥协调，执法办案，渔业资源环境监测、珍稀水生动物救护、后勤补给等多项功能，有效保护水生生物资源和水域生态环境，已经过水生生物及其生境生态影响专项论证，岸线控制利用区内仅</w:t>
      </w:r>
      <w:r>
        <w:rPr>
          <w:rFonts w:hint="eastAsia" w:cs="Times New Roman"/>
          <w:color w:val="auto"/>
          <w:sz w:val="24"/>
          <w:szCs w:val="24"/>
          <w:lang w:val="en-US" w:eastAsia="zh-CN"/>
        </w:rPr>
        <w:t>对</w:t>
      </w:r>
      <w:r>
        <w:rPr>
          <w:rFonts w:hint="default" w:ascii="Times New Roman" w:hAnsi="Times New Roman" w:eastAsia="宋体" w:cs="Times New Roman"/>
          <w:color w:val="auto"/>
          <w:sz w:val="24"/>
          <w:szCs w:val="24"/>
          <w:lang w:val="en-US" w:eastAsia="zh-CN"/>
        </w:rPr>
        <w:t>码头到浮码头方向坡面进行护面改造，</w:t>
      </w:r>
      <w:r>
        <w:rPr>
          <w:rFonts w:hint="eastAsia" w:cs="Times New Roman"/>
          <w:color w:val="auto"/>
          <w:sz w:val="24"/>
          <w:szCs w:val="24"/>
          <w:lang w:val="en-US" w:eastAsia="zh-CN"/>
        </w:rPr>
        <w:t>工程量很小，</w:t>
      </w:r>
      <w:r>
        <w:rPr>
          <w:rFonts w:hint="default" w:ascii="Times New Roman" w:hAnsi="Times New Roman" w:eastAsia="宋体" w:cs="Times New Roman"/>
          <w:color w:val="auto"/>
          <w:sz w:val="24"/>
          <w:szCs w:val="24"/>
          <w:lang w:val="en-US" w:eastAsia="zh-CN"/>
        </w:rPr>
        <w:t>无污染环境、破坏资源的生产设施，无污染物排放。因此，建议本项目在建设利用时，严格按照环境要求进行，注意保护洞庭湖口铜鱼短颌鲚国家级水产种质资源保护区和的保护目标及其生境。</w:t>
      </w:r>
      <w:r>
        <w:rPr>
          <w:rFonts w:hint="eastAsia" w:cs="Times New Roman"/>
          <w:color w:val="auto"/>
          <w:sz w:val="24"/>
          <w:szCs w:val="24"/>
          <w:lang w:val="en-US" w:eastAsia="zh-CN"/>
        </w:rPr>
        <w:t>综上所述，</w:t>
      </w:r>
      <w:r>
        <w:rPr>
          <w:rFonts w:hint="default" w:ascii="Times New Roman" w:hAnsi="Times New Roman" w:eastAsia="宋体" w:cs="Times New Roman"/>
          <w:color w:val="auto"/>
          <w:sz w:val="24"/>
          <w:szCs w:val="24"/>
          <w:lang w:val="en-US" w:eastAsia="zh-CN"/>
        </w:rPr>
        <w:t>本项目符合《长江岸线保护和开发利用总体规划》的要求。</w:t>
      </w:r>
    </w:p>
    <w:p w14:paraId="60F67E9D">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与《长江经济带发展负面清单指南（试行，2022年版）》的符合性分析</w:t>
      </w:r>
    </w:p>
    <w:p w14:paraId="7C525916">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-2与《长江经济带发展负面清单指南（试行，2022年版）》符合性分析</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654"/>
        <w:gridCol w:w="2253"/>
        <w:gridCol w:w="885"/>
      </w:tblGrid>
      <w:tr w14:paraId="42DA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10FEB704">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002252CC">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相关要求</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0481A5CD">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项目情况</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7C797778">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符合性分析</w:t>
            </w:r>
          </w:p>
        </w:tc>
      </w:tr>
      <w:tr w14:paraId="1166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325E1182">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235565FD">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禁止建设不符合全国和省级港口布局规划以及港口总体规划的码头项目，禁止建设不符合《长江干线过江通道布局规划》的过长江通道项目。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025CB84C">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本码头属于岳阳港总体规划总保留的现有码头，是符合港口总体规划的码头项目。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16B6B016">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7863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6F49A288">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5759CA39">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禁止在自然保护区核心区、缓冲区的岸线和河段范围内投资建设旅游和生产经营项目。禁止在风景名胜区核心景区的岸线和河段范围内投资建设与风景名胜资源保护无关的项目。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7B8C168C">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lang w:val="en-US" w:eastAsia="zh-CN"/>
              </w:rPr>
              <w:t>为渔政综合执法项目，同时属于现有码头提质改造工程，不新占岸线，不属于</w:t>
            </w:r>
            <w:r>
              <w:rPr>
                <w:rFonts w:hint="default" w:ascii="Times New Roman" w:hAnsi="Times New Roman" w:eastAsia="宋体" w:cs="Times New Roman"/>
                <w:color w:val="auto"/>
                <w:lang w:eastAsia="zh-CN"/>
              </w:rPr>
              <w:t>旅游和生产经营项目。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14FE85C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5DDA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3C4C079A">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3B7AC008">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21C6E3CD">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本项目不在饮用水水源一级、二级保护区的岸线和河段范围内。</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6C5E8C30">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6706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6F563448">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6120E15D">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4C365333">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lang w:val="en-US" w:eastAsia="zh-CN"/>
              </w:rPr>
              <w:t>不属于</w:t>
            </w:r>
            <w:r>
              <w:rPr>
                <w:rFonts w:hint="default" w:ascii="Times New Roman" w:hAnsi="Times New Roman" w:eastAsia="宋体" w:cs="Times New Roman"/>
                <w:color w:val="auto"/>
                <w:lang w:eastAsia="zh-CN"/>
              </w:rPr>
              <w:t>围湖造田、围海造地或围填海等投资建设项目。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592EDFE7">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79FF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2FCDF103">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3D699BE5">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违法利用、占用长江流域河湖岸线。禁止在《长江岸线保护和开发利用总体规划》划定的岸线保护区和保留区内投资建设除事关公共安全及公众利益的防洪护岸、河道治理、供水、生态黄继光保护、航道整治、国家重要基础设施以外的项目。禁止在《全国重要江河湖泊水功能区划》划定的河段及湖泊保护区、保留区内投资建设不利于水资源及自然生态保护的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2BD96EA6">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本项目符合《长江岸线保护和开发利用总体规划》，未违法利用、占用长江流域河湖岸线。</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6AE5F463">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592E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6EC8D051">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45989AB1">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禁止未经许可在长江干支流及湖泊新设、改设或扩大排污口。</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0B44CB2E">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本项目不涉及排污口建设。</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537AAC8C">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196D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2DD6A546">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7D2A04E1">
            <w:pPr>
              <w:pStyle w:val="39"/>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禁止在“一江一口两湖七河”和</w:t>
            </w:r>
            <w:r>
              <w:rPr>
                <w:rFonts w:hint="default" w:ascii="Times New Roman" w:hAnsi="Times New Roman" w:eastAsia="宋体" w:cs="Times New Roman"/>
                <w:color w:val="auto"/>
                <w:lang w:val="en-US" w:eastAsia="zh-CN"/>
              </w:rPr>
              <w:t>322个水生生物保护区开展生产性捕捞。</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58008584">
            <w:pPr>
              <w:pStyle w:val="39"/>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本项目不涉及生产性捕捞。</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54306E75">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4E23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55F1309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3CDB87A2">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6A86F06B">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本项目为码头项目，属于交通运输业项目，不属于化工项目，不涉及新改扩建尾矿库、冶炼渣库和磷石膏库。</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5C6FEE48">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524A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5026C19D">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20D60745">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禁止在合规园区外新建、扩建钢铁、石化、化工、焦化、建材、有色、制浆造纸等高污染项目。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4C2360C5">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本项目为码头项目，不属于高污染项目。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10BBF38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2360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75F873C3">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06CB53BD">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禁止新建、扩建不符合国家石化、现代煤化工等产业布局规划的项目。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6A83CC9B">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本项目为码头项目，不属于石化、现代煤化工等项目。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01B389DF">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r w14:paraId="3A8C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4" w:space="0"/>
              <w:left w:val="single" w:color="auto" w:sz="4" w:space="0"/>
              <w:bottom w:val="single" w:color="auto" w:sz="4" w:space="0"/>
              <w:right w:val="single" w:color="auto" w:sz="4" w:space="0"/>
            </w:tcBorders>
            <w:noWrap w:val="0"/>
            <w:vAlign w:val="center"/>
          </w:tcPr>
          <w:p w14:paraId="1209C38B">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2830" w:type="pct"/>
            <w:tcBorders>
              <w:top w:val="single" w:color="auto" w:sz="4" w:space="0"/>
              <w:left w:val="single" w:color="auto" w:sz="4" w:space="0"/>
              <w:bottom w:val="single" w:color="auto" w:sz="4" w:space="0"/>
              <w:right w:val="single" w:color="auto" w:sz="4" w:space="0"/>
            </w:tcBorders>
            <w:noWrap w:val="0"/>
            <w:vAlign w:val="center"/>
          </w:tcPr>
          <w:p w14:paraId="5C972C11">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禁止新建、扩建法律法规和相关政策明令禁止的落后产能项目。禁止新建、扩建不符合国家产能置换要求的严重过剩产能行业的项目。禁止新建、扩建不符合要求的高耗能高排放项目。</w:t>
            </w:r>
          </w:p>
        </w:tc>
        <w:tc>
          <w:tcPr>
            <w:tcW w:w="1370" w:type="pct"/>
            <w:tcBorders>
              <w:top w:val="single" w:color="auto" w:sz="4" w:space="0"/>
              <w:left w:val="single" w:color="auto" w:sz="4" w:space="0"/>
              <w:bottom w:val="single" w:color="auto" w:sz="4" w:space="0"/>
              <w:right w:val="single" w:color="auto" w:sz="4" w:space="0"/>
            </w:tcBorders>
            <w:noWrap w:val="0"/>
            <w:vAlign w:val="center"/>
          </w:tcPr>
          <w:p w14:paraId="37073694">
            <w:pPr>
              <w:pStyle w:val="39"/>
              <w:bidi w:val="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本项目为码头项目，不属于明令禁止的落后产能项目，也不属于产能严重过剩项目，不属于高能耗高排放项目。</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525ACBB6">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相符</w:t>
            </w:r>
          </w:p>
        </w:tc>
      </w:tr>
    </w:tbl>
    <w:p w14:paraId="7A8E5FD5">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综上所述，本项目属于码头项目，符合《长江经济带发展负面清单指南（试行，2022年版）》相关要求。</w:t>
      </w:r>
    </w:p>
    <w:p w14:paraId="614038C3">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与《湖南省长江经济带发展负面清单实施细则（试行，2022年版）》符合性分析</w:t>
      </w:r>
    </w:p>
    <w:p w14:paraId="602AD2BE">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-3与《湖南省长江经济带发展负面清单实施细则（试行，2022年版）》符合性分析</w:t>
      </w:r>
    </w:p>
    <w:tbl>
      <w:tblPr>
        <w:tblStyle w:val="2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5049"/>
        <w:gridCol w:w="1892"/>
        <w:gridCol w:w="870"/>
      </w:tblGrid>
      <w:tr w14:paraId="7D36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4C3D11D0">
            <w:pPr>
              <w:pStyle w:val="39"/>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29C98F1E">
            <w:pPr>
              <w:pStyle w:val="39"/>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相关要求</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74B366CB">
            <w:pPr>
              <w:pStyle w:val="39"/>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5C2C8865">
            <w:pPr>
              <w:pStyle w:val="39"/>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符合性分析</w:t>
            </w:r>
          </w:p>
        </w:tc>
      </w:tr>
      <w:tr w14:paraId="7D23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39F9E31">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70E5A677">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岸线使用意见的，不得开工建设。禁止建设不符合《长江干线过江通道布局规划》的过长江通道项目。</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4AA5B0DF">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本码头属于岳阳港总体规划总保留的现有码头，是符合港口总体规划的码头项目。</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533C2D9D">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相符</w:t>
            </w:r>
          </w:p>
        </w:tc>
      </w:tr>
      <w:tr w14:paraId="5001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7D61F894">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7797A3BC">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第四条禁止在自然保护区核心区、缓冲区的岸线和河段范围内投资建设以下项目：</w:t>
            </w:r>
          </w:p>
          <w:p w14:paraId="7B69AE2B">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（一）高尔夫球场开发、房地产开发、索道建设、会所建设等项目；</w:t>
            </w:r>
          </w:p>
          <w:p w14:paraId="14AB98AA">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（二）光伏发电、风力发电、火力发电建设项目；</w:t>
            </w:r>
          </w:p>
          <w:p w14:paraId="430B8CA3">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（三）社会资金进行商业性探矿勘查，以及不属于国家紧缺矿种资源的基础地质调查和矿产远景调查等公益性工作的设施建设；</w:t>
            </w:r>
          </w:p>
          <w:p w14:paraId="73F8E63B">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（四）野生动物驯养繁殖、展览基地建设项目；</w:t>
            </w:r>
          </w:p>
          <w:p w14:paraId="1A28C79A">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（五）污染环境、破坏自然资源或自然景观的建设设施；</w:t>
            </w:r>
          </w:p>
          <w:p w14:paraId="0A72F26F">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（六）对自然保护区主要保护对象产生重大影响、改变自然生态系统完整性、原真性、破坏自然景观的设施；</w:t>
            </w:r>
          </w:p>
          <w:p w14:paraId="3D413D28">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（七）其他不符合自然保护区主体功能定位和国家禁止的设施。</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45BC1146">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本项目选址东洞庭湖江豚自然保护区</w:t>
            </w:r>
            <w:r>
              <w:rPr>
                <w:rFonts w:hint="default" w:ascii="Times New Roman" w:hAnsi="Times New Roman" w:eastAsia="宋体" w:cs="Times New Roman"/>
                <w:color w:val="auto"/>
                <w:sz w:val="21"/>
                <w:szCs w:val="21"/>
                <w:lang w:val="en-US" w:eastAsia="zh-CN"/>
              </w:rPr>
              <w:t>缓冲区</w:t>
            </w:r>
            <w:r>
              <w:rPr>
                <w:rFonts w:hint="default" w:ascii="Times New Roman" w:hAnsi="Times New Roman" w:eastAsia="宋体" w:cs="Times New Roman"/>
                <w:color w:val="auto"/>
                <w:sz w:val="21"/>
                <w:szCs w:val="21"/>
              </w:rPr>
              <w:t>范围，</w:t>
            </w:r>
            <w:r>
              <w:rPr>
                <w:rFonts w:hint="default" w:ascii="Times New Roman" w:hAnsi="Times New Roman" w:eastAsia="宋体" w:cs="Times New Roman"/>
                <w:color w:val="auto"/>
                <w:sz w:val="21"/>
                <w:szCs w:val="21"/>
                <w:lang w:val="en-US" w:eastAsia="zh-CN"/>
              </w:rPr>
              <w:t>为现有渔政提质改造项目，不属于禁止投资的项目</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7FC1EEF3">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35D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9CEB8E8">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3</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6CAFDC4E">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4AF631D0">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本项目选址不在风景名胜区内。</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5E1C4DB6">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BFD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F7A930B">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4</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75BD0195">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第七条饮用水水源一级保护区内禁止新建、改建、扩建与供水设施和保护水源无关的建设项目</w:t>
            </w:r>
            <w:r>
              <w:rPr>
                <w:rFonts w:hint="default" w:ascii="Times New Roman" w:hAnsi="Times New Roman" w:eastAsia="宋体" w:cs="Times New Roman"/>
                <w:color w:val="auto"/>
                <w:sz w:val="21"/>
                <w:szCs w:val="21"/>
                <w:lang w:eastAsia="zh-CN"/>
              </w:rPr>
              <w:t>，以及网箱养殖、畜禽养殖、旅游等可能污染饮用水水体的投资建设项目</w:t>
            </w:r>
            <w:r>
              <w:rPr>
                <w:rFonts w:hint="default" w:ascii="Times New Roman" w:hAnsi="Times New Roman" w:eastAsia="宋体" w:cs="Times New Roman"/>
                <w:color w:val="auto"/>
                <w:sz w:val="21"/>
                <w:szCs w:val="21"/>
              </w:rPr>
              <w:t>；禁止向水域排放污水，已设置的排污口必须拆除；不得设置与供水需要无关的码头，禁止停靠船舶；禁止堆置和存放工业废渣、城市垃圾、粪便和其它废弃物；禁止设置油库；禁止使用含磷洗涤</w:t>
            </w:r>
            <w:r>
              <w:rPr>
                <w:rFonts w:hint="default" w:ascii="Times New Roman" w:hAnsi="Times New Roman" w:eastAsia="宋体" w:cs="Times New Roman"/>
                <w:color w:val="auto"/>
                <w:sz w:val="21"/>
                <w:szCs w:val="21"/>
                <w:lang w:eastAsia="zh-CN"/>
              </w:rPr>
              <w:t>用品</w:t>
            </w:r>
            <w:r>
              <w:rPr>
                <w:rFonts w:hint="default" w:ascii="Times New Roman" w:hAnsi="Times New Roman" w:eastAsia="宋体" w:cs="Times New Roman"/>
                <w:color w:val="auto"/>
                <w:sz w:val="21"/>
                <w:szCs w:val="21"/>
              </w:rPr>
              <w:t>。</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266FC4C">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本项目不涉及饮用水源保护区。</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3FC6865C">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72B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EEE0BC1">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5</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1904616F">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第八条饮用水水源二级保护区内禁止新建、改建、扩建向水体排放污染物的投资建设项目。原有排污口依法拆除或关闭。禁止设立装卸垃圾、粪便、油类和有毒物品的码头。</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4C5FFE87">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本项目不涉及饮用水源保护区。</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58DCA26">
            <w:pPr>
              <w:pStyle w:val="39"/>
              <w:bidi w:val="0"/>
              <w:jc w:val="center"/>
              <w:rPr>
                <w:rFonts w:hint="default" w:ascii="Times New Roman" w:hAnsi="Times New Roman" w:eastAsia="宋体" w:cs="Times New Roman"/>
                <w:color w:val="auto"/>
                <w:sz w:val="21"/>
                <w:szCs w:val="21"/>
              </w:rPr>
            </w:pPr>
          </w:p>
        </w:tc>
      </w:tr>
      <w:tr w14:paraId="0B93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0F9AA8C7">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6</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46403749">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第九条禁止在水产种质资源保护区</w:t>
            </w:r>
            <w:r>
              <w:rPr>
                <w:rFonts w:hint="default" w:ascii="Times New Roman" w:hAnsi="Times New Roman" w:eastAsia="宋体" w:cs="Times New Roman"/>
                <w:color w:val="auto"/>
                <w:sz w:val="21"/>
                <w:szCs w:val="21"/>
                <w:lang w:eastAsia="zh-CN"/>
              </w:rPr>
              <w:t>的岸线和河段范围</w:t>
            </w:r>
            <w:r>
              <w:rPr>
                <w:rFonts w:hint="default" w:ascii="Times New Roman" w:hAnsi="Times New Roman" w:eastAsia="宋体" w:cs="Times New Roman"/>
                <w:color w:val="auto"/>
                <w:sz w:val="21"/>
                <w:szCs w:val="21"/>
              </w:rPr>
              <w:t>内新建排污口、</w:t>
            </w:r>
            <w:r>
              <w:rPr>
                <w:rFonts w:hint="default" w:ascii="Times New Roman" w:hAnsi="Times New Roman" w:eastAsia="宋体" w:cs="Times New Roman"/>
                <w:color w:val="auto"/>
                <w:sz w:val="21"/>
                <w:szCs w:val="21"/>
                <w:lang w:eastAsia="zh-CN"/>
              </w:rPr>
              <w:t>实施非法围垦河道和</w:t>
            </w:r>
            <w:r>
              <w:rPr>
                <w:rFonts w:hint="default" w:ascii="Times New Roman" w:hAnsi="Times New Roman" w:eastAsia="宋体" w:cs="Times New Roman"/>
                <w:color w:val="auto"/>
                <w:sz w:val="21"/>
                <w:szCs w:val="21"/>
              </w:rPr>
              <w:t>围湖造田造地等投资建设项目。</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575810BE">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本项目不设置排污口，不属于</w:t>
            </w:r>
            <w:r>
              <w:rPr>
                <w:rFonts w:hint="default" w:ascii="Times New Roman" w:hAnsi="Times New Roman" w:eastAsia="宋体" w:cs="Times New Roman"/>
                <w:color w:val="auto"/>
                <w:sz w:val="21"/>
                <w:szCs w:val="21"/>
                <w:lang w:eastAsia="zh-CN"/>
              </w:rPr>
              <w:t>非法围垦河道和</w:t>
            </w:r>
            <w:r>
              <w:rPr>
                <w:rFonts w:hint="default" w:ascii="Times New Roman" w:hAnsi="Times New Roman" w:eastAsia="宋体" w:cs="Times New Roman"/>
                <w:color w:val="auto"/>
                <w:sz w:val="21"/>
                <w:szCs w:val="21"/>
              </w:rPr>
              <w:t>围湖造田造地等投资建设项目</w:t>
            </w:r>
            <w:r>
              <w:rPr>
                <w:rFonts w:hint="default" w:ascii="Times New Roman" w:hAnsi="Times New Roman" w:eastAsia="宋体" w:cs="Times New Roman"/>
                <w:color w:val="auto"/>
                <w:sz w:val="21"/>
                <w:szCs w:val="21"/>
                <w:lang w:eastAsia="zh-CN"/>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64AE63EA">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53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212E898A">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7</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3A9F2B8A">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第十条</w:t>
            </w:r>
            <w:r>
              <w:rPr>
                <w:rFonts w:hint="default" w:ascii="Times New Roman" w:hAnsi="Times New Roman" w:eastAsia="宋体" w:cs="Times New Roman"/>
                <w:color w:val="auto"/>
                <w:sz w:val="21"/>
                <w:szCs w:val="21"/>
                <w:lang w:val="en-US" w:eastAsia="zh-CN"/>
              </w:rPr>
              <w:t>除《中华人民共和国防洪法》规定的紧急防汛期的紧急措施外，禁止在国家湿地公园的岸线和河段范围内挖沙、采矿，以及以下不符合主题功能定位的行为和活动：</w:t>
            </w:r>
          </w:p>
          <w:p w14:paraId="4F53B212">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（一）开（围）垦、填埋或者排干湿地。</w:t>
            </w:r>
          </w:p>
          <w:p w14:paraId="2F4F7243">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（二）截断湿地水源。</w:t>
            </w:r>
          </w:p>
          <w:p w14:paraId="3DC2EF53">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（三）倾倒有毒有害物质、废弃物、垃圾。</w:t>
            </w:r>
          </w:p>
          <w:p w14:paraId="1BD0778B">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（四）从事房地产、度假村、高尔夫球场、风力发电、光伏发电等任何不符合主题功能定位的建设项目和开发活动。</w:t>
            </w:r>
          </w:p>
          <w:p w14:paraId="542C0FE3">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（五）破坏野生动物栖息地和迁徙通道、鱼类洄游通道，滥采滥捕野生动植物。</w:t>
            </w:r>
          </w:p>
          <w:p w14:paraId="15811FC1">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（六）引入外来物种。</w:t>
            </w:r>
          </w:p>
          <w:p w14:paraId="316A478C">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（七）擅自放牧、捕捞、取土、取水、排污、放生。</w:t>
            </w:r>
          </w:p>
          <w:p w14:paraId="577D0A84">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（八）其他破坏湿地及其他生态功能的活动。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71CECFAF">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本项目选址不在国家湿地公园范围内。</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42AA25DE">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455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6EC030DA">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8</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5C5148EA">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第十一条</w:t>
            </w:r>
            <w:r>
              <w:rPr>
                <w:rFonts w:hint="default" w:ascii="Times New Roman" w:hAnsi="Times New Roman" w:eastAsia="宋体" w:cs="Times New Roman"/>
                <w:color w:val="auto"/>
                <w:sz w:val="21"/>
                <w:szCs w:val="21"/>
                <w:lang w:val="en-US" w:eastAsia="zh-CN"/>
              </w:rPr>
              <w:t xml:space="preserve"> 禁止违法利用、占用长江流域河湖岸线，禁止在《长江岸线保护和开发利用总体规划》规定的岸线保护区和保留区内投资建设除事关公共安全及公众利益的防洪护岸、河道治理、供水、生态环境保护、航道整治、国家重要基础设施以外的项目。</w:t>
            </w:r>
          </w:p>
          <w:p w14:paraId="0421DE0F">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禁止填湖造地、围湖造田及非法围垦河道，禁止非法建设矮围网围、填埋湿地等侵占河湖水域或者违法利用、占用河湖岸线的行为。</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3859331">
            <w:pPr>
              <w:pStyle w:val="39"/>
              <w:bidi w:val="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本项目为渔政码头项目，为现有码头提质改造，不违法利用、占用长江流域河湖岸线</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1264823D">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B40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4744DCE6">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9</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25D6D4E5">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第十三条</w:t>
            </w:r>
            <w:r>
              <w:rPr>
                <w:rFonts w:hint="default" w:ascii="Times New Roman" w:hAnsi="Times New Roman" w:eastAsia="宋体" w:cs="Times New Roman"/>
                <w:color w:val="auto"/>
                <w:sz w:val="21"/>
                <w:szCs w:val="21"/>
                <w:lang w:val="en-US" w:eastAsia="zh-CN"/>
              </w:rPr>
              <w:t>禁止未经许可在长江干支流及湖泊新设、改设或扩大排污口。</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F8B8011">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本项目不涉及排污口建设</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F21C1FE">
            <w:pPr>
              <w:pStyle w:val="39"/>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相符</w:t>
            </w:r>
          </w:p>
        </w:tc>
      </w:tr>
      <w:tr w14:paraId="1986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431C7A96">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10</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69377785">
            <w:pPr>
              <w:pStyle w:val="39"/>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第十四条</w:t>
            </w:r>
            <w:r>
              <w:rPr>
                <w:rFonts w:hint="default" w:ascii="Times New Roman" w:hAnsi="Times New Roman" w:eastAsia="宋体" w:cs="Times New Roman"/>
                <w:color w:val="auto"/>
                <w:sz w:val="21"/>
                <w:szCs w:val="21"/>
                <w:lang w:val="en-US" w:eastAsia="zh-CN"/>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23068939">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本项目属于码头项目，不涉及生产性捕捞。</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C84E67F">
            <w:pPr>
              <w:pStyle w:val="39"/>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相符</w:t>
            </w:r>
          </w:p>
        </w:tc>
      </w:tr>
      <w:tr w14:paraId="1D42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0DA9ED2">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11</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2ED4D157">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第十五条禁止在</w:t>
            </w:r>
            <w:r>
              <w:rPr>
                <w:rFonts w:hint="default" w:ascii="Times New Roman" w:hAnsi="Times New Roman" w:eastAsia="宋体" w:cs="Times New Roman"/>
                <w:color w:val="auto"/>
                <w:sz w:val="21"/>
                <w:szCs w:val="21"/>
                <w:lang w:eastAsia="zh-CN"/>
              </w:rPr>
              <w:t>长江湖南段和洞庭湖、湘江、资江、沅江、澧水干流岸线一公里范围内新建、扩建</w:t>
            </w:r>
            <w:r>
              <w:rPr>
                <w:rFonts w:hint="default" w:ascii="Times New Roman" w:hAnsi="Times New Roman" w:eastAsia="宋体" w:cs="Times New Roman"/>
                <w:color w:val="auto"/>
                <w:sz w:val="21"/>
                <w:szCs w:val="21"/>
              </w:rPr>
              <w:t>化工园区和化工项目。</w:t>
            </w:r>
            <w:r>
              <w:rPr>
                <w:rFonts w:hint="default" w:ascii="Times New Roman" w:hAnsi="Times New Roman" w:eastAsia="宋体" w:cs="Times New Roman"/>
                <w:color w:val="auto"/>
                <w:sz w:val="21"/>
                <w:szCs w:val="21"/>
                <w:lang w:eastAsia="zh-CN"/>
              </w:rPr>
              <w:t>禁止在长江湖南段三公里范围内和湘江、资江、沅江、澧水干流岸线一公里范围内新建、改建、扩建尾矿库、冶炼渣库和磷石膏库，以提升安全、生态环境保护水平为目的的改建除外</w:t>
            </w:r>
            <w:r>
              <w:rPr>
                <w:rFonts w:hint="default" w:ascii="Times New Roman" w:hAnsi="Times New Roman" w:eastAsia="宋体" w:cs="Times New Roman"/>
                <w:color w:val="auto"/>
                <w:sz w:val="21"/>
                <w:szCs w:val="21"/>
              </w:rPr>
              <w:t>。</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95B5C4C">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本项目在湘江干流岸线1公里范围内，但不属于新建、扩建化工园区和化工项目，</w:t>
            </w:r>
            <w:r>
              <w:rPr>
                <w:rFonts w:hint="default" w:ascii="Times New Roman" w:hAnsi="Times New Roman" w:eastAsia="宋体" w:cs="Times New Roman"/>
                <w:color w:val="auto"/>
                <w:sz w:val="21"/>
                <w:szCs w:val="21"/>
                <w:lang w:eastAsia="zh-CN"/>
              </w:rPr>
              <w:t>不涉及尾矿库、冶炼渣库和磷石膏库建设。</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C6F9C20">
            <w:pPr>
              <w:pStyle w:val="39"/>
              <w:bidi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相符</w:t>
            </w:r>
          </w:p>
        </w:tc>
      </w:tr>
      <w:tr w14:paraId="34B4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32F991F3">
            <w:pPr>
              <w:pStyle w:val="39"/>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12</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57CA1FA0">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第十</w:t>
            </w:r>
            <w:r>
              <w:rPr>
                <w:rFonts w:hint="default" w:ascii="Times New Roman" w:hAnsi="Times New Roman" w:eastAsia="宋体" w:cs="Times New Roman"/>
                <w:color w:val="auto"/>
                <w:sz w:val="21"/>
                <w:szCs w:val="21"/>
                <w:lang w:eastAsia="zh-CN"/>
              </w:rPr>
              <w:t>六</w:t>
            </w:r>
            <w:r>
              <w:rPr>
                <w:rFonts w:hint="default" w:ascii="Times New Roman" w:hAnsi="Times New Roman" w:eastAsia="宋体" w:cs="Times New Roman"/>
                <w:color w:val="auto"/>
                <w:sz w:val="21"/>
                <w:szCs w:val="21"/>
              </w:rPr>
              <w:t>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禁止在</w:t>
            </w:r>
            <w:r>
              <w:rPr>
                <w:rFonts w:hint="default" w:ascii="Times New Roman" w:hAnsi="Times New Roman" w:eastAsia="宋体" w:cs="Times New Roman"/>
                <w:color w:val="auto"/>
                <w:sz w:val="21"/>
                <w:szCs w:val="21"/>
                <w:lang w:eastAsia="zh-CN"/>
              </w:rPr>
              <w:t>合规</w:t>
            </w:r>
            <w:r>
              <w:rPr>
                <w:rFonts w:hint="default" w:ascii="Times New Roman" w:hAnsi="Times New Roman" w:eastAsia="宋体" w:cs="Times New Roman"/>
                <w:color w:val="auto"/>
                <w:sz w:val="21"/>
                <w:szCs w:val="21"/>
              </w:rPr>
              <w:t>园区外新建、扩建钢铁、石化、化工、焦化、建材、有色</w:t>
            </w:r>
            <w:r>
              <w:rPr>
                <w:rFonts w:hint="default" w:ascii="Times New Roman" w:hAnsi="Times New Roman" w:eastAsia="宋体" w:cs="Times New Roman"/>
                <w:color w:val="auto"/>
                <w:sz w:val="21"/>
                <w:szCs w:val="21"/>
                <w:lang w:eastAsia="zh-CN"/>
              </w:rPr>
              <w:t>、制浆造纸</w:t>
            </w:r>
            <w:r>
              <w:rPr>
                <w:rFonts w:hint="default" w:ascii="Times New Roman" w:hAnsi="Times New Roman" w:eastAsia="宋体" w:cs="Times New Roman"/>
                <w:color w:val="auto"/>
                <w:sz w:val="21"/>
                <w:szCs w:val="21"/>
              </w:rPr>
              <w:t>等高污染项目。</w:t>
            </w:r>
            <w:r>
              <w:rPr>
                <w:rFonts w:hint="default" w:ascii="Times New Roman" w:hAnsi="Times New Roman" w:eastAsia="宋体" w:cs="Times New Roman"/>
                <w:color w:val="auto"/>
                <w:sz w:val="21"/>
                <w:szCs w:val="21"/>
                <w:lang w:eastAsia="zh-CN"/>
              </w:rPr>
              <w:t>高污染项目严格按照生态环境部《环境保护综合名录（</w:t>
            </w:r>
            <w:r>
              <w:rPr>
                <w:rFonts w:hint="default" w:ascii="Times New Roman" w:hAnsi="Times New Roman" w:eastAsia="宋体" w:cs="Times New Roman"/>
                <w:color w:val="auto"/>
                <w:sz w:val="21"/>
                <w:szCs w:val="21"/>
                <w:lang w:val="en-US" w:eastAsia="zh-CN"/>
              </w:rPr>
              <w:t>2021年版</w:t>
            </w:r>
            <w:r>
              <w:rPr>
                <w:rFonts w:hint="default" w:ascii="Times New Roman" w:hAnsi="Times New Roman" w:eastAsia="宋体" w:cs="Times New Roman"/>
                <w:color w:val="auto"/>
                <w:sz w:val="21"/>
                <w:szCs w:val="21"/>
                <w:lang w:eastAsia="zh-CN"/>
              </w:rPr>
              <w:t>）》有关要求执行。</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21466E6A">
            <w:pPr>
              <w:pStyle w:val="39"/>
              <w:bidi w:val="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不属于钢铁、石化、化工、焦化、建材、有色等高污染项目。</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6377BD3">
            <w:pPr>
              <w:pStyle w:val="39"/>
              <w:bidi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相符</w:t>
            </w:r>
          </w:p>
        </w:tc>
      </w:tr>
      <w:tr w14:paraId="558A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11827BAC">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00D41F69">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eastAsia="zh-CN"/>
              </w:rPr>
              <w:t>十七</w:t>
            </w:r>
            <w:r>
              <w:rPr>
                <w:rFonts w:hint="default" w:ascii="Times New Roman" w:hAnsi="Times New Roman" w:eastAsia="宋体" w:cs="Times New Roman"/>
                <w:color w:val="auto"/>
                <w:sz w:val="21"/>
                <w:szCs w:val="21"/>
              </w:rPr>
              <w:t>条</w:t>
            </w:r>
            <w:r>
              <w:rPr>
                <w:rFonts w:hint="default" w:ascii="Times New Roman" w:hAnsi="Times New Roman" w:eastAsia="宋体" w:cs="Times New Roman"/>
                <w:color w:val="auto"/>
                <w:sz w:val="21"/>
                <w:szCs w:val="21"/>
                <w:lang w:val="en-US" w:eastAsia="zh-CN"/>
              </w:rPr>
              <w:t>禁止新建、扩建不符合国家石化、现代煤化工等产业布局规划的项目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未通过认定的化工园区，不得新建、改扩建化工项目（安全、环保、节能和智能化改造项目除外）。</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3B1F0EB">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为码头项目，不属于化工项目。</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4887C9F4">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E30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14:paraId="645B57A1">
            <w:pPr>
              <w:pStyle w:val="39"/>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3053" w:type="pct"/>
            <w:tcBorders>
              <w:top w:val="single" w:color="auto" w:sz="4" w:space="0"/>
              <w:left w:val="single" w:color="auto" w:sz="4" w:space="0"/>
              <w:bottom w:val="single" w:color="auto" w:sz="4" w:space="0"/>
              <w:right w:val="single" w:color="auto" w:sz="4" w:space="0"/>
            </w:tcBorders>
            <w:noWrap w:val="0"/>
            <w:vAlign w:val="center"/>
          </w:tcPr>
          <w:p w14:paraId="11FFDD1B">
            <w:pPr>
              <w:pStyle w:val="39"/>
              <w:bidi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eastAsia="zh-CN"/>
              </w:rPr>
              <w:t>十八</w:t>
            </w:r>
            <w:r>
              <w:rPr>
                <w:rFonts w:hint="default" w:ascii="Times New Roman" w:hAnsi="Times New Roman" w:eastAsia="宋体" w:cs="Times New Roman"/>
                <w:color w:val="auto"/>
                <w:sz w:val="21"/>
                <w:szCs w:val="21"/>
              </w:rPr>
              <w:t>条禁止新建、扩建</w:t>
            </w:r>
            <w:r>
              <w:rPr>
                <w:rFonts w:hint="default" w:ascii="Times New Roman" w:hAnsi="Times New Roman" w:eastAsia="宋体" w:cs="Times New Roman"/>
                <w:color w:val="auto"/>
                <w:sz w:val="21"/>
                <w:szCs w:val="21"/>
                <w:lang w:eastAsia="zh-CN"/>
              </w:rPr>
              <w:t>法律法规和相关政策明令禁止的落后产能项目；对不符合要求的落后产能存量项目依法依规退出。禁止新建、扩建</w:t>
            </w:r>
            <w:r>
              <w:rPr>
                <w:rFonts w:hint="default" w:ascii="Times New Roman" w:hAnsi="Times New Roman" w:eastAsia="宋体" w:cs="Times New Roman"/>
                <w:color w:val="auto"/>
                <w:sz w:val="21"/>
                <w:szCs w:val="21"/>
              </w:rPr>
              <w:t>不符合国家产能置换要求的严重过剩产能行业（钢铁、水泥、电解铝、平板玻璃、船舶等行业）的项目。</w:t>
            </w:r>
            <w:r>
              <w:rPr>
                <w:rFonts w:hint="default" w:ascii="Times New Roman" w:hAnsi="Times New Roman" w:eastAsia="宋体" w:cs="Times New Roman"/>
                <w:color w:val="auto"/>
                <w:sz w:val="21"/>
                <w:szCs w:val="21"/>
                <w:lang w:eastAsia="zh-CN"/>
              </w:rPr>
              <w:t>对确有必要新建、扩建的，必须严格执行产能置换实施办法，实施减量或等量置换，依法依规办理有关手续。禁止新建、扩建不符合要去的高耗能高排放项目。</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7BE8AB4">
            <w:pPr>
              <w:pStyle w:val="39"/>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本项目为码头项目，不属于国家产能置换要求的严重过剩产能行业的项目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也不属于高污染项目。</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3E8C8625">
            <w:pPr>
              <w:pStyle w:val="3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4553D601">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sz w:val="24"/>
        </w:rPr>
        <w:t>综上所述，本项目不属于石化、煤化工、落后产能、产能过剩项目，属于《产业结构调整指导目录（2019年本）》中限制类和淘汰类项目。故本项目符合《湖南长江经济带发展负面清单实施细则（试行</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lang w:val="en-US" w:eastAsia="zh-CN"/>
        </w:rPr>
        <w:t>2022年版</w:t>
      </w:r>
      <w:r>
        <w:rPr>
          <w:rFonts w:hint="default" w:ascii="Times New Roman" w:hAnsi="Times New Roman" w:eastAsia="宋体" w:cs="Times New Roman"/>
          <w:snapToGrid w:val="0"/>
          <w:color w:val="auto"/>
          <w:sz w:val="24"/>
        </w:rPr>
        <w:t>）》相关要求。</w:t>
      </w:r>
    </w:p>
    <w:p w14:paraId="0B3D6658">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与《岳阳港总体规划（2035）》的的符合性分析</w:t>
      </w:r>
    </w:p>
    <w:p w14:paraId="3488F905">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岳阳港总体规划》（2017-2035年）对岳阳县港区的定为：岳阳县港区位于岳阳县鹿角镇洞庭湖东岸、岳阳县西部，陆路距县城10公里，水路距岳阳城陵矶港30公里，上距长沙128公里，距长江航道仅30公里，是湘江航道至长江出海口最近的港口。规划港口岸线7300米，规划以件杂货、干散货运输为主，兼有旅游客运，主要为当地经济发展和水上旅游资源开发服务，规划鹿角、汗水坡2个作业区和机场村水上服务区、太平咀客运港点以及新墙河内客运点。岳阳港总体规划将岳阳县港区规划为以件杂货、散货及矿建材料运输服务为主的客货综合性港区。</w:t>
      </w:r>
    </w:p>
    <w:p w14:paraId="459C4F49">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岳阳县鹿角码头现有2个2000吨级泊位（兼顾3000吨级），其中1个散货泊位，1个多用途泊位。散货泊位采用浮式码头结构，多用途泊位采用高桩框架码头结构，码头前沿线总长224m。本项目位置属于岳阳县港区内，该段岸线为顺直微弯河段，河面宽阔，水域条件好，面临湘江2000t级航道，来往船只密集，适宜建设交通渔政综合码头。</w:t>
      </w:r>
    </w:p>
    <w:p w14:paraId="1F4201AB">
      <w:pPr>
        <w:pStyle w:val="38"/>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根据岳阳市交通运输局以及岳阳县交通运输局文件表示，取消鹿角码头的货运功能，使其变为工作船功能。经过岳阳交通运输局部门同意，现将鹿角码头工作船功能泊位（原货运功能泊位）交由</w:t>
      </w:r>
      <w:r>
        <w:rPr>
          <w:rFonts w:hint="eastAsia" w:cs="Times New Roman"/>
          <w:color w:val="auto"/>
          <w:lang w:val="en-US" w:eastAsia="zh-CN"/>
        </w:rPr>
        <w:fldChar w:fldCharType="begin"/>
      </w:r>
      <w:r>
        <w:rPr>
          <w:rFonts w:hint="eastAsia" w:cs="Times New Roman"/>
          <w:color w:val="auto"/>
          <w:lang w:val="en-US" w:eastAsia="zh-CN"/>
        </w:rPr>
        <w:instrText xml:space="preserve"> HYPERLINK "https://www.qcc.com/firm/g14d799bd590d0fcb5260f19d21af3d4.html" \t "https://www.qcc.com/web/_blank" </w:instrText>
      </w:r>
      <w:r>
        <w:rPr>
          <w:rFonts w:hint="eastAsia" w:cs="Times New Roman"/>
          <w:color w:val="auto"/>
          <w:lang w:val="en-US" w:eastAsia="zh-CN"/>
        </w:rPr>
        <w:fldChar w:fldCharType="separate"/>
      </w:r>
      <w:r>
        <w:rPr>
          <w:rFonts w:hint="eastAsia" w:cs="Times New Roman"/>
          <w:color w:val="auto"/>
          <w:lang w:val="en-US" w:eastAsia="zh-CN"/>
        </w:rPr>
        <w:t>岳阳县东洞庭湖渔政监察执法局</w:t>
      </w:r>
      <w:r>
        <w:rPr>
          <w:rFonts w:hint="eastAsia" w:cs="Times New Roman"/>
          <w:color w:val="auto"/>
          <w:lang w:val="en-US" w:eastAsia="zh-CN"/>
        </w:rPr>
        <w:fldChar w:fldCharType="end"/>
      </w:r>
      <w:r>
        <w:rPr>
          <w:rFonts w:hint="eastAsia" w:cs="Times New Roman"/>
          <w:color w:val="auto"/>
          <w:lang w:val="en-US" w:eastAsia="zh-CN"/>
        </w:rPr>
        <w:t>使用，岳阳交通运输局与渔政管理局共同使用鹿角码头进行联合执法。本次提质改造工程未超过规划岸线、未新增泊位数量，符合岳阳港总体规划要求。</w:t>
      </w:r>
    </w:p>
    <w:p w14:paraId="7DCAAB86">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市政府结合环保部意见，已印发《湘江资水沅水岳阳段港口码头专项整治方案》（岳政办函〔2020〕39号），正在推进鹿角作业区相关码头提质改造建设；本项目为码头提质改造规范提升项目，项目建设符合《岳阳港总体规划》、《湖南省内河航运发展规划》、《湖南省港口布局规划》及《湘江干流航运发展规划》，对完善本地区港口体系，充分发挥河道资源优势，振兴航运事业具有积极意义。</w:t>
      </w:r>
    </w:p>
    <w:p w14:paraId="379D7BB9">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岳阳县鹿角交通渔政综合执法码头提质改造工程项目属于《洞庭湖和湘资沅澧四水非法码头渡口专项整治工作方案》、《湘江资水沅水岳阳段港口码头专项整治方案》规范提升不违背产业政策和规划的手续不齐全码头。总体上，本项目属于码头防治规范提升绿色、环保要求，属于生态保护项目。岳阳县鹿角交通渔政综合执法码头提质改造工程项目无排污量，对原有生态系统结构影响小。通过项目实施，对于完善岳阳港布局、完善港口整体服务功能的需要，规范码头有着重要意义，有助于码头提质改造环保管理，提高水环境质量。</w:t>
      </w:r>
    </w:p>
    <w:p w14:paraId="0EA30EBE">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与《岳阳市总体规划》（2008-2030年）相符性分析</w:t>
      </w:r>
    </w:p>
    <w:p w14:paraId="5798A0AE">
      <w:pPr>
        <w:pageBreakBefore w:val="0"/>
        <w:widowControl w:val="0"/>
        <w:tabs>
          <w:tab w:val="left" w:pos="573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按照</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以港兴市</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的战略思想，规划城陵矶（包括松阳湖港）、岳阳楼、七里山、道仁矶、陆城、君山、湘阴、汨罗、岳阳县、华容、临湘十一个港区。重点</w:t>
      </w:r>
      <w:r>
        <w:rPr>
          <w:rFonts w:hint="default" w:ascii="Times New Roman" w:hAnsi="Times New Roman" w:eastAsia="宋体" w:cs="Times New Roman"/>
          <w:color w:val="auto"/>
          <w:u w:val="none" w:color="auto"/>
          <w:lang w:eastAsia="zh-CN"/>
        </w:rPr>
        <w:t>规范提升</w:t>
      </w:r>
      <w:r>
        <w:rPr>
          <w:rFonts w:hint="default" w:ascii="Times New Roman" w:hAnsi="Times New Roman" w:eastAsia="宋体" w:cs="Times New Roman"/>
          <w:color w:val="auto"/>
          <w:u w:val="none" w:color="auto"/>
        </w:rPr>
        <w:t>长江和湘江航道，提高通航能力，协调岸线资源和港口功能的发挥。</w:t>
      </w:r>
    </w:p>
    <w:p w14:paraId="2E833A86">
      <w:pPr>
        <w:pageBreakBefore w:val="0"/>
        <w:widowControl w:val="0"/>
        <w:tabs>
          <w:tab w:val="left" w:pos="573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规划建设华容、君山、岳阳楼、七里山、城陵矶、道仁矶、陆城、临湘、湘阴、汨罗及岳阳县等11个港区，43个作业区，352个泊位。其中：中心城区港区规划泊位102个，新建31个（1000t级以上货运泊位18个），预留泊位71个。市辖县港区泊位128个，新建8个，预留27个，保留93个；完成城陵矶松杨湖一期工程，启动二期工程；新建和改造1000t级以上码头泊位28个，建设一批连通县域工业园的1000t和500t级码头；完成洞庭湖水上应急救援指挥中心建设；疏浚</w:t>
      </w:r>
      <w:r>
        <w:rPr>
          <w:rFonts w:hint="default" w:ascii="Times New Roman" w:hAnsi="Times New Roman" w:eastAsia="宋体" w:cs="Times New Roman"/>
          <w:color w:val="auto"/>
          <w:u w:val="none" w:color="auto"/>
          <w:lang w:eastAsia="zh-CN"/>
        </w:rPr>
        <w:t>规范提升</w:t>
      </w:r>
      <w:r>
        <w:rPr>
          <w:rFonts w:hint="default" w:ascii="Times New Roman" w:hAnsi="Times New Roman" w:eastAsia="宋体" w:cs="Times New Roman"/>
          <w:color w:val="auto"/>
          <w:u w:val="none" w:color="auto"/>
        </w:rPr>
        <w:t>航道52</w:t>
      </w:r>
      <w:r>
        <w:rPr>
          <w:rFonts w:hint="default" w:ascii="Times New Roman" w:hAnsi="Times New Roman" w:eastAsia="宋体" w:cs="Times New Roman"/>
          <w:color w:val="auto"/>
          <w:u w:val="none" w:color="auto"/>
          <w:lang w:eastAsia="zh-CN"/>
        </w:rPr>
        <w:t>km</w:t>
      </w:r>
      <w:r>
        <w:rPr>
          <w:rFonts w:hint="default" w:ascii="Times New Roman" w:hAnsi="Times New Roman" w:eastAsia="宋体" w:cs="Times New Roman"/>
          <w:color w:val="auto"/>
          <w:u w:val="none" w:color="auto"/>
        </w:rPr>
        <w:t>，其中华容河航道18</w:t>
      </w:r>
      <w:r>
        <w:rPr>
          <w:rFonts w:hint="default" w:ascii="Times New Roman" w:hAnsi="Times New Roman" w:eastAsia="宋体" w:cs="Times New Roman"/>
          <w:color w:val="auto"/>
          <w:u w:val="none" w:color="auto"/>
          <w:lang w:eastAsia="zh-CN"/>
        </w:rPr>
        <w:t>km</w:t>
      </w:r>
      <w:r>
        <w:rPr>
          <w:rFonts w:hint="default" w:ascii="Times New Roman" w:hAnsi="Times New Roman" w:eastAsia="宋体" w:cs="Times New Roman"/>
          <w:color w:val="auto"/>
          <w:u w:val="none" w:color="auto"/>
        </w:rPr>
        <w:t>，藕池河航道24</w:t>
      </w:r>
      <w:r>
        <w:rPr>
          <w:rFonts w:hint="default" w:ascii="Times New Roman" w:hAnsi="Times New Roman" w:eastAsia="宋体" w:cs="Times New Roman"/>
          <w:color w:val="auto"/>
          <w:u w:val="none" w:color="auto"/>
          <w:lang w:eastAsia="zh-CN"/>
        </w:rPr>
        <w:t>km</w:t>
      </w:r>
      <w:r>
        <w:rPr>
          <w:rFonts w:hint="default" w:ascii="Times New Roman" w:hAnsi="Times New Roman" w:eastAsia="宋体" w:cs="Times New Roman"/>
          <w:color w:val="auto"/>
          <w:u w:val="none" w:color="auto"/>
        </w:rPr>
        <w:t>，洞庭湖区航道10</w:t>
      </w:r>
      <w:r>
        <w:rPr>
          <w:rFonts w:hint="default" w:ascii="Times New Roman" w:hAnsi="Times New Roman" w:eastAsia="宋体" w:cs="Times New Roman"/>
          <w:color w:val="auto"/>
          <w:u w:val="none" w:color="auto"/>
          <w:lang w:eastAsia="zh-CN"/>
        </w:rPr>
        <w:t>km</w:t>
      </w:r>
      <w:r>
        <w:rPr>
          <w:rFonts w:hint="default" w:ascii="Times New Roman" w:hAnsi="Times New Roman" w:eastAsia="宋体" w:cs="Times New Roman"/>
          <w:color w:val="auto"/>
          <w:u w:val="none" w:color="auto"/>
        </w:rPr>
        <w:t>。</w:t>
      </w:r>
    </w:p>
    <w:p w14:paraId="53E534EF">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u w:val="none" w:color="auto"/>
        </w:rPr>
        <w:t>本项目属</w:t>
      </w:r>
      <w:r>
        <w:rPr>
          <w:rFonts w:hint="default" w:ascii="Times New Roman" w:hAnsi="Times New Roman" w:eastAsia="宋体" w:cs="Times New Roman"/>
          <w:color w:val="auto"/>
          <w:u w:val="none" w:color="auto"/>
          <w:lang w:val="en-US" w:eastAsia="zh-CN"/>
        </w:rPr>
        <w:t>码头提质改造</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洞庭湖</w:t>
      </w:r>
      <w:r>
        <w:rPr>
          <w:rFonts w:hint="default" w:ascii="Times New Roman" w:hAnsi="Times New Roman" w:eastAsia="宋体" w:cs="Times New Roman"/>
          <w:color w:val="auto"/>
          <w:u w:val="none" w:color="auto"/>
          <w:lang w:val="en-US" w:eastAsia="zh-CN"/>
        </w:rPr>
        <w:t>湘江</w:t>
      </w:r>
      <w:r>
        <w:rPr>
          <w:rFonts w:hint="default" w:ascii="Times New Roman" w:hAnsi="Times New Roman" w:eastAsia="宋体" w:cs="Times New Roman"/>
          <w:color w:val="auto"/>
          <w:u w:val="none" w:color="auto"/>
        </w:rPr>
        <w:t>主航道位于</w:t>
      </w:r>
      <w:r>
        <w:rPr>
          <w:rFonts w:hint="default" w:ascii="Times New Roman" w:hAnsi="Times New Roman" w:eastAsia="宋体" w:cs="Times New Roman"/>
          <w:color w:val="auto"/>
          <w:u w:val="none" w:color="auto"/>
          <w:lang w:eastAsia="zh-CN"/>
        </w:rPr>
        <w:t>项目</w:t>
      </w:r>
      <w:r>
        <w:rPr>
          <w:rFonts w:hint="default" w:ascii="Times New Roman" w:hAnsi="Times New Roman" w:eastAsia="宋体" w:cs="Times New Roman"/>
          <w:color w:val="auto"/>
          <w:u w:val="none" w:color="auto"/>
        </w:rPr>
        <w:t>前沿，进出船舶航行及靠泊便利，</w:t>
      </w:r>
      <w:r>
        <w:rPr>
          <w:rFonts w:hint="default" w:ascii="Times New Roman" w:hAnsi="Times New Roman" w:eastAsia="宋体" w:cs="Times New Roman"/>
          <w:color w:val="auto"/>
          <w:u w:val="none" w:color="auto"/>
          <w:lang w:eastAsia="zh-CN"/>
        </w:rPr>
        <w:t>项目前</w:t>
      </w:r>
      <w:r>
        <w:rPr>
          <w:rFonts w:hint="default" w:ascii="Times New Roman" w:hAnsi="Times New Roman" w:eastAsia="宋体" w:cs="Times New Roman"/>
          <w:color w:val="auto"/>
          <w:u w:val="none" w:color="auto"/>
        </w:rPr>
        <w:t>沿停靠作业水域和船舶回旋水域不占用主航</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符合规划发展要求。</w:t>
      </w:r>
    </w:p>
    <w:p w14:paraId="0639879D">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rPr>
      </w:pPr>
      <w:bookmarkStart w:id="64" w:name="_Toc31106"/>
      <w:r>
        <w:rPr>
          <w:rFonts w:hint="default" w:ascii="Times New Roman" w:hAnsi="Times New Roman" w:eastAsia="宋体" w:cs="Times New Roman"/>
          <w:color w:val="auto"/>
          <w:sz w:val="24"/>
          <w:szCs w:val="24"/>
        </w:rPr>
        <w:t>1.3.</w:t>
      </w:r>
      <w:r>
        <w:rPr>
          <w:rFonts w:hint="eastAsia" w:cs="Times New Roman"/>
          <w:color w:val="auto"/>
          <w:sz w:val="24"/>
          <w:szCs w:val="24"/>
          <w:lang w:val="en-US" w:eastAsia="zh-CN"/>
        </w:rPr>
        <w:t>3</w:t>
      </w:r>
      <w:bookmarkEnd w:id="64"/>
      <w:r>
        <w:rPr>
          <w:rFonts w:hint="eastAsia" w:cs="Times New Roman"/>
          <w:color w:val="auto"/>
          <w:sz w:val="24"/>
          <w:szCs w:val="24"/>
          <w:lang w:val="en-US" w:eastAsia="zh-CN"/>
        </w:rPr>
        <w:t>与生态环境分区管控的相符性分析</w:t>
      </w:r>
    </w:p>
    <w:p w14:paraId="1F4D8CC3">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根据岳阳县自然资源局意见，本项目的建设内容及范围均不涉及生态红线。</w:t>
      </w:r>
    </w:p>
    <w:p w14:paraId="3B414632">
      <w:pPr>
        <w:pStyle w:val="38"/>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对照</w:t>
      </w:r>
      <w:r>
        <w:rPr>
          <w:rFonts w:hint="default" w:ascii="Times New Roman" w:hAnsi="Times New Roman" w:eastAsia="宋体" w:cs="Times New Roman"/>
          <w:color w:val="auto"/>
          <w:lang w:val="en-US" w:eastAsia="zh-CN"/>
        </w:rPr>
        <w:t>2024年12月17日《岳阳市生态环境局关于发布岳阳市生态环境分区管控动态更新成果（2023年版）的通知》</w:t>
      </w:r>
      <w:r>
        <w:rPr>
          <w:rFonts w:hint="eastAsia" w:cs="Times New Roman"/>
          <w:color w:val="auto"/>
          <w:lang w:val="en-US" w:eastAsia="zh-CN"/>
        </w:rPr>
        <w:t>，本项目位于东洞庭湖优先保护单元，环境管控单元编码为ZH43062110001，本项目与该管控单元相关要求的符合性分析如下：</w:t>
      </w:r>
    </w:p>
    <w:p w14:paraId="5154E79F">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与岳阳市东洞庭湖环境管控单元生态环境准入清单符合性分析</w:t>
      </w:r>
    </w:p>
    <w:tbl>
      <w:tblPr>
        <w:tblStyle w:val="29"/>
        <w:tblW w:w="484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271"/>
        <w:gridCol w:w="1055"/>
        <w:gridCol w:w="3347"/>
        <w:gridCol w:w="1896"/>
        <w:gridCol w:w="694"/>
      </w:tblGrid>
      <w:tr w14:paraId="698B345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769" w:type="pct"/>
            <w:shd w:val="clear" w:color="auto" w:fill="auto"/>
            <w:noWrap w:val="0"/>
            <w:vAlign w:val="center"/>
          </w:tcPr>
          <w:p w14:paraId="097EFB0F">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乡镇</w:t>
            </w:r>
          </w:p>
        </w:tc>
        <w:tc>
          <w:tcPr>
            <w:tcW w:w="638" w:type="pct"/>
            <w:shd w:val="clear" w:color="auto" w:fill="auto"/>
            <w:noWrap w:val="0"/>
            <w:vAlign w:val="center"/>
          </w:tcPr>
          <w:p w14:paraId="0E522120">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单元分类</w:t>
            </w:r>
          </w:p>
        </w:tc>
        <w:tc>
          <w:tcPr>
            <w:tcW w:w="2024" w:type="pct"/>
            <w:tcBorders>
              <w:right w:val="single" w:color="000000" w:sz="4" w:space="0"/>
            </w:tcBorders>
            <w:shd w:val="clear" w:color="auto" w:fill="auto"/>
            <w:noWrap w:val="0"/>
            <w:vAlign w:val="center"/>
          </w:tcPr>
          <w:p w14:paraId="52CB14C0">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经济产业布局</w:t>
            </w:r>
          </w:p>
        </w:tc>
        <w:tc>
          <w:tcPr>
            <w:tcW w:w="1567" w:type="pct"/>
            <w:gridSpan w:val="2"/>
            <w:tcBorders>
              <w:left w:val="single" w:color="000000" w:sz="4" w:space="0"/>
            </w:tcBorders>
            <w:shd w:val="clear" w:color="auto" w:fill="auto"/>
            <w:noWrap w:val="0"/>
            <w:vAlign w:val="center"/>
          </w:tcPr>
          <w:p w14:paraId="338FE482">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主要环境问题</w:t>
            </w:r>
          </w:p>
        </w:tc>
      </w:tr>
      <w:tr w14:paraId="76CEC58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769" w:type="pct"/>
            <w:noWrap w:val="0"/>
            <w:vAlign w:val="center"/>
          </w:tcPr>
          <w:p w14:paraId="7DA7D283">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东洞庭湖</w:t>
            </w:r>
          </w:p>
        </w:tc>
        <w:tc>
          <w:tcPr>
            <w:tcW w:w="638" w:type="pct"/>
            <w:noWrap w:val="0"/>
            <w:vAlign w:val="center"/>
          </w:tcPr>
          <w:p w14:paraId="29AD92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优先保护单元</w:t>
            </w:r>
          </w:p>
        </w:tc>
        <w:tc>
          <w:tcPr>
            <w:tcW w:w="2024" w:type="pct"/>
            <w:tcBorders>
              <w:right w:val="single" w:color="000000" w:sz="4" w:space="0"/>
            </w:tcBorders>
            <w:noWrap w:val="0"/>
            <w:vAlign w:val="center"/>
          </w:tcPr>
          <w:p w14:paraId="7A4424E7">
            <w:pPr>
              <w:pStyle w:val="39"/>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湖区</w:t>
            </w:r>
          </w:p>
        </w:tc>
        <w:tc>
          <w:tcPr>
            <w:tcW w:w="1567" w:type="pct"/>
            <w:gridSpan w:val="2"/>
            <w:tcBorders>
              <w:left w:val="single" w:color="000000" w:sz="4" w:space="0"/>
            </w:tcBorders>
            <w:noWrap w:val="0"/>
            <w:vAlign w:val="center"/>
          </w:tcPr>
          <w:p w14:paraId="55EFB02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畜禽养殖等农业面源污染</w:t>
            </w:r>
          </w:p>
        </w:tc>
      </w:tr>
      <w:tr w14:paraId="636D6AE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769" w:type="pct"/>
            <w:noWrap w:val="0"/>
            <w:vAlign w:val="center"/>
          </w:tcPr>
          <w:p w14:paraId="0B3B0115">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主要属性</w:t>
            </w:r>
          </w:p>
        </w:tc>
        <w:tc>
          <w:tcPr>
            <w:tcW w:w="4230" w:type="pct"/>
            <w:gridSpan w:val="4"/>
            <w:noWrap w:val="0"/>
            <w:vAlign w:val="center"/>
          </w:tcPr>
          <w:p w14:paraId="7BAA3DA0">
            <w:pPr>
              <w:pStyle w:val="39"/>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红线/一般生态空间/水环境优先保护区/超标监测断面/大气环境优先保护区/大气环境高排放重点管控区/农用地优先保护区红线/一般生态空间/自然保护区\风景名胜区\生物多样性保护功能重要区\水源涵养重要区\三区三线生态红线\原生态红线\水土流失敏感区/水环境优先保护区/东洞庭湖超标断面、鹿角超标断面、扁山超标断面、岳阳楼超标断面、汨罗江河口段鲶国家级水产种质资源保护区、东洞庭湖中国圆田螺国家级水产种质资源保护区、南洞庭湖银鱼三角帆蚌国家级水产种质资源保护区、南洞庭湖大口鲶青虾中华鳖国家级水产种质资源保护区、洞庭湖口铜鱼短颌鲚国家级水产种质资源保护区、东洞庭湖鲤鲫黄颡国家级水产种质资源保护区/大气环境优先保护区/大气环境高排放重点管控区/大气环境受体敏感重点管控区/大气环境布局敏感重点管控区/湖南东洞庭湖国家级自然保护区/湖南南洞庭湖省级自然保护区/岳阳楼-洞庭湖风景名胜区/岳阳高新技术产业园区（实际开发区）/农用地优先保护区/建设用地重点管控区/一般管控区/中高风险企业用地/重点行业企业重点区域</w:t>
            </w:r>
          </w:p>
        </w:tc>
      </w:tr>
      <w:tr w14:paraId="7900E1D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769" w:type="pct"/>
            <w:noWrap w:val="0"/>
            <w:vAlign w:val="center"/>
          </w:tcPr>
          <w:p w14:paraId="1E0447B3">
            <w:pPr>
              <w:pStyle w:val="39"/>
              <w:bidi w:val="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管控维度</w:t>
            </w:r>
          </w:p>
        </w:tc>
        <w:tc>
          <w:tcPr>
            <w:tcW w:w="2663" w:type="pct"/>
            <w:gridSpan w:val="2"/>
            <w:tcBorders>
              <w:right w:val="single" w:color="000000" w:sz="4" w:space="0"/>
            </w:tcBorders>
            <w:noWrap w:val="0"/>
            <w:vAlign w:val="center"/>
          </w:tcPr>
          <w:p w14:paraId="2785F590">
            <w:pPr>
              <w:pStyle w:val="39"/>
              <w:bidi w:val="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管控要求</w:t>
            </w:r>
          </w:p>
        </w:tc>
        <w:tc>
          <w:tcPr>
            <w:tcW w:w="1147" w:type="pct"/>
            <w:tcBorders>
              <w:left w:val="single" w:color="000000" w:sz="4" w:space="0"/>
            </w:tcBorders>
            <w:noWrap w:val="0"/>
            <w:vAlign w:val="center"/>
          </w:tcPr>
          <w:p w14:paraId="7014676C">
            <w:pPr>
              <w:pStyle w:val="39"/>
              <w:bidi w:val="0"/>
              <w:rPr>
                <w:rFonts w:hint="eastAsia" w:ascii="Times New Roman" w:hAnsi="Times New Roman" w:eastAsia="宋体" w:cs="Times New Roman"/>
                <w:color w:val="auto"/>
                <w:lang w:eastAsia="zh-CN"/>
              </w:rPr>
            </w:pPr>
            <w:r>
              <w:rPr>
                <w:rFonts w:hint="eastAsia" w:cs="Times New Roman"/>
                <w:color w:val="auto"/>
                <w:lang w:val="en-US" w:eastAsia="zh-CN"/>
              </w:rPr>
              <w:t>本项目</w:t>
            </w:r>
          </w:p>
        </w:tc>
        <w:tc>
          <w:tcPr>
            <w:tcW w:w="419" w:type="pct"/>
            <w:tcBorders>
              <w:left w:val="single" w:color="000000" w:sz="4" w:space="0"/>
            </w:tcBorders>
            <w:noWrap w:val="0"/>
            <w:vAlign w:val="center"/>
          </w:tcPr>
          <w:p w14:paraId="348D95E3">
            <w:pPr>
              <w:pStyle w:val="39"/>
              <w:bidi w:val="0"/>
              <w:rPr>
                <w:rFonts w:hint="default" w:ascii="Times New Roman" w:hAnsi="Times New Roman" w:eastAsia="宋体" w:cs="Times New Roman"/>
                <w:color w:val="auto"/>
                <w:lang w:val="en-US" w:eastAsia="zh-CN"/>
              </w:rPr>
            </w:pPr>
            <w:r>
              <w:rPr>
                <w:rFonts w:hint="eastAsia" w:cs="Times New Roman"/>
                <w:color w:val="auto"/>
                <w:lang w:val="en-US" w:eastAsia="zh-CN"/>
              </w:rPr>
              <w:t>是否符合</w:t>
            </w:r>
          </w:p>
        </w:tc>
      </w:tr>
      <w:tr w14:paraId="137B073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69" w:type="pct"/>
            <w:noWrap w:val="0"/>
            <w:vAlign w:val="center"/>
          </w:tcPr>
          <w:p w14:paraId="2C6F9C46">
            <w:pPr>
              <w:pStyle w:val="39"/>
              <w:bidi w:val="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空间布局元素</w:t>
            </w:r>
          </w:p>
        </w:tc>
        <w:tc>
          <w:tcPr>
            <w:tcW w:w="2663" w:type="pct"/>
            <w:gridSpan w:val="2"/>
            <w:noWrap w:val="0"/>
            <w:vAlign w:val="center"/>
          </w:tcPr>
          <w:p w14:paraId="1E46C17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）保护区范围内禁止从事非法砍伐、放牧、采药、开垦、烧荒、开矿、采石、挖砂等破坏保护区生态环境活动，禁止向保护区水体和洲滩违法排放污染物、倾倒废弃物。</w:t>
            </w:r>
          </w:p>
          <w:p w14:paraId="178300E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（1.2）禁止在核心区、缓冲区开展旅游和其他生产经营活动，禁止建设任何生产经营设施。核心区、缓冲区禁止引进、放生外来物种。</w:t>
            </w:r>
          </w:p>
          <w:p w14:paraId="57CDDBB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（1.3）实验区内不得建设污染环境、破坏资源或者景观的生产设施；建设其他项目以及实验区内已建成的设施，其污染物排放不得超过国家或者地方规定的污染物排放标准或者重点污染物排放总量控制指标。</w:t>
            </w:r>
          </w:p>
        </w:tc>
        <w:tc>
          <w:tcPr>
            <w:tcW w:w="1147" w:type="pct"/>
            <w:noWrap w:val="0"/>
            <w:vAlign w:val="center"/>
          </w:tcPr>
          <w:p w14:paraId="6BCD0B96">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本项目为渔政综合执法码头项目，</w:t>
            </w:r>
            <w:r>
              <w:rPr>
                <w:rFonts w:hint="eastAsia" w:cs="Times New Roman"/>
                <w:color w:val="auto"/>
                <w:kern w:val="0"/>
                <w:sz w:val="21"/>
                <w:szCs w:val="21"/>
                <w:lang w:val="en-US" w:eastAsia="zh-CN" w:bidi="ar"/>
              </w:rPr>
              <w:t>无属于污染环境的生产设施。无</w:t>
            </w:r>
            <w:r>
              <w:rPr>
                <w:rFonts w:hint="default" w:ascii="Times New Roman" w:hAnsi="Times New Roman" w:eastAsia="宋体" w:cs="Times New Roman"/>
                <w:color w:val="auto"/>
                <w:kern w:val="0"/>
                <w:sz w:val="21"/>
                <w:szCs w:val="21"/>
                <w:lang w:val="en-US" w:eastAsia="zh-CN" w:bidi="ar"/>
              </w:rPr>
              <w:t>砍伐、放牧</w:t>
            </w:r>
            <w:r>
              <w:rPr>
                <w:rFonts w:hint="eastAsia" w:cs="Times New Roman"/>
                <w:color w:val="auto"/>
                <w:kern w:val="0"/>
                <w:sz w:val="21"/>
                <w:szCs w:val="21"/>
                <w:lang w:val="en-US" w:eastAsia="zh-CN" w:bidi="ar"/>
              </w:rPr>
              <w:t>等破坏保护区生态的环境活动，项目运营期污水及固体废物均得到妥善处理，不向水体排放污染物</w:t>
            </w:r>
            <w:r>
              <w:rPr>
                <w:rFonts w:hint="default" w:ascii="Times New Roman" w:hAnsi="Times New Roman" w:eastAsia="宋体" w:cs="Times New Roman"/>
                <w:color w:val="auto"/>
                <w:kern w:val="0"/>
                <w:sz w:val="21"/>
                <w:szCs w:val="21"/>
                <w:lang w:val="en-US" w:eastAsia="zh-CN" w:bidi="ar"/>
              </w:rPr>
              <w:t>；</w:t>
            </w:r>
          </w:p>
        </w:tc>
        <w:tc>
          <w:tcPr>
            <w:tcW w:w="419" w:type="pct"/>
            <w:noWrap w:val="0"/>
            <w:vAlign w:val="center"/>
          </w:tcPr>
          <w:p w14:paraId="19F618F3">
            <w:pPr>
              <w:pStyle w:val="39"/>
              <w:bidi w:val="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r w14:paraId="6A5B773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769" w:type="pct"/>
            <w:noWrap w:val="0"/>
            <w:vAlign w:val="center"/>
          </w:tcPr>
          <w:p w14:paraId="51AE859A">
            <w:pPr>
              <w:pStyle w:val="39"/>
              <w:bidi w:val="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环境风险防控</w:t>
            </w:r>
          </w:p>
        </w:tc>
        <w:tc>
          <w:tcPr>
            <w:tcW w:w="2663" w:type="pct"/>
            <w:gridSpan w:val="2"/>
            <w:noWrap w:val="0"/>
            <w:vAlign w:val="center"/>
          </w:tcPr>
          <w:p w14:paraId="4003758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（2.1）加强洞庭湖（岳阳县段）国家湿地公园、新墙河国家湿地公园等湿地的保护与修复，禁止湿地无序开发。</w:t>
            </w:r>
          </w:p>
          <w:p w14:paraId="2C4A959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（2.2）加密重点断面水质监测，将断面水质管控作为河湖长制重点工作内容，纳入河湖长工作绩效考核。</w:t>
            </w:r>
          </w:p>
          <w:p w14:paraId="0E88DC0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（2.3）大力开展养殖污染治理，养殖场/户根据规模按要求配套污染治理措施。禁养区内畜禽养殖场立即关停退养，禁养区外沿江、河、湖 库、排（干）渠岸线500米内实施限养管理，禁止新增养殖场和扩大养殖规模，引导现有养殖场逐步退出。</w:t>
            </w:r>
          </w:p>
          <w:p w14:paraId="015A83E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（2.4）建立涵盖基础信息、实时水量水质数据等在内的河湖库管理信息平台，河湖管护联合执法机制逐步形成，在东洞庭湖建立生态补偿机制。</w:t>
            </w:r>
          </w:p>
        </w:tc>
        <w:tc>
          <w:tcPr>
            <w:tcW w:w="1147" w:type="pct"/>
            <w:noWrap w:val="0"/>
            <w:vAlign w:val="center"/>
          </w:tcPr>
          <w:p w14:paraId="70123379">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本项目不涉及风险防控情景。</w:t>
            </w:r>
          </w:p>
        </w:tc>
        <w:tc>
          <w:tcPr>
            <w:tcW w:w="419" w:type="pct"/>
            <w:noWrap w:val="0"/>
            <w:vAlign w:val="center"/>
          </w:tcPr>
          <w:p w14:paraId="7DAE5D5B">
            <w:pPr>
              <w:pStyle w:val="39"/>
              <w:bidi w:val="0"/>
              <w:rPr>
                <w:rFonts w:hint="eastAsia" w:ascii="Times New Roman" w:hAnsi="Times New Roman" w:eastAsia="宋体" w:cs="Times New Roman"/>
                <w:color w:val="auto"/>
                <w:lang w:val="en-US" w:eastAsia="zh-CN"/>
              </w:rPr>
            </w:pPr>
            <w:r>
              <w:rPr>
                <w:rFonts w:hint="eastAsia" w:cs="Times New Roman"/>
                <w:color w:val="auto"/>
                <w:lang w:val="en-US" w:eastAsia="zh-CN"/>
              </w:rPr>
              <w:t>相符</w:t>
            </w:r>
          </w:p>
        </w:tc>
      </w:tr>
      <w:tr w14:paraId="03B9C62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618" w:hRule="atLeast"/>
          <w:jc w:val="center"/>
        </w:trPr>
        <w:tc>
          <w:tcPr>
            <w:tcW w:w="769" w:type="pct"/>
            <w:noWrap w:val="0"/>
            <w:vAlign w:val="center"/>
          </w:tcPr>
          <w:p w14:paraId="628F8821">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资源开发效率要求</w:t>
            </w:r>
          </w:p>
        </w:tc>
        <w:tc>
          <w:tcPr>
            <w:tcW w:w="2663" w:type="pct"/>
            <w:gridSpan w:val="2"/>
            <w:noWrap w:val="0"/>
            <w:vAlign w:val="center"/>
          </w:tcPr>
          <w:p w14:paraId="552CEDB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（3.1）水资源：2025年，岳阳县用水总量4.07亿立方米，万元地区生产总值用水量比2020年下降21.53%，万元工业增加值用水量比2020年下降12.65%，农田灌溉水有效利用系数0.59。</w:t>
            </w:r>
          </w:p>
          <w:p w14:paraId="15497F0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（3.2）能源：岳阳县“十四五”时期能耗强度降低基本目标16%，激励 目标16.5%。</w:t>
            </w:r>
          </w:p>
          <w:p w14:paraId="548C91C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1"/>
                <w:szCs w:val="21"/>
                <w:lang w:val="en-US" w:eastAsia="zh-CN" w:bidi="ar"/>
              </w:rPr>
              <w:t>（3.3）土地资源：湖管系统耕地保护目标52.16亩，永久基本农田保护 面积39.30亩，生态保护红线面积84224.35公顷，城镇开发边界规模6.00公顷，村庄建设用地23.53公顷。</w:t>
            </w:r>
          </w:p>
        </w:tc>
        <w:tc>
          <w:tcPr>
            <w:tcW w:w="1147" w:type="pct"/>
            <w:noWrap w:val="0"/>
            <w:vAlign w:val="center"/>
          </w:tcPr>
          <w:p w14:paraId="04D8D98C">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本项目为渔政综合执法码头项目，在现有码头范围内进行提质改造，不新增占地。</w:t>
            </w:r>
          </w:p>
        </w:tc>
        <w:tc>
          <w:tcPr>
            <w:tcW w:w="419" w:type="pct"/>
            <w:noWrap w:val="0"/>
            <w:vAlign w:val="center"/>
          </w:tcPr>
          <w:p w14:paraId="2210C00B">
            <w:pPr>
              <w:pStyle w:val="39"/>
              <w:bidi w:val="0"/>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bl>
    <w:p w14:paraId="3ADCED1D">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综上，本项目符合《岳阳市生态环境局关于发布岳阳市生态环境分区管控动态更新成果（2023年版）的相关要求。</w:t>
      </w:r>
    </w:p>
    <w:p w14:paraId="0ED42E32">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bookmarkStart w:id="65" w:name="_Toc24731"/>
      <w:r>
        <w:rPr>
          <w:rFonts w:hint="eastAsia" w:cs="Times New Roman"/>
          <w:color w:val="auto"/>
          <w:sz w:val="24"/>
          <w:szCs w:val="24"/>
          <w:u w:val="none" w:color="auto"/>
          <w:lang w:val="en-US" w:eastAsia="zh-CN"/>
        </w:rPr>
        <w:t>1.3.4</w:t>
      </w:r>
      <w:r>
        <w:rPr>
          <w:rFonts w:hint="default" w:ascii="Times New Roman" w:hAnsi="Times New Roman" w:eastAsia="宋体" w:cs="Times New Roman"/>
          <w:color w:val="auto"/>
          <w:sz w:val="24"/>
          <w:szCs w:val="24"/>
          <w:u w:val="none" w:color="auto"/>
          <w:lang w:val="en-US" w:eastAsia="zh-CN"/>
        </w:rPr>
        <w:t>与</w:t>
      </w:r>
      <w:r>
        <w:rPr>
          <w:rFonts w:hint="eastAsia" w:cs="Times New Roman"/>
          <w:color w:val="auto"/>
          <w:sz w:val="24"/>
          <w:szCs w:val="24"/>
          <w:u w:val="none" w:color="auto"/>
          <w:lang w:val="en-US" w:eastAsia="zh-CN"/>
        </w:rPr>
        <w:t>相关法律法规</w:t>
      </w:r>
      <w:r>
        <w:rPr>
          <w:rFonts w:hint="default" w:ascii="Times New Roman" w:hAnsi="Times New Roman" w:eastAsia="宋体" w:cs="Times New Roman"/>
          <w:color w:val="auto"/>
          <w:sz w:val="24"/>
          <w:szCs w:val="24"/>
          <w:u w:val="none" w:color="auto"/>
          <w:lang w:val="en-US" w:eastAsia="zh-CN"/>
        </w:rPr>
        <w:t>符合性分析</w:t>
      </w:r>
      <w:bookmarkEnd w:id="65"/>
    </w:p>
    <w:p w14:paraId="1DB7006D">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与《中华人民共和国自然保护区管理条例》相符性分析</w:t>
      </w:r>
    </w:p>
    <w:p w14:paraId="697BDDC8">
      <w:pPr>
        <w:pStyle w:val="38"/>
        <w:ind w:firstLine="480"/>
        <w:rPr>
          <w:rFonts w:hint="eastAsia" w:cs="Times New Roman"/>
          <w:color w:val="auto"/>
          <w:lang w:val="en-US" w:eastAsia="zh-CN"/>
        </w:rPr>
      </w:pPr>
      <w:r>
        <w:rPr>
          <w:rFonts w:hint="eastAsia" w:cs="Times New Roman"/>
          <w:color w:val="auto"/>
          <w:lang w:val="en-US" w:eastAsia="zh-CN"/>
        </w:rPr>
        <w:t>《中华人民共和国自然保护区管理条例》第三十二条明确指出：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14:paraId="179C91A9">
      <w:pPr>
        <w:pStyle w:val="38"/>
        <w:ind w:firstLine="480"/>
        <w:rPr>
          <w:rFonts w:hint="eastAsia" w:cs="Times New Roman"/>
          <w:color w:val="auto"/>
          <w:lang w:val="en-US" w:eastAsia="zh-CN"/>
        </w:rPr>
      </w:pPr>
      <w:r>
        <w:rPr>
          <w:rFonts w:hint="eastAsia" w:cs="Times New Roman"/>
          <w:color w:val="auto"/>
          <w:lang w:val="en-US" w:eastAsia="zh-CN"/>
        </w:rPr>
        <w:t>本工程位于东洞庭湖国家级自然保护区实验区，不涉及核心区和缓冲区。本项目为综合码头建设项目，属于在自然保护区的已经建成的设施，污染物排放符合国家和地方排放标准。本项目委托湖南省水产科学研究编制了《岳阳县鹿角渔港升级改造和政治维护项目对水生生物影响专题评价报告》。专题报告于2024年10月14日通过了湖南省农业农村厅审查，审查意见指出“提出了对水生生态保护、施工区域渔政管理、跟踪监测等保护措施，可在一定程度上减缓工程对保护区的不利影响”。因此，项目建设符合水生生物自然保护区有关规定。通过采取相应的减缓、恢复措施，加强管理和生态监测，认真落实专题报告里提出的生态恢复治理措施以及生态补偿措施后，可减缓工程建设对保护区生态系统的影响。在充分论证工程对保护区的影响和采取必要的生态保护措施后，工程建设与《中华人民共和国自然保护管理条例》不冲突。</w:t>
      </w:r>
    </w:p>
    <w:p w14:paraId="53B9FD13">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与《水产种质资源保护区管理暂行办法》（2016年修订）相符性分析</w:t>
      </w:r>
    </w:p>
    <w:p w14:paraId="4BE8EFA1">
      <w:pPr>
        <w:pStyle w:val="38"/>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根据</w:t>
      </w:r>
      <w:r>
        <w:rPr>
          <w:rFonts w:hint="default" w:ascii="Times New Roman" w:hAnsi="Times New Roman" w:eastAsia="宋体" w:cs="Times New Roman"/>
          <w:color w:val="auto"/>
          <w:lang w:val="en-US" w:eastAsia="zh-CN"/>
        </w:rPr>
        <w:t>《水产种质资源保护区管理暂行办法》（2016年修订）第十六条</w:t>
      </w:r>
      <w:r>
        <w:rPr>
          <w:rFonts w:hint="eastAsia" w:cs="Times New Roman"/>
          <w:color w:val="auto"/>
          <w:lang w:val="en-US" w:eastAsia="zh-CN"/>
        </w:rPr>
        <w:t>：</w:t>
      </w:r>
      <w:r>
        <w:rPr>
          <w:rFonts w:hint="default" w:ascii="Times New Roman" w:hAnsi="Times New Roman" w:eastAsia="宋体" w:cs="Times New Roman"/>
          <w:color w:val="auto"/>
          <w:lang w:val="en-US" w:eastAsia="zh-CN"/>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第十九条</w:t>
      </w:r>
      <w:r>
        <w:rPr>
          <w:rFonts w:hint="eastAsia" w:cs="Times New Roman"/>
          <w:color w:val="auto"/>
          <w:lang w:val="en-US" w:eastAsia="zh-CN"/>
        </w:rPr>
        <w:t>：</w:t>
      </w:r>
      <w:r>
        <w:rPr>
          <w:rFonts w:hint="default" w:ascii="Times New Roman" w:hAnsi="Times New Roman" w:eastAsia="宋体" w:cs="Times New Roman"/>
          <w:color w:val="auto"/>
          <w:lang w:val="en-US" w:eastAsia="zh-CN"/>
        </w:rPr>
        <w:t>禁止在水产种质资源保护区内从事围湖造田、围海造地或围填海工程。第二十条</w:t>
      </w:r>
      <w:r>
        <w:rPr>
          <w:rFonts w:hint="eastAsia" w:cs="Times New Roman"/>
          <w:color w:val="auto"/>
          <w:lang w:val="en-US" w:eastAsia="zh-CN"/>
        </w:rPr>
        <w:t>：</w:t>
      </w:r>
      <w:r>
        <w:rPr>
          <w:rFonts w:hint="default" w:ascii="Times New Roman" w:hAnsi="Times New Roman" w:eastAsia="宋体" w:cs="Times New Roman"/>
          <w:color w:val="auto"/>
          <w:lang w:val="en-US" w:eastAsia="zh-CN"/>
        </w:rPr>
        <w:t>禁止在水产种质资源保护区内新建排污口。在水产种质资源保护区附近新建、改建、扩建排污口，应当保证保护区水体不受污染。</w:t>
      </w:r>
    </w:p>
    <w:p w14:paraId="7A8E3BDA">
      <w:pPr>
        <w:pStyle w:val="38"/>
        <w:ind w:firstLine="480"/>
        <w:rPr>
          <w:rFonts w:hint="eastAsia" w:cs="Times New Roman"/>
          <w:color w:val="auto"/>
          <w:lang w:val="en-US" w:eastAsia="zh-CN"/>
        </w:rPr>
      </w:pPr>
      <w:r>
        <w:rPr>
          <w:rFonts w:hint="default" w:ascii="Times New Roman" w:hAnsi="Times New Roman" w:eastAsia="宋体" w:cs="Times New Roman"/>
          <w:color w:val="auto"/>
          <w:lang w:val="en-US" w:eastAsia="zh-CN"/>
        </w:rPr>
        <w:t>本项目位于东洞庭湖鲤、鲫、黄颡国家级水产种质资源保护区范围实验区，本项目委托湖南省水产科学研究编制了《岳阳县鹿角渔港升级改造和政治维护项目对水生生物影响专题评价报告》。专题报告于2024年10月14日通过了湖南省农业农村厅审查，审查意见指出“提出了对水生生态保护、施工区域渔政管理、跟踪监测等保护措施，可在一定程度上减缓工程对保护区的不利影响”。因此本项目的建设符合《水产种质资源保护区管理暂行办法》（2016年修订）相关规定。</w:t>
      </w:r>
    </w:p>
    <w:p w14:paraId="1D1287B2">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与《长江水生生物保护管理规定》（2021年第5号）相符性分析</w:t>
      </w:r>
    </w:p>
    <w:p w14:paraId="107F6213">
      <w:pPr>
        <w:pStyle w:val="38"/>
        <w:ind w:firstLine="480"/>
        <w:rPr>
          <w:rFonts w:hint="eastAsia" w:cs="Times New Roman"/>
          <w:color w:val="auto"/>
          <w:lang w:val="en-US" w:eastAsia="zh-CN"/>
        </w:rPr>
      </w:pPr>
      <w:r>
        <w:rPr>
          <w:rFonts w:hint="eastAsia" w:cs="Times New Roman"/>
          <w:color w:val="auto"/>
          <w:lang w:val="en-US" w:eastAsia="zh-CN"/>
        </w:rPr>
        <w:t>根据《长江水生生物保护管理规定》（2021年第5号）第十八条：长江流域涉水开发规划或建设项目应当充分考虑水生生物及其栖息地的保护需求，涉及或可能对其造成影响的，建设单位在编制环境影响评价文件和开展公众参与调查时，应当书面征求农业农村主管部门的意见，并按有关要求进行专题论证。涉及珍贵、濒危水生野生动植物及其重要栖息地、水产种质资源保护区的，由长江流域省级人民政府农业农村主管部门组织专题论证；涉及国家一级重点保护冰生野生动植物及其重要栖息地或国家级水产种质资源保护区的，由农业农村部组织专题论证。第十九条：建设项目对水生生物及其栖息地造成不利影响的，建设单位应当编制专题报告，根据批准的环境影响评价文件及批复要求，落实避让、减缓、补偿、重建等措施，与主体工程同时设计、同时施工、同时投产使用，并在稳定运行一定时期后对其有效性进行周期性监测和回顾性评价，提出补救方案或者改进措施。建设项目所在地县级以上地方人民政府农业农村主管部门应当对生态补偿措施的实施进展和落实效果进行跟踪监督。</w:t>
      </w:r>
    </w:p>
    <w:p w14:paraId="75A7BBB0">
      <w:pPr>
        <w:pStyle w:val="38"/>
        <w:ind w:firstLine="480"/>
        <w:rPr>
          <w:rFonts w:hint="eastAsia" w:cs="Times New Roman"/>
          <w:color w:val="auto"/>
          <w:lang w:val="en-US" w:eastAsia="zh-CN"/>
        </w:rPr>
      </w:pPr>
      <w:r>
        <w:rPr>
          <w:rFonts w:hint="eastAsia" w:cs="Times New Roman"/>
          <w:color w:val="auto"/>
          <w:lang w:val="en-US" w:eastAsia="zh-CN"/>
        </w:rPr>
        <w:t>本项目位于东洞庭湖鲤、鲫、黄颡国家级水产种质资源保护区范围实验区，本项目委托湖南省水产科学研究编制了《岳阳县鹿角渔港升级改造和政治维护项目对水生生物影响专题评价报告》。专题报告于2024年10月14日通过了湖南省农业农村厅审查，审查意见指出“提出了对水生生态保护、施工区域渔政管理、跟踪监测等保护措施，可在一定程度上减缓工程对保护区的不利影响”。因此本项目的建设符合《长江水生生物保护管理规定》（2021年第5号）相关规定。</w:t>
      </w:r>
    </w:p>
    <w:bookmarkEnd w:id="60"/>
    <w:bookmarkEnd w:id="61"/>
    <w:bookmarkEnd w:id="62"/>
    <w:bookmarkEnd w:id="63"/>
    <w:p w14:paraId="6BFABDF7">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66" w:name="_Toc15516"/>
      <w:bookmarkStart w:id="67" w:name="_Toc11525"/>
      <w:bookmarkStart w:id="68" w:name="_Toc4005"/>
      <w:bookmarkStart w:id="69" w:name="_Toc13838"/>
      <w:bookmarkStart w:id="70" w:name="_Toc20212"/>
      <w:bookmarkStart w:id="71" w:name="_Toc10481"/>
      <w:bookmarkStart w:id="72" w:name="_Toc27181"/>
      <w:bookmarkStart w:id="73" w:name="_Toc140"/>
      <w:bookmarkStart w:id="74" w:name="_Toc12980"/>
      <w:bookmarkStart w:id="75" w:name="_Toc10957"/>
      <w:r>
        <w:rPr>
          <w:rFonts w:hint="default" w:ascii="Times New Roman" w:hAnsi="Times New Roman" w:eastAsia="宋体" w:cs="Times New Roman"/>
          <w:color w:val="auto"/>
        </w:rPr>
        <w:t>1.3.</w:t>
      </w:r>
      <w:r>
        <w:rPr>
          <w:rFonts w:hint="eastAsia" w:cs="Times New Roman"/>
          <w:color w:val="auto"/>
          <w:lang w:val="en-US" w:eastAsia="zh-CN"/>
        </w:rPr>
        <w:t>5</w:t>
      </w:r>
      <w:bookmarkEnd w:id="66"/>
      <w:bookmarkEnd w:id="67"/>
      <w:bookmarkEnd w:id="68"/>
      <w:bookmarkEnd w:id="69"/>
      <w:bookmarkEnd w:id="70"/>
      <w:bookmarkEnd w:id="71"/>
      <w:bookmarkEnd w:id="72"/>
      <w:bookmarkEnd w:id="73"/>
      <w:bookmarkEnd w:id="74"/>
      <w:bookmarkEnd w:id="75"/>
      <w:r>
        <w:rPr>
          <w:rFonts w:hint="default" w:ascii="Times New Roman" w:hAnsi="Times New Roman" w:eastAsia="宋体" w:cs="Times New Roman"/>
          <w:color w:val="auto"/>
        </w:rPr>
        <w:t>项目选址可行性分析</w:t>
      </w:r>
    </w:p>
    <w:p w14:paraId="2974830A">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本身位于湖南东洞庭湖国家级自然保护区内实验区，因此工程不可能避开湖南东洞庭湖国家级自然保护区。为充分保护湖南东洞庭湖国家级自然保护区、江豚自然保护区、东洞庭湖鲤、鲫、黄颡国家级水产种质资源保护，已充分征求生态环境、湖南东洞庭湖国家级自然保护区管理局等部门的意见，项目施工范围不在重要湿地、动植物集中分布的河滩、江心洲，布置洞庭湖内鱼类“三场一通道”，也不在饮用水源保护区。本项目是现有码头环保规范提升提质项目，项目实施后岸坡经整理后采用生态复绿，船舶污染物运送上岸处置，有利于保护区生态环境保护，符合保护区保护方向。根据本项目报告书分析，本项目废气、废水、噪声及固体废物均采用了相应的治理或减缓措施，对评价范围内的东洞庭湖区生态环境影响很小。项目定位为现有码头提质改造，根据《岳阳港总体规划》，项目所在区域处于岳阳县港区服务范围内，岳阳县港区规划为以杂货、散货及矿建材料运输服务为主的客货综合性港区，本项目建设为岳阳县鹿角交通渔政综合</w:t>
      </w:r>
      <w:r>
        <w:rPr>
          <w:rFonts w:hint="eastAsia" w:cs="Times New Roman"/>
          <w:color w:val="auto"/>
          <w:sz w:val="24"/>
          <w:szCs w:val="24"/>
          <w:u w:val="none" w:color="auto"/>
          <w:lang w:val="en-US" w:eastAsia="zh-CN"/>
        </w:rPr>
        <w:t>执法</w:t>
      </w:r>
      <w:r>
        <w:rPr>
          <w:rFonts w:hint="default" w:ascii="Times New Roman" w:hAnsi="Times New Roman" w:eastAsia="宋体" w:cs="Times New Roman"/>
          <w:color w:val="auto"/>
          <w:sz w:val="24"/>
          <w:szCs w:val="24"/>
          <w:u w:val="none" w:color="auto"/>
          <w:lang w:val="en-US" w:eastAsia="zh-CN"/>
        </w:rPr>
        <w:t>码头，与《岳阳港总体规划》不相冲突。</w:t>
      </w:r>
    </w:p>
    <w:p w14:paraId="4B74C53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u w:val="none" w:color="auto"/>
          <w:lang w:val="en-US" w:eastAsia="zh-CN"/>
        </w:rPr>
        <w:t>综上所述，本项目符合国家、湖南省产业政策相关要求，选址、范围也符合国家及省、自然保护区等相关法律法规要求，再通过严格控制施工范围及强度，优化工艺，加强渔政及环保监管，认真落实生态专题报告里提出的生态恢复措施，工程不会对该区段的生态环境、资源及景观等造成影响，从生态保护角度是选址、选线是合理的。</w:t>
      </w:r>
    </w:p>
    <w:bookmarkEnd w:id="39"/>
    <w:bookmarkEnd w:id="40"/>
    <w:bookmarkEnd w:id="41"/>
    <w:bookmarkEnd w:id="42"/>
    <w:bookmarkEnd w:id="43"/>
    <w:bookmarkEnd w:id="44"/>
    <w:bookmarkEnd w:id="45"/>
    <w:bookmarkEnd w:id="46"/>
    <w:bookmarkEnd w:id="47"/>
    <w:p w14:paraId="5DA1F887">
      <w:pPr>
        <w:pStyle w:val="8"/>
        <w:spacing w:before="0" w:after="0" w:line="360" w:lineRule="auto"/>
        <w:ind w:left="576" w:hanging="576"/>
        <w:rPr>
          <w:rFonts w:hint="default" w:ascii="Times New Roman" w:hAnsi="Times New Roman" w:eastAsia="宋体" w:cs="Times New Roman"/>
          <w:color w:val="auto"/>
          <w:sz w:val="28"/>
          <w:szCs w:val="28"/>
        </w:rPr>
      </w:pPr>
      <w:bookmarkStart w:id="76" w:name="_Toc20428"/>
      <w:bookmarkStart w:id="77" w:name="_Toc845_WPSOffice_Level2"/>
      <w:bookmarkStart w:id="78" w:name="_Toc8630"/>
      <w:bookmarkStart w:id="79" w:name="_Toc1051"/>
      <w:bookmarkStart w:id="80" w:name="_Toc24863_WPSOffice_Level2"/>
      <w:bookmarkStart w:id="81" w:name="_Toc17031_WPSOffice_Level2"/>
      <w:bookmarkStart w:id="82" w:name="_Toc23082_WPSOffice_Level2"/>
      <w:bookmarkStart w:id="83" w:name="_Toc26026"/>
      <w:bookmarkStart w:id="84" w:name="_Toc25222_WPSOffice_Level2"/>
      <w:bookmarkStart w:id="85" w:name="_Toc8839"/>
      <w:bookmarkStart w:id="86" w:name="_Toc471286041"/>
      <w:bookmarkStart w:id="87" w:name="_Toc32237_WPSOffice_Level2"/>
      <w:bookmarkStart w:id="88" w:name="_Toc32441"/>
      <w:bookmarkStart w:id="89" w:name="_Toc7848"/>
      <w:bookmarkStart w:id="90" w:name="_Toc481738342"/>
      <w:bookmarkStart w:id="91" w:name="_Toc9915_WPSOffice_Level2"/>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主要环境问题及环境影响</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75096DA">
      <w:pPr>
        <w:keepNext w:val="0"/>
        <w:keepLines w:val="0"/>
        <w:pageBreakBefore w:val="0"/>
        <w:widowControl w:val="0"/>
        <w:kinsoku/>
        <w:wordWrap/>
        <w:overflowPunct/>
        <w:topLinePunct w:val="0"/>
        <w:bidi w:val="0"/>
        <w:spacing w:line="360" w:lineRule="auto"/>
        <w:ind w:firstLine="434" w:firstLineChars="181"/>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本项目关注的主要环境问题是：</w:t>
      </w:r>
    </w:p>
    <w:p w14:paraId="3CA127F8">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bCs/>
          <w:color w:val="auto"/>
          <w:sz w:val="24"/>
        </w:rPr>
      </w:pPr>
      <w:bookmarkStart w:id="92" w:name="_Toc17323_WPSOffice_Level2"/>
      <w:bookmarkStart w:id="93" w:name="_Toc21958"/>
      <w:bookmarkStart w:id="94" w:name="_Toc3129_WPSOffice_Level2"/>
      <w:bookmarkStart w:id="95" w:name="_Toc17753_WPSOffice_Level2"/>
      <w:bookmarkStart w:id="96" w:name="_Toc15472"/>
      <w:bookmarkStart w:id="97" w:name="_Toc15801_WPSOffice_Level2"/>
      <w:bookmarkStart w:id="98" w:name="_Toc25797_WPSOffice_Level2"/>
      <w:bookmarkStart w:id="99" w:name="_Toc1338_WPSOffice_Level2"/>
      <w:bookmarkStart w:id="100" w:name="_Toc4908"/>
      <w:bookmarkStart w:id="101" w:name="_Toc471286042"/>
      <w:bookmarkStart w:id="102" w:name="_Toc481738343"/>
      <w:bookmarkStart w:id="103" w:name="_Toc22012_WPSOffice_Level2"/>
      <w:r>
        <w:rPr>
          <w:rFonts w:hint="default" w:ascii="Times New Roman" w:hAnsi="Times New Roman" w:eastAsia="宋体" w:cs="Times New Roman"/>
          <w:bCs/>
          <w:color w:val="auto"/>
          <w:sz w:val="24"/>
        </w:rPr>
        <w:t>（1）水环境：本项目营运期码头员工生活污水、到港船舶废水（舱底油污水、生活污水）对湘江水环境影响，包括影响范围和程度及拟采取的环境保护措施等。</w:t>
      </w:r>
    </w:p>
    <w:p w14:paraId="6A72A347">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（2）大气环境：主要为营运期码头船舶燃油废气对项目区域大气环境的影响，包括影响范围和程度及拟采取的环境保护措施等。</w:t>
      </w:r>
    </w:p>
    <w:p w14:paraId="6CB766A9">
      <w:pPr>
        <w:keepNext w:val="0"/>
        <w:keepLines w:val="0"/>
        <w:pageBreakBefore w:val="0"/>
        <w:widowControl w:val="0"/>
        <w:kinsoku/>
        <w:wordWrap/>
        <w:overflowPunct/>
        <w:topLinePunct w:val="0"/>
        <w:bidi w:val="0"/>
        <w:snapToGrid w:val="0"/>
        <w:spacing w:line="360" w:lineRule="auto"/>
        <w:ind w:firstLine="480" w:firstLineChars="200"/>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（3）声环境：主要为营运期各种机械设备及船舶运行噪声对区域声环境的影响，包括影响范围和程度及拟采取的环境保护措施等。</w:t>
      </w:r>
    </w:p>
    <w:p w14:paraId="1C073B45">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（4）固废：主要为营运期员工生活垃圾、船舶员工生活垃圾等对周边环境影响，包括影响范围和程度及拟采取的环境保护措施等。</w:t>
      </w:r>
    </w:p>
    <w:p w14:paraId="2B13F25C">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（5）环境风险：本项目环境风险主要为营运期可能发生的船舶事故溢油对湘江水环境的影响，包括影响范围和程度及拟采取的环境保护措施等。</w:t>
      </w:r>
    </w:p>
    <w:p w14:paraId="4DBD5C75">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Times New Roman" w:hAnsi="Times New Roman" w:eastAsia="宋体" w:cs="Times New Roman"/>
          <w:bCs/>
          <w:color w:val="auto"/>
          <w:sz w:val="24"/>
          <w:lang w:eastAsia="zh-CN"/>
        </w:rPr>
      </w:pPr>
      <w:r>
        <w:rPr>
          <w:rFonts w:hint="eastAsia" w:cs="Times New Roman"/>
          <w:bCs/>
          <w:color w:val="auto"/>
          <w:sz w:val="24"/>
          <w:lang w:eastAsia="zh-CN"/>
        </w:rPr>
        <w:t>（</w:t>
      </w:r>
      <w:r>
        <w:rPr>
          <w:rFonts w:hint="eastAsia" w:cs="Times New Roman"/>
          <w:bCs/>
          <w:color w:val="auto"/>
          <w:sz w:val="24"/>
          <w:lang w:val="en-US" w:eastAsia="zh-CN"/>
        </w:rPr>
        <w:t>6</w:t>
      </w:r>
      <w:r>
        <w:rPr>
          <w:rFonts w:hint="eastAsia" w:cs="Times New Roman"/>
          <w:bCs/>
          <w:color w:val="auto"/>
          <w:sz w:val="24"/>
          <w:lang w:eastAsia="zh-CN"/>
        </w:rPr>
        <w:t>）工程</w:t>
      </w:r>
      <w:r>
        <w:rPr>
          <w:rFonts w:hint="eastAsia" w:cs="Times New Roman"/>
          <w:bCs/>
          <w:color w:val="auto"/>
          <w:sz w:val="24"/>
          <w:lang w:val="en-US" w:eastAsia="zh-CN"/>
        </w:rPr>
        <w:t>建成</w:t>
      </w:r>
      <w:r>
        <w:rPr>
          <w:rFonts w:hint="eastAsia" w:cs="Times New Roman"/>
          <w:bCs/>
          <w:color w:val="auto"/>
          <w:sz w:val="24"/>
          <w:lang w:eastAsia="zh-CN"/>
        </w:rPr>
        <w:t>后对江段水生生态环境、湖南东洞庭湖国家级自然保护区、江豚自然保护区、东洞庭湖鲤鲫黄颡鱼国家级水产种质资源保护区、珍稀特有水生动物江豚及其生境的影响，并提出生态修复措施。</w:t>
      </w:r>
    </w:p>
    <w:p w14:paraId="5ABABE0F">
      <w:pPr>
        <w:pStyle w:val="8"/>
        <w:keepNext/>
        <w:keepLines/>
        <w:pageBreakBefore w:val="0"/>
        <w:widowControl w:val="0"/>
        <w:kinsoku/>
        <w:wordWrap/>
        <w:overflowPunct/>
        <w:topLinePunct w:val="0"/>
        <w:autoSpaceDE/>
        <w:autoSpaceDN/>
        <w:bidi w:val="0"/>
        <w:adjustRightInd/>
        <w:snapToGrid/>
        <w:spacing w:before="157" w:beforeLines="50" w:after="0" w:line="360" w:lineRule="auto"/>
        <w:ind w:left="578" w:hanging="578"/>
        <w:textAlignment w:val="auto"/>
        <w:rPr>
          <w:rFonts w:hint="default" w:ascii="Times New Roman" w:hAnsi="Times New Roman" w:eastAsia="宋体" w:cs="Times New Roman"/>
          <w:color w:val="auto"/>
          <w:sz w:val="28"/>
          <w:szCs w:val="28"/>
        </w:rPr>
      </w:pPr>
      <w:bookmarkStart w:id="104" w:name="_Toc27985"/>
      <w:bookmarkStart w:id="105" w:name="_Toc28212"/>
      <w:bookmarkStart w:id="106" w:name="_Toc3649"/>
      <w:bookmarkStart w:id="107" w:name="_Toc15303"/>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环境影响评价主要结论</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9A6E18E">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val="en-US" w:eastAsia="zh-CN"/>
        </w:rPr>
        <w:t>岳阳县鹿角交通渔政综合执法码头提质改造工程项目</w:t>
      </w:r>
      <w:r>
        <w:rPr>
          <w:rFonts w:hint="default" w:ascii="Times New Roman" w:hAnsi="Times New Roman" w:eastAsia="宋体" w:cs="Times New Roman"/>
          <w:color w:val="auto"/>
        </w:rPr>
        <w:t>符合国家产业政策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符合《岳阳港总体规划》（2035）规划，项目影响范围内环境具有一定承载力，本项目在</w:t>
      </w:r>
      <w:r>
        <w:rPr>
          <w:rFonts w:hint="default" w:ascii="Times New Roman" w:hAnsi="Times New Roman" w:eastAsia="宋体" w:cs="Times New Roman"/>
          <w:color w:val="auto"/>
          <w:lang w:eastAsia="zh-CN"/>
        </w:rPr>
        <w:t>运营</w:t>
      </w:r>
      <w:r>
        <w:rPr>
          <w:rFonts w:hint="default" w:ascii="Times New Roman" w:hAnsi="Times New Roman" w:eastAsia="宋体" w:cs="Times New Roman"/>
          <w:color w:val="auto"/>
        </w:rPr>
        <w:t>过程中</w:t>
      </w:r>
      <w:r>
        <w:rPr>
          <w:rFonts w:hint="default" w:ascii="Times New Roman" w:hAnsi="Times New Roman" w:eastAsia="宋体" w:cs="Times New Roman"/>
          <w:color w:val="auto"/>
          <w:lang w:eastAsia="zh-CN"/>
        </w:rPr>
        <w:t>会产生</w:t>
      </w:r>
      <w:r>
        <w:rPr>
          <w:rFonts w:hint="default" w:ascii="Times New Roman" w:hAnsi="Times New Roman" w:eastAsia="宋体" w:cs="Times New Roman"/>
          <w:color w:val="auto"/>
        </w:rPr>
        <w:t>噪声和一定量的废气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废水及固体废物等，经评价分析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项目采取合理可行的环保治理措施和手段</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其环境影响可得到最大程度的减缓</w:t>
      </w:r>
      <w:r>
        <w:rPr>
          <w:rFonts w:hint="default" w:ascii="Times New Roman" w:hAnsi="Times New Roman" w:eastAsia="宋体" w:cs="Times New Roman"/>
          <w:color w:val="auto"/>
          <w:lang w:eastAsia="zh-CN"/>
        </w:rPr>
        <w:t>。项目对周围的大气、水、声环境及地下水环境影响较小，不会降低区域的环境质量现状，对外界环境影响相对较小；项目通过加强航道内船舶交通秩序管理，落实码头风险防范措施，可有效控制风险水平到可接受的程度。</w:t>
      </w:r>
    </w:p>
    <w:p w14:paraId="5B2E8044">
      <w:pPr>
        <w:pStyle w:val="38"/>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建设单位须落实本报告提出的各项环保措施，污染物污染物能够做到达标排放，对</w:t>
      </w:r>
      <w:r>
        <w:rPr>
          <w:rFonts w:hint="default" w:ascii="Times New Roman" w:hAnsi="Times New Roman" w:eastAsia="宋体" w:cs="Times New Roman"/>
          <w:color w:val="auto"/>
          <w:lang w:eastAsia="zh-CN"/>
        </w:rPr>
        <w:t>湘江</w:t>
      </w:r>
      <w:r>
        <w:rPr>
          <w:rFonts w:hint="default" w:ascii="Times New Roman" w:hAnsi="Times New Roman" w:eastAsia="宋体" w:cs="Times New Roman"/>
          <w:color w:val="auto"/>
        </w:rPr>
        <w:t>水生生态的影响为可接受的水平</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确保本项目所在区域的环境质量不因本项目的建设而受到不良影响，努力做到环境保护可持续协调发展。</w:t>
      </w:r>
    </w:p>
    <w:p w14:paraId="7124B8E9">
      <w:pPr>
        <w:pStyle w:val="38"/>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通过报纸公示、网上公示、现场公示，项目环评期间，建设单位和环评单位均未收到反对本项目建设的意见和相关具体要求，表明项目地公众对本项目的建设基本上是支持的。在建设单位严格落实好环评提出的各项污染防治措施，且环境管理部门严格执法监督的前提下，被调查公众认为本项目的建设是可行的。</w:t>
      </w:r>
    </w:p>
    <w:p w14:paraId="1DAB5D33">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运营</w:t>
      </w:r>
      <w:r>
        <w:rPr>
          <w:rFonts w:hint="default" w:ascii="Times New Roman" w:hAnsi="Times New Roman" w:eastAsia="宋体" w:cs="Times New Roman"/>
          <w:color w:val="auto"/>
        </w:rPr>
        <w:t>过程中应加强对设备的维修保养，确保环保设施的正常运转。在认真执行本报告所提出的各项环保措施和要求的情况下，</w:t>
      </w:r>
      <w:r>
        <w:rPr>
          <w:rFonts w:hint="default" w:ascii="Times New Roman" w:hAnsi="Times New Roman" w:eastAsia="宋体" w:cs="Times New Roman"/>
          <w:color w:val="auto"/>
          <w:sz w:val="24"/>
          <w:szCs w:val="24"/>
          <w:lang w:val="en-US" w:eastAsia="zh-CN"/>
        </w:rPr>
        <w:t>岳阳县鹿角交通渔政综合执法码头提质改造工程项目</w:t>
      </w:r>
      <w:r>
        <w:rPr>
          <w:rFonts w:hint="default" w:ascii="Times New Roman" w:hAnsi="Times New Roman" w:eastAsia="宋体" w:cs="Times New Roman"/>
          <w:color w:val="auto"/>
        </w:rPr>
        <w:t>的建设对周围环境影响较小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从环保角度而言，项目建设可行</w:t>
      </w:r>
      <w:r>
        <w:rPr>
          <w:rFonts w:hint="default" w:ascii="Times New Roman" w:hAnsi="Times New Roman" w:eastAsia="宋体" w:cs="Times New Roman"/>
          <w:color w:val="auto"/>
          <w:lang w:eastAsia="zh-CN"/>
        </w:rPr>
        <w:t>。</w:t>
      </w:r>
    </w:p>
    <w:p w14:paraId="17D4F8EE">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14:paraId="1D01F75E">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szCs w:val="20"/>
        </w:rPr>
      </w:pPr>
      <w:bookmarkStart w:id="108" w:name="_Toc6529"/>
      <w:bookmarkStart w:id="109" w:name="_Toc17861_WPSOffice_Level1"/>
      <w:bookmarkStart w:id="110" w:name="_Toc22155"/>
      <w:bookmarkStart w:id="111" w:name="_Toc13685_WPSOffice_Level1"/>
      <w:bookmarkStart w:id="112" w:name="_Toc4740_WPSOffice_Level1"/>
      <w:bookmarkStart w:id="113" w:name="_Toc31986"/>
      <w:bookmarkStart w:id="114" w:name="_Toc29977"/>
      <w:bookmarkStart w:id="115" w:name="_Toc22577_WPSOffice_Level1"/>
      <w:bookmarkStart w:id="116" w:name="_Toc27622"/>
      <w:bookmarkStart w:id="117" w:name="_Toc1320"/>
      <w:bookmarkStart w:id="118" w:name="_Toc26328_WPSOffice_Level1"/>
      <w:bookmarkStart w:id="119" w:name="_Toc7140_WPSOffice_Level1"/>
      <w:bookmarkStart w:id="120" w:name="_Toc30946"/>
      <w:bookmarkStart w:id="121" w:name="_Toc27815_WPSOffice_Level1"/>
      <w:bookmarkStart w:id="122" w:name="_Toc23064_WPSOffice_Level1"/>
      <w:bookmarkStart w:id="123" w:name="_Toc14031"/>
      <w:bookmarkStart w:id="124" w:name="_Toc5917_WPSOffice_Level1"/>
      <w:r>
        <w:rPr>
          <w:rFonts w:hint="default" w:ascii="Times New Roman" w:hAnsi="Times New Roman" w:eastAsia="宋体" w:cs="Times New Roman"/>
          <w:color w:val="auto"/>
        </w:rPr>
        <w:t>2、总则</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435C22E">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125" w:name="_Toc22245"/>
      <w:bookmarkStart w:id="126" w:name="_Toc12201_WPSOffice_Level2"/>
      <w:bookmarkStart w:id="127" w:name="_Toc27554"/>
      <w:bookmarkStart w:id="128" w:name="_Toc5222_WPSOffice_Level2"/>
      <w:bookmarkStart w:id="129" w:name="_Toc2329_WPSOffice_Level2"/>
      <w:bookmarkStart w:id="130" w:name="_Toc18420"/>
      <w:bookmarkStart w:id="131" w:name="_Toc24282"/>
      <w:bookmarkStart w:id="132" w:name="_Toc27359"/>
      <w:bookmarkStart w:id="133" w:name="_Toc25220_WPSOffice_Level2"/>
      <w:bookmarkStart w:id="134" w:name="_Toc11591"/>
      <w:bookmarkStart w:id="135" w:name="_Toc18759"/>
      <w:bookmarkStart w:id="136" w:name="_Toc458169515"/>
      <w:bookmarkStart w:id="137" w:name="_Toc21343_WPSOffice_Level2"/>
      <w:bookmarkStart w:id="138" w:name="_Toc31756"/>
      <w:bookmarkStart w:id="139" w:name="_Toc8664_WPSOffice_Level2"/>
      <w:bookmarkStart w:id="140" w:name="_Toc18671_WPSOffice_Level2"/>
      <w:bookmarkStart w:id="141" w:name="OLE_LINK11"/>
      <w:r>
        <w:rPr>
          <w:rFonts w:hint="default" w:ascii="Times New Roman" w:hAnsi="Times New Roman" w:eastAsia="宋体" w:cs="Times New Roman"/>
          <w:color w:val="auto"/>
          <w:sz w:val="28"/>
          <w:szCs w:val="28"/>
        </w:rPr>
        <w:t>2.1编制依据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End w:id="141"/>
    <w:p w14:paraId="1F051B8F">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142" w:name="_Toc270622547"/>
      <w:bookmarkStart w:id="143" w:name="_Toc269630352"/>
      <w:bookmarkStart w:id="144" w:name="_Toc25089"/>
      <w:bookmarkStart w:id="145" w:name="_Toc15868"/>
      <w:bookmarkStart w:id="146" w:name="_Toc302936678"/>
      <w:bookmarkStart w:id="147" w:name="_Toc458169516"/>
      <w:bookmarkStart w:id="148" w:name="_Toc269630436"/>
      <w:bookmarkStart w:id="149" w:name="_Toc1742_WPSOffice_Level3"/>
      <w:bookmarkStart w:id="150" w:name="_Toc5219"/>
      <w:bookmarkStart w:id="151" w:name="_Toc28443"/>
      <w:bookmarkStart w:id="152" w:name="_Toc25241"/>
      <w:bookmarkStart w:id="153" w:name="_Toc32124"/>
      <w:bookmarkStart w:id="154" w:name="_Toc20293"/>
      <w:bookmarkStart w:id="155" w:name="_Toc19911"/>
      <w:bookmarkStart w:id="156" w:name="_Toc9924"/>
      <w:bookmarkStart w:id="157" w:name="_Toc6878"/>
      <w:bookmarkStart w:id="158" w:name="_Toc26650"/>
      <w:bookmarkStart w:id="159" w:name="_Toc9250"/>
      <w:bookmarkStart w:id="160" w:name="_Toc31606_WPSOffice_Level3"/>
      <w:bookmarkStart w:id="161" w:name="_Toc20122"/>
      <w:r>
        <w:rPr>
          <w:rFonts w:hint="default" w:ascii="Times New Roman" w:hAnsi="Times New Roman" w:eastAsia="宋体" w:cs="Times New Roman"/>
          <w:color w:val="auto"/>
        </w:rPr>
        <w:t>2.1.1</w:t>
      </w:r>
      <w:bookmarkEnd w:id="142"/>
      <w:bookmarkEnd w:id="143"/>
      <w:bookmarkEnd w:id="144"/>
      <w:bookmarkEnd w:id="145"/>
      <w:bookmarkEnd w:id="146"/>
      <w:bookmarkEnd w:id="147"/>
      <w:bookmarkEnd w:id="148"/>
      <w:r>
        <w:rPr>
          <w:rFonts w:hint="default" w:ascii="Times New Roman" w:hAnsi="Times New Roman" w:eastAsia="宋体" w:cs="Times New Roman"/>
          <w:color w:val="auto"/>
        </w:rPr>
        <w:t>国家法律、法规和政策</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4C9EC3E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（1）《中华人民共和国环境保护法》，2014年4月24日修订，2015年1月1日起实施；</w:t>
      </w:r>
    </w:p>
    <w:p w14:paraId="2A0FF2D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（2）《中华人民共和国环境影响评价法》，2018年12月29日修订实施；</w:t>
      </w:r>
    </w:p>
    <w:p w14:paraId="070698D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（3）《中华人民共和国水污染防治法》，2017年6月27日修订，2018年1月1日起实施；</w:t>
      </w:r>
    </w:p>
    <w:p w14:paraId="333FE5E7">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（4）《中华人民共和国大气污染防治法》，2018年10月26日修订实施；</w:t>
      </w:r>
    </w:p>
    <w:p w14:paraId="0A918A54">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（5）《中华人民共和国固体废物污染环境防治法》，</w:t>
      </w:r>
      <w:r>
        <w:rPr>
          <w:rFonts w:hint="default" w:ascii="Times New Roman" w:hAnsi="Times New Roman" w:eastAsia="宋体" w:cs="Times New Roman"/>
          <w:color w:val="auto"/>
          <w:lang w:eastAsia="zh-CN"/>
        </w:rPr>
        <w:t>2020</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4</w:t>
      </w:r>
      <w:r>
        <w:rPr>
          <w:rFonts w:hint="default" w:ascii="Times New Roman" w:hAnsi="Times New Roman" w:eastAsia="宋体" w:cs="Times New Roman"/>
          <w:color w:val="auto"/>
        </w:rPr>
        <w:t>月</w:t>
      </w:r>
      <w:r>
        <w:rPr>
          <w:rFonts w:hint="default" w:ascii="Times New Roman" w:hAnsi="Times New Roman" w:eastAsia="宋体" w:cs="Times New Roman"/>
          <w:color w:val="auto"/>
          <w:lang w:eastAsia="zh-CN"/>
        </w:rPr>
        <w:t>29</w:t>
      </w:r>
      <w:r>
        <w:rPr>
          <w:rFonts w:hint="default" w:ascii="Times New Roman" w:hAnsi="Times New Roman" w:eastAsia="宋体" w:cs="Times New Roman"/>
          <w:color w:val="auto"/>
        </w:rPr>
        <w:t>日修</w:t>
      </w:r>
      <w:r>
        <w:rPr>
          <w:rFonts w:hint="default" w:ascii="Times New Roman" w:hAnsi="Times New Roman" w:eastAsia="宋体" w:cs="Times New Roman"/>
          <w:color w:val="auto"/>
          <w:lang w:eastAsia="zh-CN"/>
        </w:rPr>
        <w:t>订，2020年9月1日实施</w:t>
      </w:r>
      <w:r>
        <w:rPr>
          <w:rFonts w:hint="default" w:ascii="Times New Roman" w:hAnsi="Times New Roman" w:eastAsia="宋体" w:cs="Times New Roman"/>
          <w:color w:val="auto"/>
        </w:rPr>
        <w:t>；</w:t>
      </w:r>
    </w:p>
    <w:p w14:paraId="5EDC5BF4">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（6）《中华人民共和国环境噪声污染防治法》，20</w:t>
      </w:r>
      <w:r>
        <w:rPr>
          <w:rFonts w:hint="default" w:ascii="Times New Roman" w:hAnsi="Times New Roman" w:eastAsia="宋体" w:cs="Times New Roman"/>
          <w:color w:val="auto"/>
          <w:lang w:val="en-US" w:eastAsia="zh-CN"/>
        </w:rPr>
        <w:t>22</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日</w:t>
      </w:r>
      <w:r>
        <w:rPr>
          <w:rFonts w:hint="default" w:ascii="Times New Roman" w:hAnsi="Times New Roman" w:eastAsia="宋体" w:cs="Times New Roman"/>
          <w:color w:val="auto"/>
          <w:lang w:val="en-US" w:eastAsia="zh-CN"/>
        </w:rPr>
        <w:t>实施</w:t>
      </w:r>
      <w:r>
        <w:rPr>
          <w:rFonts w:hint="default" w:ascii="Times New Roman" w:hAnsi="Times New Roman" w:eastAsia="宋体" w:cs="Times New Roman"/>
          <w:color w:val="auto"/>
        </w:rPr>
        <w:t>；</w:t>
      </w:r>
    </w:p>
    <w:p w14:paraId="61AA235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（7）《中华人民共和国土壤污染防治法》，2019年1月1日修订实施；</w:t>
      </w:r>
    </w:p>
    <w:p w14:paraId="06DB3ED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（8）《中华人民共和国港口法》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29</w:t>
      </w:r>
      <w:r>
        <w:rPr>
          <w:rFonts w:hint="default" w:ascii="Times New Roman" w:hAnsi="Times New Roman" w:eastAsia="宋体" w:cs="Times New Roman"/>
          <w:color w:val="auto"/>
        </w:rPr>
        <w:t>日修正；</w:t>
      </w:r>
    </w:p>
    <w:p w14:paraId="3266A6B0">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w:t>
      </w:r>
      <w:r>
        <w:rPr>
          <w:rFonts w:hint="default" w:ascii="Times New Roman" w:hAnsi="Times New Roman" w:eastAsia="宋体" w:cs="Times New Roman"/>
          <w:color w:val="auto"/>
          <w:spacing w:val="-3"/>
        </w:rPr>
        <w:t>《中华人民共和国航道法》</w:t>
      </w:r>
      <w:r>
        <w:rPr>
          <w:rFonts w:hint="default" w:ascii="Times New Roman" w:hAnsi="Times New Roman" w:eastAsia="宋体" w:cs="Times New Roman"/>
          <w:color w:val="auto"/>
          <w:spacing w:val="-3"/>
          <w:lang w:eastAsia="zh-CN"/>
        </w:rPr>
        <w:t>，</w:t>
      </w:r>
      <w:r>
        <w:rPr>
          <w:rFonts w:hint="default" w:ascii="Times New Roman" w:hAnsi="Times New Roman" w:eastAsia="宋体" w:cs="Times New Roman"/>
          <w:color w:val="auto"/>
          <w:spacing w:val="-3"/>
        </w:rPr>
        <w:t>2016年7月2日修正</w:t>
      </w:r>
      <w:r>
        <w:rPr>
          <w:rFonts w:hint="default" w:ascii="Times New Roman" w:hAnsi="Times New Roman" w:eastAsia="宋体" w:cs="Times New Roman"/>
          <w:color w:val="auto"/>
          <w:spacing w:val="-3"/>
          <w:lang w:eastAsia="zh-CN"/>
        </w:rPr>
        <w:t>；</w:t>
      </w:r>
    </w:p>
    <w:p w14:paraId="17CF6EF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162" w:name="_Toc20610"/>
      <w:bookmarkStart w:id="163" w:name="_Toc29780"/>
      <w:bookmarkStart w:id="164" w:name="_Toc10353_WPSOffice_Level3"/>
      <w:bookmarkStart w:id="165" w:name="_Toc15139"/>
      <w:bookmarkStart w:id="166" w:name="_Toc6923"/>
      <w:bookmarkStart w:id="167" w:name="_Toc4142"/>
      <w:bookmarkStart w:id="168" w:name="_Toc655"/>
      <w:bookmarkStart w:id="169" w:name="_Toc892"/>
      <w:bookmarkStart w:id="170" w:name="_Toc12847_WPSOffice_Level3"/>
      <w:bookmarkStart w:id="171" w:name="_Toc20716"/>
      <w:bookmarkStart w:id="172" w:name="_Toc8820"/>
      <w:bookmarkStart w:id="173" w:name="_Toc269630354"/>
      <w:bookmarkStart w:id="174" w:name="_Toc458169518"/>
      <w:bookmarkStart w:id="175" w:name="_Toc16491"/>
      <w:bookmarkStart w:id="176" w:name="_Toc269630438"/>
      <w:bookmarkStart w:id="177" w:name="_Toc302936680"/>
      <w:bookmarkStart w:id="178" w:name="_Toc29169"/>
      <w:bookmarkStart w:id="179" w:name="_Toc270622549"/>
      <w:r>
        <w:rPr>
          <w:rFonts w:hint="default" w:ascii="Times New Roman" w:hAnsi="Times New Roman" w:eastAsia="宋体" w:cs="Times New Roman"/>
          <w:color w:val="auto"/>
        </w:rPr>
        <w:t>（10）《中华人民共和国长江保护法》，20</w:t>
      </w:r>
      <w:r>
        <w:rPr>
          <w:rFonts w:hint="default" w:ascii="Times New Roman" w:hAnsi="Times New Roman" w:eastAsia="宋体" w:cs="Times New Roman"/>
          <w:color w:val="auto"/>
          <w:lang w:eastAsia="zh-CN"/>
        </w:rPr>
        <w:t>21</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3</w:t>
      </w:r>
      <w:r>
        <w:rPr>
          <w:rFonts w:hint="default" w:ascii="Times New Roman" w:hAnsi="Times New Roman" w:eastAsia="宋体" w:cs="Times New Roman"/>
          <w:color w:val="auto"/>
        </w:rPr>
        <w:t>月</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日实施；</w:t>
      </w:r>
    </w:p>
    <w:p w14:paraId="763245E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）《中华人民共和国水生野生动物保护实施条例》，2013年12月7日修订；</w:t>
      </w:r>
    </w:p>
    <w:p w14:paraId="1C1440F0">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2</w:t>
      </w:r>
      <w:r>
        <w:rPr>
          <w:rFonts w:hint="default" w:ascii="Times New Roman" w:hAnsi="Times New Roman" w:eastAsia="宋体" w:cs="Times New Roman"/>
          <w:color w:val="auto"/>
        </w:rPr>
        <w:t>）《中华人民共和国自然保护区条例》，（201</w:t>
      </w:r>
      <w:r>
        <w:rPr>
          <w:rFonts w:hint="default" w:ascii="Times New Roman" w:hAnsi="Times New Roman" w:eastAsia="宋体" w:cs="Times New Roman"/>
          <w:color w:val="auto"/>
          <w:lang w:eastAsia="zh-CN"/>
        </w:rPr>
        <w:t>7</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修订</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p>
    <w:p w14:paraId="4FD78B2F">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3</w:t>
      </w:r>
      <w:r>
        <w:rPr>
          <w:rFonts w:hint="default" w:ascii="Times New Roman" w:hAnsi="Times New Roman" w:eastAsia="宋体" w:cs="Times New Roman"/>
          <w:color w:val="auto"/>
        </w:rPr>
        <w:t>）《建设项目环境保护管理条例》，（国务院令第682号），2017年8月1日修订，2017年10月1日起实施；</w:t>
      </w:r>
    </w:p>
    <w:p w14:paraId="6D6A54A3">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4</w:t>
      </w:r>
      <w:r>
        <w:rPr>
          <w:rFonts w:hint="default" w:ascii="Times New Roman" w:hAnsi="Times New Roman" w:eastAsia="宋体" w:cs="Times New Roman"/>
          <w:color w:val="auto"/>
        </w:rPr>
        <w:t>）《产业结构调整指导目录（2019年本）》</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w:t>
      </w: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月1日起实施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w:t>
      </w:r>
    </w:p>
    <w:p w14:paraId="0ED69D3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5</w:t>
      </w:r>
      <w:r>
        <w:rPr>
          <w:rFonts w:hint="default" w:ascii="Times New Roman" w:hAnsi="Times New Roman" w:eastAsia="宋体" w:cs="Times New Roman"/>
          <w:color w:val="auto"/>
        </w:rPr>
        <w:t>）《建设项目环境影响评价分类管理名录</w:t>
      </w:r>
      <w:r>
        <w:rPr>
          <w:rFonts w:hint="default" w:ascii="Times New Roman" w:hAnsi="Times New Roman" w:eastAsia="宋体" w:cs="Times New Roman"/>
          <w:color w:val="auto"/>
          <w:lang w:eastAsia="zh-CN"/>
        </w:rPr>
        <w:t>（2021年版）</w:t>
      </w:r>
      <w:r>
        <w:rPr>
          <w:rFonts w:hint="default" w:ascii="Times New Roman" w:hAnsi="Times New Roman" w:eastAsia="宋体" w:cs="Times New Roman"/>
          <w:color w:val="auto"/>
        </w:rPr>
        <w:t>》，生态环境部第1</w:t>
      </w:r>
      <w:r>
        <w:rPr>
          <w:rFonts w:hint="default" w:ascii="Times New Roman" w:hAnsi="Times New Roman" w:eastAsia="宋体" w:cs="Times New Roman"/>
          <w:color w:val="auto"/>
          <w:lang w:eastAsia="zh-CN"/>
        </w:rPr>
        <w:t>6</w:t>
      </w:r>
      <w:r>
        <w:rPr>
          <w:rFonts w:hint="default" w:ascii="Times New Roman" w:hAnsi="Times New Roman" w:eastAsia="宋体" w:cs="Times New Roman"/>
          <w:color w:val="auto"/>
        </w:rPr>
        <w:t>号令，20</w:t>
      </w:r>
      <w:r>
        <w:rPr>
          <w:rFonts w:hint="default" w:ascii="Times New Roman" w:hAnsi="Times New Roman" w:eastAsia="宋体" w:cs="Times New Roman"/>
          <w:color w:val="auto"/>
          <w:lang w:eastAsia="zh-CN"/>
        </w:rPr>
        <w:t>21</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月</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日起实施；</w:t>
      </w:r>
    </w:p>
    <w:p w14:paraId="55367536">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6</w:t>
      </w:r>
      <w:r>
        <w:rPr>
          <w:rFonts w:hint="default" w:ascii="Times New Roman" w:hAnsi="Times New Roman" w:eastAsia="宋体" w:cs="Times New Roman"/>
          <w:color w:val="auto"/>
        </w:rPr>
        <w:t>）《环境影响评价公众参与办法》，生态环境部第4号令，2019年1月1日公布实施；</w:t>
      </w:r>
    </w:p>
    <w:p w14:paraId="627D8D7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7</w:t>
      </w:r>
      <w:r>
        <w:rPr>
          <w:rFonts w:hint="default" w:ascii="Times New Roman" w:hAnsi="Times New Roman" w:eastAsia="宋体" w:cs="Times New Roman"/>
          <w:color w:val="auto"/>
        </w:rPr>
        <w:t>）国务院关于印发《水污染防治行动计划》的通知（国发〔2015〕17号），2015年4月2日起实施；</w:t>
      </w:r>
    </w:p>
    <w:p w14:paraId="2E8ADC50">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8</w:t>
      </w:r>
      <w:r>
        <w:rPr>
          <w:rFonts w:hint="default" w:ascii="Times New Roman" w:hAnsi="Times New Roman" w:eastAsia="宋体" w:cs="Times New Roman"/>
          <w:color w:val="auto"/>
        </w:rPr>
        <w:t>）《土壤污染防治行动计划》（国发〔2016〕31号）</w:t>
      </w:r>
      <w:r>
        <w:rPr>
          <w:rFonts w:hint="default" w:ascii="Times New Roman" w:hAnsi="Times New Roman" w:eastAsia="宋体" w:cs="Times New Roman"/>
          <w:color w:val="auto"/>
          <w:lang w:eastAsia="zh-CN"/>
        </w:rPr>
        <w:t>；</w:t>
      </w:r>
    </w:p>
    <w:p w14:paraId="652EF87A">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9</w:t>
      </w:r>
      <w:r>
        <w:rPr>
          <w:rFonts w:hint="default" w:ascii="Times New Roman" w:hAnsi="Times New Roman" w:eastAsia="宋体" w:cs="Times New Roman"/>
          <w:color w:val="auto"/>
        </w:rPr>
        <w:t>）《打赢蓝天保卫战三年行动计划》（国发〔2018〕22号）</w:t>
      </w:r>
      <w:r>
        <w:rPr>
          <w:rFonts w:hint="default" w:ascii="Times New Roman" w:hAnsi="Times New Roman" w:eastAsia="宋体" w:cs="Times New Roman"/>
          <w:color w:val="auto"/>
          <w:lang w:eastAsia="zh-CN"/>
        </w:rPr>
        <w:t>；</w:t>
      </w:r>
    </w:p>
    <w:p w14:paraId="10FB7363">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rPr>
        <w:t>中华人民共和国水生动植物自然保护区管理办法</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2014</w:t>
      </w:r>
      <w:r>
        <w:rPr>
          <w:rFonts w:hint="default" w:ascii="Times New Roman" w:hAnsi="Times New Roman" w:eastAsia="宋体" w:cs="Times New Roman"/>
          <w:color w:val="auto"/>
          <w:szCs w:val="24"/>
        </w:rPr>
        <w:t>年修订）</w:t>
      </w:r>
      <w:r>
        <w:rPr>
          <w:rFonts w:hint="default" w:ascii="Times New Roman" w:hAnsi="Times New Roman" w:eastAsia="宋体" w:cs="Times New Roman"/>
          <w:color w:val="auto"/>
          <w:szCs w:val="24"/>
          <w:lang w:eastAsia="zh-CN"/>
        </w:rPr>
        <w:t>；</w:t>
      </w:r>
    </w:p>
    <w:p w14:paraId="457421FF">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（21）</w:t>
      </w:r>
      <w:r>
        <w:rPr>
          <w:rFonts w:hint="default" w:ascii="Times New Roman" w:hAnsi="Times New Roman" w:eastAsia="宋体" w:cs="Times New Roman"/>
          <w:color w:val="auto"/>
          <w:szCs w:val="24"/>
        </w:rPr>
        <w:t>《农业部办公厅关于加强长江江豚保护工作的紧急通知》（农长办渔[2016]4号）</w:t>
      </w:r>
      <w:r>
        <w:rPr>
          <w:rFonts w:hint="default" w:ascii="Times New Roman" w:hAnsi="Times New Roman" w:eastAsia="宋体" w:cs="Times New Roman"/>
          <w:color w:val="auto"/>
          <w:szCs w:val="24"/>
          <w:lang w:eastAsia="zh-CN"/>
        </w:rPr>
        <w:t>；</w:t>
      </w:r>
    </w:p>
    <w:p w14:paraId="56798DD4">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（22）《中华人民共和国防洪法》，2016年7月2日修订；</w:t>
      </w:r>
    </w:p>
    <w:p w14:paraId="3ABF052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 xml:space="preserve">（23）《中华人民共和国湿地保护法》，2022年6月1日实施； </w:t>
      </w:r>
    </w:p>
    <w:p w14:paraId="5FA916C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 xml:space="preserve">（24）《中华人民共和国野生动物保护法》（2018年修正本）； </w:t>
      </w:r>
    </w:p>
    <w:p w14:paraId="3CC059D3">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（25）《环境保护综合名录（2017年版）》；</w:t>
      </w:r>
    </w:p>
    <w:p w14:paraId="455C152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《长江岸线保护和开发利用总体规划》</w:t>
      </w:r>
      <w:r>
        <w:rPr>
          <w:rFonts w:hint="default" w:ascii="Times New Roman" w:hAnsi="Times New Roman" w:eastAsia="宋体" w:cs="Times New Roman"/>
          <w:color w:val="auto"/>
          <w:lang w:eastAsia="zh-CN"/>
        </w:rPr>
        <w:t>；</w:t>
      </w:r>
    </w:p>
    <w:p w14:paraId="5CFB4B06">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（27）《关于印发&lt;长江经济带发展负面清单指南（试行，2022 年版）&gt;的通知》，长江办[2022]7号。</w:t>
      </w:r>
    </w:p>
    <w:p w14:paraId="1361D897">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180" w:name="_Toc4562"/>
      <w:bookmarkStart w:id="181" w:name="_Toc7356"/>
      <w:r>
        <w:rPr>
          <w:rFonts w:hint="default" w:ascii="Times New Roman" w:hAnsi="Times New Roman" w:eastAsia="宋体" w:cs="Times New Roman"/>
          <w:color w:val="auto"/>
        </w:rPr>
        <w:t>2.1.2地方法规、规划</w:t>
      </w:r>
      <w:bookmarkEnd w:id="162"/>
      <w:bookmarkEnd w:id="163"/>
      <w:bookmarkEnd w:id="164"/>
      <w:bookmarkEnd w:id="165"/>
      <w:bookmarkEnd w:id="166"/>
      <w:bookmarkEnd w:id="167"/>
      <w:bookmarkEnd w:id="168"/>
      <w:bookmarkEnd w:id="169"/>
      <w:bookmarkEnd w:id="170"/>
      <w:bookmarkEnd w:id="171"/>
      <w:bookmarkEnd w:id="172"/>
      <w:bookmarkEnd w:id="180"/>
      <w:bookmarkEnd w:id="181"/>
    </w:p>
    <w:p w14:paraId="3C2C6A3D">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182" w:name="_Toc10733_WPSOffice_Level3"/>
      <w:bookmarkStart w:id="183" w:name="_Toc22765"/>
      <w:bookmarkStart w:id="184" w:name="_Toc16884"/>
      <w:bookmarkStart w:id="185" w:name="_Toc5332"/>
      <w:bookmarkStart w:id="186" w:name="_Toc9233_WPSOffice_Level3"/>
      <w:bookmarkStart w:id="187" w:name="_Toc10423"/>
      <w:bookmarkStart w:id="188" w:name="_Toc844"/>
      <w:r>
        <w:rPr>
          <w:rFonts w:hint="default" w:ascii="Times New Roman" w:hAnsi="Times New Roman" w:eastAsia="宋体" w:cs="Times New Roman"/>
          <w:color w:val="auto"/>
        </w:rPr>
        <w:t>（1）《湖南省主要水系地表水环境功能区划》（DB43/023-2005）；</w:t>
      </w:r>
    </w:p>
    <w:p w14:paraId="06D6EB9A">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（2）《湖南省环境保护条例》（2019年修订）；</w:t>
      </w:r>
    </w:p>
    <w:p w14:paraId="478D63E9">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（3）《关于进一步规范我省固体（危险）废物转移管理的通知》）（湘环发[2014]22号）；</w:t>
      </w:r>
    </w:p>
    <w:p w14:paraId="15A9A694">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（4）湖南省地方标准《用水定额》（DB43/T388-20</w:t>
      </w: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rPr>
        <w:t>）；</w:t>
      </w:r>
    </w:p>
    <w:p w14:paraId="5D3B6956">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（5）湖南省贯彻国务院关于印发《水污染防治行动计划》的通知（国发〔2015〕17号）；</w:t>
      </w:r>
    </w:p>
    <w:p w14:paraId="15EEC393">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r>
        <w:rPr>
          <w:rFonts w:hint="default" w:ascii="Times New Roman" w:hAnsi="Times New Roman" w:eastAsia="宋体" w:cs="Times New Roman"/>
          <w:color w:val="auto"/>
          <w:lang w:eastAsia="zh-CN"/>
        </w:rPr>
        <w:t>《湖南省环境保护“十四五”规划》，湘政办发〔2021〕61号，湖南省人民政府办公厅，2021年9月</w:t>
      </w:r>
      <w:r>
        <w:rPr>
          <w:rFonts w:hint="default" w:ascii="Times New Roman" w:hAnsi="Times New Roman" w:eastAsia="宋体" w:cs="Times New Roman"/>
          <w:color w:val="auto"/>
        </w:rPr>
        <w:t>；</w:t>
      </w:r>
    </w:p>
    <w:p w14:paraId="608796E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（7）《湖南省污染防治攻坚战三年行动计划（2018—2020年）》，湘政发[2018]17号；</w:t>
      </w:r>
    </w:p>
    <w:p w14:paraId="3A23AB7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（8）湖南省人民政府关于印发《湖南省生态保护红线》的通知，湘政发〔2018〕20号，2018年7月28日；</w:t>
      </w:r>
    </w:p>
    <w:p w14:paraId="15E318B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（9）《湖南省长江经济带发展负面清单实施细则（试行，</w:t>
      </w:r>
      <w:r>
        <w:rPr>
          <w:rFonts w:hint="default" w:ascii="Times New Roman" w:hAnsi="Times New Roman" w:eastAsia="宋体" w:cs="Times New Roman"/>
          <w:color w:val="auto"/>
          <w:lang w:val="en-US" w:eastAsia="zh-CN"/>
        </w:rPr>
        <w:t>2022年版</w:t>
      </w:r>
      <w:r>
        <w:rPr>
          <w:rFonts w:hint="default" w:ascii="Times New Roman" w:hAnsi="Times New Roman" w:eastAsia="宋体" w:cs="Times New Roman"/>
          <w:color w:val="auto"/>
          <w:lang w:eastAsia="zh-CN"/>
        </w:rPr>
        <w:t>）》，湖南省推动长江经济带发展领导小组办公室，</w:t>
      </w:r>
      <w:r>
        <w:rPr>
          <w:rFonts w:hint="default" w:ascii="Times New Roman" w:hAnsi="Times New Roman" w:eastAsia="宋体" w:cs="Times New Roman"/>
          <w:color w:val="auto"/>
          <w:lang w:val="en-US" w:eastAsia="zh-CN"/>
        </w:rPr>
        <w:t>2022</w:t>
      </w:r>
      <w:r>
        <w:rPr>
          <w:rFonts w:hint="default" w:ascii="Times New Roman" w:hAnsi="Times New Roman" w:eastAsia="宋体" w:cs="Times New Roman"/>
          <w:color w:val="auto"/>
          <w:lang w:eastAsia="zh-CN"/>
        </w:rPr>
        <w:t>年</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月</w:t>
      </w:r>
      <w:r>
        <w:rPr>
          <w:rFonts w:hint="default" w:ascii="Times New Roman" w:hAnsi="Times New Roman" w:eastAsia="宋体" w:cs="Times New Roman"/>
          <w:color w:val="auto"/>
          <w:lang w:val="en-US" w:eastAsia="zh-CN"/>
        </w:rPr>
        <w:t>30</w:t>
      </w:r>
      <w:r>
        <w:rPr>
          <w:rFonts w:hint="default" w:ascii="Times New Roman" w:hAnsi="Times New Roman" w:eastAsia="宋体" w:cs="Times New Roman"/>
          <w:color w:val="auto"/>
          <w:lang w:eastAsia="zh-CN"/>
        </w:rPr>
        <w:t>日；</w:t>
      </w:r>
    </w:p>
    <w:p w14:paraId="7A9631A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（10）</w:t>
      </w:r>
      <w:r>
        <w:rPr>
          <w:rFonts w:hint="default" w:ascii="Times New Roman" w:hAnsi="Times New Roman" w:eastAsia="宋体" w:cs="Times New Roman"/>
          <w:color w:val="auto"/>
          <w:szCs w:val="24"/>
          <w:lang w:val="en-US" w:eastAsia="zh-CN"/>
        </w:rPr>
        <w:t>《湖南省湘江保护条例》，2018年11月30日修订；</w:t>
      </w:r>
    </w:p>
    <w:p w14:paraId="03E801A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（11）《湖南省洞庭湖保护条例》，2021年9月1日实施；</w:t>
      </w:r>
    </w:p>
    <w:p w14:paraId="3A685A8D">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12</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8"/>
          <w:lang w:eastAsia="zh-CN"/>
        </w:rPr>
        <w:t>《湖南省“十四五”现代化综合交通运输体系发展规划》，湘政办发〔2021〕50号，湖南省人民政府办公厅，</w:t>
      </w:r>
      <w:r>
        <w:rPr>
          <w:rFonts w:hint="default" w:ascii="Times New Roman" w:hAnsi="Times New Roman" w:eastAsia="宋体" w:cs="Times New Roman"/>
          <w:color w:val="auto"/>
          <w:szCs w:val="28"/>
          <w:lang w:val="en-US" w:eastAsia="zh-CN"/>
        </w:rPr>
        <w:t>2021年8月23日</w:t>
      </w:r>
      <w:r>
        <w:rPr>
          <w:rFonts w:hint="default" w:ascii="Times New Roman" w:hAnsi="Times New Roman" w:eastAsia="宋体" w:cs="Times New Roman"/>
          <w:color w:val="auto"/>
          <w:szCs w:val="28"/>
          <w:lang w:eastAsia="zh-CN"/>
        </w:rPr>
        <w:t>；</w:t>
      </w:r>
    </w:p>
    <w:p w14:paraId="0327D48B">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szCs w:val="24"/>
        </w:rPr>
        <w:t>《岳阳市贯彻落实</w:t>
      </w:r>
      <w:r>
        <w:rPr>
          <w:rFonts w:hint="default" w:ascii="Times New Roman" w:hAnsi="Times New Roman" w:eastAsia="宋体" w:cs="Times New Roman"/>
          <w:color w:val="auto"/>
          <w:szCs w:val="24"/>
          <w:lang w:eastAsia="zh-CN"/>
        </w:rPr>
        <w:t>&lt;</w:t>
      </w:r>
      <w:r>
        <w:rPr>
          <w:rFonts w:hint="default" w:ascii="Times New Roman" w:hAnsi="Times New Roman" w:eastAsia="宋体" w:cs="Times New Roman"/>
          <w:color w:val="auto"/>
          <w:szCs w:val="24"/>
        </w:rPr>
        <w:t>大气污染防治行动计划</w:t>
      </w:r>
      <w:r>
        <w:rPr>
          <w:rFonts w:hint="default" w:ascii="Times New Roman" w:hAnsi="Times New Roman" w:eastAsia="宋体" w:cs="Times New Roman"/>
          <w:color w:val="auto"/>
          <w:szCs w:val="24"/>
          <w:lang w:eastAsia="zh-CN"/>
        </w:rPr>
        <w:t>&gt;</w:t>
      </w:r>
      <w:r>
        <w:rPr>
          <w:rFonts w:hint="default" w:ascii="Times New Roman" w:hAnsi="Times New Roman" w:eastAsia="宋体" w:cs="Times New Roman"/>
          <w:color w:val="auto"/>
          <w:szCs w:val="24"/>
        </w:rPr>
        <w:t>实施方案》</w:t>
      </w:r>
      <w:r>
        <w:rPr>
          <w:rFonts w:hint="default" w:ascii="Times New Roman" w:hAnsi="Times New Roman" w:eastAsia="宋体" w:cs="Times New Roman"/>
          <w:color w:val="auto"/>
        </w:rPr>
        <w:t>；</w:t>
      </w:r>
    </w:p>
    <w:p w14:paraId="43B5415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岳阳市人民政府办公室关于印发《岳阳市水环境功能区管理规定》和《岳阳市水环境功能区划分》的通知（岳政办发[2010]30号）</w:t>
      </w:r>
      <w:r>
        <w:rPr>
          <w:rFonts w:hint="default" w:ascii="Times New Roman" w:hAnsi="Times New Roman" w:eastAsia="宋体" w:cs="Times New Roman"/>
          <w:color w:val="auto"/>
          <w:lang w:eastAsia="zh-CN"/>
        </w:rPr>
        <w:t>；</w:t>
      </w:r>
    </w:p>
    <w:p w14:paraId="0468A21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lang w:eastAsia="zh-CN"/>
        </w:rPr>
        <w:t>）</w:t>
      </w:r>
      <w:r>
        <w:rPr>
          <w:rStyle w:val="34"/>
          <w:rFonts w:hint="default" w:ascii="Times New Roman" w:hAnsi="Times New Roman" w:eastAsia="宋体" w:cs="Times New Roman"/>
          <w:b w:val="0"/>
          <w:color w:val="auto"/>
          <w:sz w:val="24"/>
        </w:rPr>
        <w:t>《岳阳市生态环境局关于发布岳阳市生态环境分区管控动态更新成果（2023年版）的通知》</w:t>
      </w:r>
      <w:r>
        <w:rPr>
          <w:rStyle w:val="34"/>
          <w:rFonts w:hint="eastAsia" w:cs="Times New Roman"/>
          <w:b w:val="0"/>
          <w:color w:val="auto"/>
          <w:sz w:val="24"/>
          <w:lang w:eastAsia="zh-CN"/>
        </w:rPr>
        <w:t>，</w:t>
      </w:r>
      <w:r>
        <w:rPr>
          <w:rStyle w:val="34"/>
          <w:rFonts w:hint="eastAsia" w:cs="Times New Roman"/>
          <w:b w:val="0"/>
          <w:color w:val="auto"/>
          <w:sz w:val="24"/>
          <w:lang w:val="en-US" w:eastAsia="zh-CN"/>
        </w:rPr>
        <w:t>2024年12月17日</w:t>
      </w:r>
      <w:r>
        <w:rPr>
          <w:rFonts w:hint="default" w:ascii="Times New Roman" w:hAnsi="Times New Roman" w:eastAsia="宋体" w:cs="Times New Roman"/>
          <w:color w:val="auto"/>
          <w:lang w:eastAsia="zh-CN"/>
        </w:rPr>
        <w:t>。</w:t>
      </w:r>
    </w:p>
    <w:p w14:paraId="76C0DAE1">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189" w:name="_Toc22694"/>
      <w:bookmarkStart w:id="190" w:name="_Toc2683"/>
      <w:bookmarkStart w:id="191" w:name="_Toc10965"/>
      <w:bookmarkStart w:id="192" w:name="_Toc4881"/>
      <w:bookmarkStart w:id="193" w:name="_Toc14581"/>
      <w:bookmarkStart w:id="194" w:name="_Toc20542"/>
      <w:r>
        <w:rPr>
          <w:rFonts w:hint="default" w:ascii="Times New Roman" w:hAnsi="Times New Roman" w:eastAsia="宋体" w:cs="Times New Roman"/>
          <w:color w:val="auto"/>
        </w:rPr>
        <w:t>2.1.3相关的技术规范</w:t>
      </w:r>
      <w:bookmarkEnd w:id="173"/>
      <w:bookmarkEnd w:id="174"/>
      <w:bookmarkEnd w:id="175"/>
      <w:bookmarkEnd w:id="176"/>
      <w:bookmarkEnd w:id="177"/>
      <w:bookmarkEnd w:id="178"/>
      <w:bookmarkEnd w:id="179"/>
      <w:bookmarkEnd w:id="182"/>
      <w:bookmarkEnd w:id="183"/>
      <w:bookmarkEnd w:id="184"/>
      <w:bookmarkEnd w:id="185"/>
      <w:bookmarkEnd w:id="186"/>
      <w:bookmarkEnd w:id="187"/>
      <w:bookmarkEnd w:id="188"/>
      <w:bookmarkEnd w:id="189"/>
      <w:bookmarkEnd w:id="190"/>
      <w:bookmarkEnd w:id="191"/>
      <w:bookmarkEnd w:id="192"/>
      <w:bookmarkEnd w:id="193"/>
      <w:bookmarkEnd w:id="194"/>
    </w:p>
    <w:p w14:paraId="782B686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195" w:name="_Toc25500_WPSOffice_Level3"/>
      <w:bookmarkStart w:id="196" w:name="_Toc4068"/>
      <w:bookmarkStart w:id="197" w:name="_Toc27271"/>
      <w:bookmarkStart w:id="198" w:name="_Toc7952_WPSOffice_Level3"/>
      <w:bookmarkStart w:id="199" w:name="_Toc12764"/>
      <w:bookmarkStart w:id="200" w:name="_Toc26220"/>
      <w:bookmarkStart w:id="201" w:name="_Toc19051"/>
      <w:r>
        <w:rPr>
          <w:rFonts w:hint="default" w:ascii="Times New Roman" w:hAnsi="Times New Roman" w:eastAsia="宋体" w:cs="Times New Roman"/>
          <w:color w:val="auto"/>
        </w:rPr>
        <w:t>（1）《建设项目环境影响评价技术导则 总纲》（HJ</w:t>
      </w:r>
      <w:r>
        <w:rPr>
          <w:rFonts w:hint="default" w:ascii="Times New Roman" w:hAnsi="Times New Roman" w:eastAsia="宋体" w:cs="Times New Roman"/>
          <w:color w:val="auto"/>
          <w:lang w:eastAsia="zh-CN"/>
        </w:rPr>
        <w:t>2.1-</w:t>
      </w:r>
      <w:r>
        <w:rPr>
          <w:rFonts w:hint="default" w:ascii="Times New Roman" w:hAnsi="Times New Roman" w:eastAsia="宋体" w:cs="Times New Roman"/>
          <w:color w:val="auto"/>
        </w:rPr>
        <w:t>2016）；</w:t>
      </w:r>
    </w:p>
    <w:p w14:paraId="65517667">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（2）《环境影响评价技术导则 大气环境》（HJ2.2-2018）；</w:t>
      </w:r>
    </w:p>
    <w:p w14:paraId="4A0C08C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（3）《环境影响评价技术导则 地表水环境》（HJ2.3-2018）；</w:t>
      </w:r>
    </w:p>
    <w:p w14:paraId="7DF162DE">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（4）《环境影响评价技术导则 声环境》（HJ2.4-</w:t>
      </w:r>
      <w:r>
        <w:rPr>
          <w:rFonts w:hint="default" w:ascii="Times New Roman" w:hAnsi="Times New Roman" w:eastAsia="宋体" w:cs="Times New Roman"/>
          <w:color w:val="auto"/>
          <w:lang w:val="en-US" w:eastAsia="zh-CN"/>
        </w:rPr>
        <w:t>2021</w:t>
      </w:r>
      <w:r>
        <w:rPr>
          <w:rFonts w:hint="default" w:ascii="Times New Roman" w:hAnsi="Times New Roman" w:eastAsia="宋体" w:cs="Times New Roman"/>
          <w:color w:val="auto"/>
        </w:rPr>
        <w:t>）；</w:t>
      </w:r>
    </w:p>
    <w:p w14:paraId="42AA696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（5）《环境影响评价技术导则 地下水环境》（HJ610-2016）</w:t>
      </w:r>
      <w:r>
        <w:rPr>
          <w:rFonts w:hint="default" w:ascii="Times New Roman" w:hAnsi="Times New Roman" w:eastAsia="宋体" w:cs="Times New Roman"/>
          <w:color w:val="auto"/>
          <w:lang w:eastAsia="zh-CN"/>
        </w:rPr>
        <w:t>；</w:t>
      </w:r>
    </w:p>
    <w:p w14:paraId="190D978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（6）《环境影响评价技术导则 土壤环境（试行）》（HJ964-2018）</w:t>
      </w:r>
      <w:r>
        <w:rPr>
          <w:rFonts w:hint="default" w:ascii="Times New Roman" w:hAnsi="Times New Roman" w:eastAsia="宋体" w:cs="Times New Roman"/>
          <w:color w:val="auto"/>
          <w:lang w:eastAsia="zh-CN"/>
        </w:rPr>
        <w:t>；</w:t>
      </w:r>
    </w:p>
    <w:p w14:paraId="70D835C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（7）《建设项目环境风险评价技术导则》（HJ169-2018）；</w:t>
      </w:r>
    </w:p>
    <w:p w14:paraId="4D84642E">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（8）《环境影响评价技术导则 生态影响》（HJ19-20</w:t>
      </w:r>
      <w:r>
        <w:rPr>
          <w:rFonts w:hint="default" w:ascii="Times New Roman" w:hAnsi="Times New Roman" w:eastAsia="宋体" w:cs="Times New Roman"/>
          <w:color w:val="auto"/>
          <w:lang w:val="en-US" w:eastAsia="zh-CN"/>
        </w:rPr>
        <w:t>22</w:t>
      </w:r>
      <w:r>
        <w:rPr>
          <w:rFonts w:hint="default" w:ascii="Times New Roman" w:hAnsi="Times New Roman" w:eastAsia="宋体" w:cs="Times New Roman"/>
          <w:color w:val="auto"/>
        </w:rPr>
        <w:t>）；</w:t>
      </w:r>
    </w:p>
    <w:p w14:paraId="3EAF232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（9）《危险化学品重大危险源辨识》（GB18218-2018）；</w:t>
      </w:r>
    </w:p>
    <w:p w14:paraId="3261FAB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（10）《水运工程建设项目环境影响评价指南》（JTS/T105-2021）</w:t>
      </w:r>
      <w:r>
        <w:rPr>
          <w:rFonts w:hint="default" w:ascii="Times New Roman" w:hAnsi="Times New Roman" w:eastAsia="宋体" w:cs="Times New Roman"/>
          <w:color w:val="auto"/>
          <w:lang w:eastAsia="zh-CN"/>
        </w:rPr>
        <w:t>；</w:t>
      </w:r>
    </w:p>
    <w:p w14:paraId="53CBCC1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（11）</w:t>
      </w:r>
      <w:r>
        <w:rPr>
          <w:rFonts w:hint="default" w:ascii="Times New Roman" w:hAnsi="Times New Roman" w:eastAsia="宋体" w:cs="Times New Roman"/>
          <w:color w:val="auto"/>
        </w:rPr>
        <w:t>《港口工程环境保护设计规范》（JTS149-1-2007）</w:t>
      </w:r>
      <w:r>
        <w:rPr>
          <w:rFonts w:hint="default" w:ascii="Times New Roman" w:hAnsi="Times New Roman" w:eastAsia="宋体" w:cs="Times New Roman"/>
          <w:color w:val="auto"/>
          <w:lang w:eastAsia="zh-CN"/>
        </w:rPr>
        <w:t>；</w:t>
      </w:r>
    </w:p>
    <w:p w14:paraId="32D3A9E7">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（12）</w:t>
      </w:r>
      <w:r>
        <w:rPr>
          <w:rFonts w:hint="default" w:ascii="Times New Roman" w:hAnsi="Times New Roman" w:eastAsia="宋体" w:cs="Times New Roman"/>
          <w:color w:val="auto"/>
        </w:rPr>
        <w:t>《港口码头溢油应急设备配备要求》（JT/T451-2009）</w:t>
      </w:r>
      <w:r>
        <w:rPr>
          <w:rFonts w:hint="default" w:ascii="Times New Roman" w:hAnsi="Times New Roman" w:eastAsia="宋体" w:cs="Times New Roman"/>
          <w:color w:val="auto"/>
          <w:lang w:eastAsia="zh-CN"/>
        </w:rPr>
        <w:t>；</w:t>
      </w:r>
    </w:p>
    <w:p w14:paraId="095A9BB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（13）</w:t>
      </w:r>
      <w:r>
        <w:rPr>
          <w:rFonts w:hint="default" w:ascii="Times New Roman" w:hAnsi="Times New Roman" w:eastAsia="宋体" w:cs="Times New Roman"/>
          <w:color w:val="auto"/>
        </w:rPr>
        <w:t>《港口（港区）溢油应急计划编制指南》，中国海事局，2001年8月</w:t>
      </w:r>
      <w:r>
        <w:rPr>
          <w:rFonts w:hint="default" w:ascii="Times New Roman" w:hAnsi="Times New Roman" w:eastAsia="宋体" w:cs="Times New Roman"/>
          <w:color w:val="auto"/>
          <w:lang w:eastAsia="zh-CN"/>
        </w:rPr>
        <w:t>；</w:t>
      </w:r>
    </w:p>
    <w:p w14:paraId="65EE881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（14）</w:t>
      </w:r>
      <w:r>
        <w:rPr>
          <w:rFonts w:hint="default" w:ascii="Times New Roman" w:hAnsi="Times New Roman" w:eastAsia="宋体" w:cs="Times New Roman"/>
          <w:color w:val="auto"/>
        </w:rPr>
        <w:t>《船舶水污染防治技术政策》（公告2018 年第八号）；</w:t>
      </w:r>
    </w:p>
    <w:p w14:paraId="145EDEC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（15）</w:t>
      </w:r>
      <w:r>
        <w:rPr>
          <w:rFonts w:hint="default" w:ascii="Times New Roman" w:hAnsi="Times New Roman" w:eastAsia="宋体" w:cs="Times New Roman"/>
          <w:color w:val="auto"/>
          <w:lang w:val="en-US" w:eastAsia="zh-CN"/>
        </w:rPr>
        <w:t>《河港总体设计规范》（JTS 166—2020）</w:t>
      </w:r>
      <w:r>
        <w:rPr>
          <w:rFonts w:hint="default" w:ascii="Times New Roman" w:hAnsi="Times New Roman" w:eastAsia="宋体" w:cs="Times New Roman"/>
          <w:color w:val="auto"/>
          <w:lang w:eastAsia="zh-CN"/>
        </w:rPr>
        <w:t>；</w:t>
      </w:r>
    </w:p>
    <w:p w14:paraId="1AEF847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（16）</w:t>
      </w:r>
      <w:r>
        <w:rPr>
          <w:rFonts w:hint="default" w:ascii="Times New Roman" w:hAnsi="Times New Roman" w:eastAsia="宋体" w:cs="Times New Roman"/>
          <w:color w:val="auto"/>
        </w:rPr>
        <w:t>《内河通航标准》（GB50139-2004）</w:t>
      </w:r>
      <w:r>
        <w:rPr>
          <w:rFonts w:hint="default" w:ascii="Times New Roman" w:hAnsi="Times New Roman" w:eastAsia="宋体" w:cs="Times New Roman"/>
          <w:color w:val="auto"/>
          <w:lang w:eastAsia="zh-CN"/>
        </w:rPr>
        <w:t>；</w:t>
      </w:r>
    </w:p>
    <w:p w14:paraId="75A29F6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（17）</w:t>
      </w:r>
      <w:r>
        <w:rPr>
          <w:rFonts w:hint="default" w:ascii="Times New Roman" w:hAnsi="Times New Roman" w:eastAsia="宋体" w:cs="Times New Roman"/>
          <w:color w:val="auto"/>
        </w:rPr>
        <w:t>《内河航运工程水文规范》（JTS145-1-2011）</w:t>
      </w:r>
      <w:r>
        <w:rPr>
          <w:rFonts w:hint="default" w:ascii="Times New Roman" w:hAnsi="Times New Roman" w:eastAsia="宋体" w:cs="Times New Roman"/>
          <w:color w:val="auto"/>
          <w:lang w:eastAsia="zh-CN"/>
        </w:rPr>
        <w:t>；</w:t>
      </w:r>
    </w:p>
    <w:p w14:paraId="234F2C69">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（18）</w:t>
      </w:r>
      <w:r>
        <w:rPr>
          <w:rFonts w:hint="default" w:ascii="Times New Roman" w:hAnsi="Times New Roman" w:eastAsia="宋体" w:cs="Times New Roman"/>
          <w:color w:val="auto"/>
        </w:rPr>
        <w:t>《港口及航道护岸工程设计与施工规范》（JTJ300-2000）</w:t>
      </w:r>
      <w:r>
        <w:rPr>
          <w:rFonts w:hint="default" w:ascii="Times New Roman" w:hAnsi="Times New Roman" w:eastAsia="宋体" w:cs="Times New Roman"/>
          <w:color w:val="auto"/>
          <w:lang w:eastAsia="zh-CN"/>
        </w:rPr>
        <w:t>；</w:t>
      </w:r>
    </w:p>
    <w:p w14:paraId="341FDEE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（19）</w:t>
      </w:r>
      <w:r>
        <w:rPr>
          <w:rFonts w:hint="default" w:ascii="Times New Roman" w:hAnsi="Times New Roman" w:eastAsia="宋体" w:cs="Times New Roman"/>
          <w:color w:val="auto"/>
        </w:rPr>
        <w:t>《港口工程荷载规范》（JTS144-1-2010）</w:t>
      </w:r>
      <w:r>
        <w:rPr>
          <w:rFonts w:hint="default" w:ascii="Times New Roman" w:hAnsi="Times New Roman" w:eastAsia="宋体" w:cs="Times New Roman"/>
          <w:color w:val="auto"/>
          <w:lang w:eastAsia="zh-CN"/>
        </w:rPr>
        <w:t>；</w:t>
      </w:r>
    </w:p>
    <w:p w14:paraId="41658ABF">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rPr>
        <w:t>《港口工程环境保护设计规范》（JTS149-1-2007）</w:t>
      </w:r>
      <w:r>
        <w:rPr>
          <w:rFonts w:hint="default" w:ascii="Times New Roman" w:hAnsi="Times New Roman" w:eastAsia="宋体" w:cs="Times New Roman"/>
          <w:color w:val="auto"/>
          <w:lang w:eastAsia="zh-CN"/>
        </w:rPr>
        <w:t>；</w:t>
      </w:r>
    </w:p>
    <w:p w14:paraId="4971086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（21）</w:t>
      </w:r>
      <w:r>
        <w:rPr>
          <w:rFonts w:hint="default" w:ascii="Times New Roman" w:hAnsi="Times New Roman" w:eastAsia="宋体" w:cs="Times New Roman"/>
          <w:color w:val="auto"/>
        </w:rPr>
        <w:t>《绿色港口等级评价标注》（JTS/T105-4-2013）</w:t>
      </w:r>
      <w:r>
        <w:rPr>
          <w:rFonts w:hint="default" w:ascii="Times New Roman" w:hAnsi="Times New Roman" w:eastAsia="宋体" w:cs="Times New Roman"/>
          <w:color w:val="auto"/>
          <w:lang w:eastAsia="zh-CN"/>
        </w:rPr>
        <w:t>；</w:t>
      </w:r>
    </w:p>
    <w:p w14:paraId="41B8FDA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（22）</w:t>
      </w:r>
      <w:r>
        <w:rPr>
          <w:rFonts w:hint="default" w:ascii="Times New Roman" w:hAnsi="Times New Roman" w:eastAsia="宋体" w:cs="Times New Roman"/>
          <w:color w:val="auto"/>
        </w:rPr>
        <w:t>《水运工程节能设计规范》（JTS150-2007）</w:t>
      </w:r>
      <w:r>
        <w:rPr>
          <w:rFonts w:hint="default" w:ascii="Times New Roman" w:hAnsi="Times New Roman" w:eastAsia="宋体" w:cs="Times New Roman"/>
          <w:color w:val="auto"/>
          <w:lang w:eastAsia="zh-CN"/>
        </w:rPr>
        <w:t>。</w:t>
      </w:r>
    </w:p>
    <w:p w14:paraId="5EC92BC9">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202" w:name="_Toc25864"/>
      <w:bookmarkStart w:id="203" w:name="_Toc16193"/>
      <w:bookmarkStart w:id="204" w:name="_Toc16565"/>
      <w:bookmarkStart w:id="205" w:name="_Toc20007"/>
      <w:bookmarkStart w:id="206" w:name="_Toc5782"/>
      <w:bookmarkStart w:id="207" w:name="_Toc29182"/>
      <w:r>
        <w:rPr>
          <w:rFonts w:hint="default" w:ascii="Times New Roman" w:hAnsi="Times New Roman" w:eastAsia="宋体" w:cs="Times New Roman"/>
          <w:color w:val="auto"/>
        </w:rPr>
        <w:t>2.1.4其它技术规范及参考依据</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3B6947E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szCs w:val="24"/>
          <w:lang w:eastAsia="zh-CN"/>
        </w:rPr>
        <w:t>《关于印发&lt;湘江资水沅水岳阳段港口码头专项整治方案&gt;的通知》（岳政办函 [2020]39号）</w:t>
      </w:r>
      <w:r>
        <w:rPr>
          <w:rFonts w:hint="default" w:ascii="Times New Roman" w:hAnsi="Times New Roman" w:eastAsia="宋体" w:cs="Times New Roman"/>
          <w:color w:val="auto"/>
        </w:rPr>
        <w:t>；</w:t>
      </w:r>
    </w:p>
    <w:p w14:paraId="4B04C65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（2）《岳阳港总体规划</w:t>
      </w:r>
      <w:r>
        <w:rPr>
          <w:rFonts w:hint="default" w:ascii="Times New Roman" w:hAnsi="Times New Roman" w:eastAsia="宋体" w:cs="Times New Roman"/>
          <w:color w:val="auto"/>
          <w:szCs w:val="24"/>
          <w:lang w:val="en-US" w:eastAsia="zh-CN"/>
        </w:rPr>
        <w:t>（2017-2035年）环境影响报告书</w:t>
      </w:r>
      <w:r>
        <w:rPr>
          <w:rFonts w:hint="default" w:ascii="Times New Roman" w:hAnsi="Times New Roman" w:eastAsia="宋体" w:cs="Times New Roman"/>
          <w:color w:val="auto"/>
        </w:rPr>
        <w:t>》（报批稿，20</w:t>
      </w: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rPr>
        <w:t>年</w:t>
      </w:r>
      <w:r>
        <w:rPr>
          <w:rFonts w:hint="default" w:ascii="Times New Roman" w:hAnsi="Times New Roman" w:eastAsia="宋体" w:cs="Times New Roman"/>
          <w:color w:val="auto"/>
          <w:lang w:eastAsia="zh-CN"/>
        </w:rPr>
        <w:t>6月</w:t>
      </w:r>
      <w:r>
        <w:rPr>
          <w:rFonts w:hint="default" w:ascii="Times New Roman" w:hAnsi="Times New Roman" w:eastAsia="宋体" w:cs="Times New Roman"/>
          <w:color w:val="auto"/>
        </w:rPr>
        <w:t>）；</w:t>
      </w:r>
    </w:p>
    <w:p w14:paraId="35B8408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szCs w:val="24"/>
          <w:lang w:val="en-US" w:eastAsia="zh-CN"/>
        </w:rPr>
        <w:t>《关于&lt;岳阳港总体规划（2017-2035年）环境影响报告书&gt;的审查意见》（环审［2020］65号），2020年5月13日</w:t>
      </w:r>
      <w:r>
        <w:rPr>
          <w:rFonts w:hint="default" w:ascii="Times New Roman" w:hAnsi="Times New Roman" w:eastAsia="宋体" w:cs="Times New Roman"/>
          <w:color w:val="auto"/>
        </w:rPr>
        <w:t>；</w:t>
      </w:r>
    </w:p>
    <w:p w14:paraId="5B8A54CD">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w:t>
      </w:r>
      <w:r>
        <w:rPr>
          <w:rFonts w:hint="default" w:ascii="Times New Roman" w:hAnsi="Times New Roman" w:eastAsia="宋体" w:cs="Times New Roman"/>
          <w:color w:val="auto"/>
          <w:szCs w:val="24"/>
          <w:lang w:eastAsia="zh-CN"/>
        </w:rPr>
        <w:t>《湖南省人民政府办公厅关于印发〈洞庭湖和湘资沅澧四水非法码头渡口专项整治工作方案〉的通知》（湘政办函〔2020〕）8号）</w:t>
      </w:r>
      <w:r>
        <w:rPr>
          <w:rFonts w:hint="default" w:ascii="Times New Roman" w:hAnsi="Times New Roman" w:eastAsia="宋体" w:cs="Times New Roman"/>
          <w:color w:val="auto"/>
        </w:rPr>
        <w:t>；</w:t>
      </w:r>
    </w:p>
    <w:p w14:paraId="26BD0ABB">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Cs w:val="28"/>
          <w:lang w:eastAsia="zh-CN"/>
        </w:rPr>
      </w:pPr>
      <w:r>
        <w:rPr>
          <w:rFonts w:hint="default" w:ascii="Times New Roman" w:hAnsi="Times New Roman" w:eastAsia="宋体" w:cs="Times New Roman"/>
          <w:color w:val="auto"/>
          <w:lang w:eastAsia="zh-CN"/>
        </w:rPr>
        <w:t>（5）</w:t>
      </w:r>
      <w:r>
        <w:rPr>
          <w:rFonts w:hint="default" w:ascii="Times New Roman" w:hAnsi="Times New Roman" w:eastAsia="宋体" w:cs="Times New Roman"/>
          <w:color w:val="auto"/>
          <w:szCs w:val="28"/>
          <w:lang w:eastAsia="zh-CN"/>
        </w:rPr>
        <w:t>《湖南省交通运输厅关于“一江一湖四水”港口码头专项整治工作有关事项的通知》（湘交港航〔2020〕71号）；</w:t>
      </w:r>
    </w:p>
    <w:p w14:paraId="26BCC31C">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bookmarkStart w:id="208" w:name="_Toc21565_WPSOffice_Level2"/>
      <w:bookmarkStart w:id="209" w:name="_Toc20947"/>
      <w:bookmarkStart w:id="210" w:name="_Toc1948_WPSOffice_Level2"/>
      <w:bookmarkStart w:id="211" w:name="_Toc4651"/>
      <w:bookmarkStart w:id="212" w:name="_Toc24382_WPSOffice_Level2"/>
      <w:bookmarkStart w:id="213" w:name="_Toc1658_WPSOffice_Level2"/>
      <w:bookmarkStart w:id="214" w:name="_Toc12776"/>
      <w:bookmarkStart w:id="215" w:name="_Toc9102_WPSOffice_Level2"/>
      <w:bookmarkStart w:id="216" w:name="_Toc3607_WPSOffice_Level2"/>
      <w:bookmarkStart w:id="217" w:name="_Toc27072"/>
      <w:bookmarkStart w:id="218" w:name="_Toc11075_WPSOffice_Level2"/>
      <w:r>
        <w:rPr>
          <w:rFonts w:hint="default" w:ascii="Times New Roman" w:hAnsi="Times New Roman" w:eastAsia="宋体" w:cs="Times New Roman"/>
          <w:color w:val="auto"/>
          <w:lang w:val="en-US" w:eastAsia="zh-CN"/>
        </w:rPr>
        <w:t>（6）《岳阳县人民政府常务会议决议书》（岳县政决议，2022,117号）；</w:t>
      </w:r>
    </w:p>
    <w:p w14:paraId="5B4A431C">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（7）《岳阳市交通运输局关于鹿角交通渔政综合执法码头提质改造工程实施方案的批复》，岳交港航〔2022〕50号；</w:t>
      </w:r>
    </w:p>
    <w:p w14:paraId="58E7556D">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（8）《岳阳县人民政府关于同意变更月山渔港码头建设地址的批复》（岳县政函，2022,221号）；</w:t>
      </w:r>
    </w:p>
    <w:p w14:paraId="64B46FAE">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eastAsia" w:ascii="Times New Roman" w:hAnsi="Times New Roman" w:eastAsia="宋体" w:cs="Times New Roman"/>
          <w:color w:val="auto"/>
          <w:sz w:val="28"/>
          <w:szCs w:val="28"/>
          <w:lang w:eastAsia="zh-CN"/>
        </w:rPr>
      </w:pPr>
      <w:bookmarkStart w:id="219" w:name="_Toc32122"/>
      <w:bookmarkStart w:id="220" w:name="_Toc30154"/>
      <w:bookmarkStart w:id="221" w:name="_Toc5942"/>
      <w:bookmarkStart w:id="222" w:name="_Toc19624"/>
      <w:r>
        <w:rPr>
          <w:rFonts w:hint="default" w:ascii="Times New Roman" w:hAnsi="Times New Roman" w:eastAsia="宋体" w:cs="Times New Roman"/>
          <w:color w:val="auto"/>
          <w:sz w:val="28"/>
          <w:szCs w:val="28"/>
        </w:rPr>
        <w:t>2.2</w:t>
      </w:r>
      <w:r>
        <w:rPr>
          <w:rFonts w:hint="eastAsia" w:cs="Times New Roman"/>
          <w:color w:val="auto"/>
          <w:sz w:val="28"/>
          <w:szCs w:val="28"/>
          <w:lang w:val="en-US" w:eastAsia="zh-CN"/>
        </w:rPr>
        <w:t>环境影响评价要素识别及</w:t>
      </w:r>
      <w:r>
        <w:rPr>
          <w:rFonts w:hint="default" w:ascii="Times New Roman" w:hAnsi="Times New Roman" w:eastAsia="宋体" w:cs="Times New Roman"/>
          <w:color w:val="auto"/>
          <w:sz w:val="28"/>
          <w:szCs w:val="28"/>
        </w:rPr>
        <w:t>评价因子</w:t>
      </w:r>
      <w:bookmarkEnd w:id="208"/>
      <w:bookmarkEnd w:id="209"/>
      <w:bookmarkEnd w:id="210"/>
      <w:bookmarkEnd w:id="211"/>
      <w:bookmarkEnd w:id="212"/>
      <w:bookmarkEnd w:id="213"/>
      <w:bookmarkEnd w:id="214"/>
      <w:bookmarkEnd w:id="215"/>
      <w:bookmarkEnd w:id="216"/>
      <w:bookmarkEnd w:id="217"/>
      <w:bookmarkEnd w:id="218"/>
      <w:bookmarkEnd w:id="219"/>
      <w:bookmarkEnd w:id="220"/>
      <w:r>
        <w:rPr>
          <w:rFonts w:hint="eastAsia" w:cs="Times New Roman"/>
          <w:color w:val="auto"/>
          <w:sz w:val="28"/>
          <w:szCs w:val="28"/>
          <w:lang w:val="en-US" w:eastAsia="zh-CN"/>
        </w:rPr>
        <w:t>筛选</w:t>
      </w:r>
      <w:bookmarkEnd w:id="221"/>
      <w:bookmarkEnd w:id="222"/>
    </w:p>
    <w:p w14:paraId="02550F60">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223" w:name="_Toc18447"/>
      <w:bookmarkStart w:id="224" w:name="_Toc4239"/>
      <w:bookmarkStart w:id="225" w:name="_Toc27742"/>
      <w:bookmarkStart w:id="226" w:name="_Toc943"/>
      <w:bookmarkStart w:id="227" w:name="_Toc8660"/>
      <w:bookmarkStart w:id="228" w:name="_Toc28968"/>
      <w:bookmarkStart w:id="229" w:name="_Toc8219"/>
      <w:bookmarkStart w:id="230" w:name="_Toc10217"/>
      <w:bookmarkStart w:id="231" w:name="_Toc11707"/>
      <w:bookmarkStart w:id="232" w:name="_Toc30417"/>
      <w:bookmarkStart w:id="233" w:name="_Toc16628_WPSOffice_Level3"/>
      <w:bookmarkStart w:id="234" w:name="_Toc30144"/>
      <w:bookmarkStart w:id="235" w:name="_Toc26241_WPSOffice_Level3"/>
      <w:bookmarkStart w:id="236" w:name="_Toc12824"/>
      <w:bookmarkStart w:id="237" w:name="_Toc4276"/>
      <w:r>
        <w:rPr>
          <w:rFonts w:hint="default" w:ascii="Times New Roman" w:hAnsi="Times New Roman" w:eastAsia="宋体" w:cs="Times New Roman"/>
          <w:color w:val="auto"/>
        </w:rPr>
        <w:t>2.2.1</w:t>
      </w:r>
      <w:r>
        <w:rPr>
          <w:rFonts w:hint="default" w:ascii="Times New Roman" w:hAnsi="Times New Roman" w:eastAsia="宋体" w:cs="Times New Roman"/>
          <w:color w:val="auto"/>
          <w:lang w:eastAsia="zh-CN"/>
        </w:rPr>
        <w:t>环境影响因素识别</w:t>
      </w:r>
      <w:bookmarkEnd w:id="223"/>
    </w:p>
    <w:p w14:paraId="576C4C8E">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采用矩阵识别法对拟建项目在施工期和运行期产生的环境影响因素进行识别，识别结果见表2.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-1和表2.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w:t>
      </w:r>
    </w:p>
    <w:p w14:paraId="3685AEA3">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  施工期环境影响因素识别矩阵</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33"/>
        <w:gridCol w:w="967"/>
        <w:gridCol w:w="1145"/>
        <w:gridCol w:w="780"/>
        <w:gridCol w:w="961"/>
        <w:gridCol w:w="961"/>
        <w:gridCol w:w="958"/>
        <w:gridCol w:w="961"/>
        <w:gridCol w:w="954"/>
      </w:tblGrid>
      <w:tr w14:paraId="3BDB5C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912" w:type="pct"/>
            <w:gridSpan w:val="2"/>
            <w:noWrap w:val="0"/>
            <w:tcMar>
              <w:top w:w="0" w:type="dxa"/>
              <w:left w:w="0" w:type="dxa"/>
              <w:bottom w:w="0" w:type="dxa"/>
              <w:right w:w="0" w:type="dxa"/>
            </w:tcMar>
            <w:vAlign w:val="center"/>
          </w:tcPr>
          <w:p w14:paraId="54645AC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时段</w:t>
            </w:r>
          </w:p>
        </w:tc>
        <w:tc>
          <w:tcPr>
            <w:tcW w:w="696" w:type="pct"/>
            <w:noWrap w:val="0"/>
            <w:tcMar>
              <w:top w:w="0" w:type="dxa"/>
              <w:left w:w="0" w:type="dxa"/>
              <w:bottom w:w="0" w:type="dxa"/>
              <w:right w:w="0" w:type="dxa"/>
            </w:tcMar>
            <w:vAlign w:val="center"/>
          </w:tcPr>
          <w:p w14:paraId="635B7B4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评价因子</w:t>
            </w:r>
          </w:p>
        </w:tc>
        <w:tc>
          <w:tcPr>
            <w:tcW w:w="474" w:type="pct"/>
            <w:noWrap w:val="0"/>
            <w:tcMar>
              <w:top w:w="0" w:type="dxa"/>
              <w:left w:w="0" w:type="dxa"/>
              <w:bottom w:w="0" w:type="dxa"/>
              <w:right w:w="0" w:type="dxa"/>
            </w:tcMar>
            <w:vAlign w:val="center"/>
          </w:tcPr>
          <w:p w14:paraId="4AFE761E">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性质</w:t>
            </w:r>
          </w:p>
        </w:tc>
        <w:tc>
          <w:tcPr>
            <w:tcW w:w="584" w:type="pct"/>
            <w:noWrap w:val="0"/>
            <w:tcMar>
              <w:top w:w="0" w:type="dxa"/>
              <w:left w:w="0" w:type="dxa"/>
              <w:bottom w:w="0" w:type="dxa"/>
              <w:right w:w="0" w:type="dxa"/>
            </w:tcMar>
            <w:vAlign w:val="center"/>
          </w:tcPr>
          <w:p w14:paraId="0B2C9277">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程度</w:t>
            </w:r>
          </w:p>
        </w:tc>
        <w:tc>
          <w:tcPr>
            <w:tcW w:w="584" w:type="pct"/>
            <w:noWrap w:val="0"/>
            <w:tcMar>
              <w:top w:w="0" w:type="dxa"/>
              <w:left w:w="0" w:type="dxa"/>
              <w:bottom w:w="0" w:type="dxa"/>
              <w:right w:w="0" w:type="dxa"/>
            </w:tcMar>
            <w:vAlign w:val="center"/>
          </w:tcPr>
          <w:p w14:paraId="239D7C5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时间</w:t>
            </w:r>
          </w:p>
        </w:tc>
        <w:tc>
          <w:tcPr>
            <w:tcW w:w="582" w:type="pct"/>
            <w:noWrap w:val="0"/>
            <w:tcMar>
              <w:top w:w="0" w:type="dxa"/>
              <w:left w:w="0" w:type="dxa"/>
              <w:bottom w:w="0" w:type="dxa"/>
              <w:right w:w="0" w:type="dxa"/>
            </w:tcMar>
            <w:vAlign w:val="center"/>
          </w:tcPr>
          <w:p w14:paraId="078FCF2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可能性</w:t>
            </w:r>
          </w:p>
        </w:tc>
        <w:tc>
          <w:tcPr>
            <w:tcW w:w="584" w:type="pct"/>
            <w:noWrap w:val="0"/>
            <w:tcMar>
              <w:top w:w="0" w:type="dxa"/>
              <w:left w:w="0" w:type="dxa"/>
              <w:bottom w:w="0" w:type="dxa"/>
              <w:right w:w="0" w:type="dxa"/>
            </w:tcMar>
            <w:vAlign w:val="center"/>
          </w:tcPr>
          <w:p w14:paraId="75DAE3E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范围</w:t>
            </w:r>
          </w:p>
        </w:tc>
        <w:tc>
          <w:tcPr>
            <w:tcW w:w="580" w:type="pct"/>
            <w:noWrap w:val="0"/>
            <w:tcMar>
              <w:top w:w="0" w:type="dxa"/>
              <w:left w:w="0" w:type="dxa"/>
              <w:bottom w:w="0" w:type="dxa"/>
              <w:right w:w="0" w:type="dxa"/>
            </w:tcMar>
            <w:vAlign w:val="center"/>
          </w:tcPr>
          <w:p w14:paraId="55D2468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可逆性</w:t>
            </w:r>
          </w:p>
        </w:tc>
      </w:tr>
      <w:tr w14:paraId="721F4E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restart"/>
            <w:noWrap w:val="0"/>
            <w:tcMar>
              <w:top w:w="0" w:type="dxa"/>
              <w:left w:w="0" w:type="dxa"/>
              <w:bottom w:w="0" w:type="dxa"/>
              <w:right w:w="0" w:type="dxa"/>
            </w:tcMar>
            <w:vAlign w:val="center"/>
          </w:tcPr>
          <w:p w14:paraId="7C5175A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施</w:t>
            </w:r>
          </w:p>
          <w:p w14:paraId="3FD61C3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工</w:t>
            </w:r>
          </w:p>
          <w:p w14:paraId="42F1F8F0">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期</w:t>
            </w:r>
          </w:p>
        </w:tc>
        <w:tc>
          <w:tcPr>
            <w:tcW w:w="587" w:type="pct"/>
            <w:vMerge w:val="restart"/>
            <w:noWrap w:val="0"/>
            <w:tcMar>
              <w:top w:w="0" w:type="dxa"/>
              <w:left w:w="0" w:type="dxa"/>
              <w:bottom w:w="0" w:type="dxa"/>
              <w:right w:w="0" w:type="dxa"/>
            </w:tcMar>
            <w:vAlign w:val="center"/>
          </w:tcPr>
          <w:p w14:paraId="6A730B0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自然环境</w:t>
            </w:r>
          </w:p>
        </w:tc>
        <w:tc>
          <w:tcPr>
            <w:tcW w:w="696" w:type="pct"/>
            <w:noWrap w:val="0"/>
            <w:tcMar>
              <w:top w:w="0" w:type="dxa"/>
              <w:left w:w="0" w:type="dxa"/>
              <w:bottom w:w="0" w:type="dxa"/>
              <w:right w:w="0" w:type="dxa"/>
            </w:tcMar>
            <w:vAlign w:val="center"/>
          </w:tcPr>
          <w:p w14:paraId="0501A977">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地表水</w:t>
            </w:r>
          </w:p>
        </w:tc>
        <w:tc>
          <w:tcPr>
            <w:tcW w:w="474" w:type="pct"/>
            <w:noWrap w:val="0"/>
            <w:tcMar>
              <w:top w:w="0" w:type="dxa"/>
              <w:left w:w="0" w:type="dxa"/>
              <w:bottom w:w="0" w:type="dxa"/>
              <w:right w:w="0" w:type="dxa"/>
            </w:tcMar>
            <w:vAlign w:val="center"/>
          </w:tcPr>
          <w:p w14:paraId="29C524A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0D52E298">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84" w:type="pct"/>
            <w:noWrap w:val="0"/>
            <w:tcMar>
              <w:top w:w="0" w:type="dxa"/>
              <w:left w:w="0" w:type="dxa"/>
              <w:bottom w:w="0" w:type="dxa"/>
              <w:right w:w="0" w:type="dxa"/>
            </w:tcMar>
            <w:vAlign w:val="center"/>
          </w:tcPr>
          <w:p w14:paraId="7BBE22B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70BFC0F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76D449C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73647E50">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1E14BC5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continue"/>
            <w:noWrap w:val="0"/>
            <w:tcMar>
              <w:top w:w="0" w:type="dxa"/>
              <w:left w:w="0" w:type="dxa"/>
              <w:bottom w:w="0" w:type="dxa"/>
              <w:right w:w="0" w:type="dxa"/>
            </w:tcMar>
            <w:vAlign w:val="center"/>
          </w:tcPr>
          <w:p w14:paraId="3B92DE64">
            <w:pPr>
              <w:pStyle w:val="5"/>
              <w:bidi w:val="0"/>
              <w:rPr>
                <w:rFonts w:hint="default" w:ascii="Times New Roman" w:hAnsi="Times New Roman" w:eastAsia="宋体" w:cs="Times New Roman"/>
                <w:color w:val="auto"/>
              </w:rPr>
            </w:pPr>
          </w:p>
        </w:tc>
        <w:tc>
          <w:tcPr>
            <w:tcW w:w="587" w:type="pct"/>
            <w:vMerge w:val="continue"/>
            <w:noWrap w:val="0"/>
            <w:tcMar>
              <w:top w:w="0" w:type="dxa"/>
              <w:left w:w="0" w:type="dxa"/>
              <w:bottom w:w="0" w:type="dxa"/>
              <w:right w:w="0" w:type="dxa"/>
            </w:tcMar>
            <w:vAlign w:val="center"/>
          </w:tcPr>
          <w:p w14:paraId="55EC6D86">
            <w:pPr>
              <w:pStyle w:val="5"/>
              <w:bidi w:val="0"/>
              <w:rPr>
                <w:rFonts w:hint="default" w:ascii="Times New Roman" w:hAnsi="Times New Roman" w:eastAsia="宋体" w:cs="Times New Roman"/>
                <w:color w:val="auto"/>
              </w:rPr>
            </w:pPr>
          </w:p>
        </w:tc>
        <w:tc>
          <w:tcPr>
            <w:tcW w:w="696" w:type="pct"/>
            <w:noWrap w:val="0"/>
            <w:tcMar>
              <w:top w:w="0" w:type="dxa"/>
              <w:left w:w="0" w:type="dxa"/>
              <w:bottom w:w="0" w:type="dxa"/>
              <w:right w:w="0" w:type="dxa"/>
            </w:tcMar>
            <w:vAlign w:val="center"/>
          </w:tcPr>
          <w:p w14:paraId="61DD871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环境空气</w:t>
            </w:r>
          </w:p>
        </w:tc>
        <w:tc>
          <w:tcPr>
            <w:tcW w:w="474" w:type="pct"/>
            <w:noWrap w:val="0"/>
            <w:tcMar>
              <w:top w:w="0" w:type="dxa"/>
              <w:left w:w="0" w:type="dxa"/>
              <w:bottom w:w="0" w:type="dxa"/>
              <w:right w:w="0" w:type="dxa"/>
            </w:tcMar>
            <w:vAlign w:val="center"/>
          </w:tcPr>
          <w:p w14:paraId="16474FE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3926073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84" w:type="pct"/>
            <w:noWrap w:val="0"/>
            <w:tcMar>
              <w:top w:w="0" w:type="dxa"/>
              <w:left w:w="0" w:type="dxa"/>
              <w:bottom w:w="0" w:type="dxa"/>
              <w:right w:w="0" w:type="dxa"/>
            </w:tcMar>
            <w:vAlign w:val="center"/>
          </w:tcPr>
          <w:p w14:paraId="682263E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2F261F5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7493C60E">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039724D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5CE5D9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continue"/>
            <w:noWrap w:val="0"/>
            <w:tcMar>
              <w:top w:w="0" w:type="dxa"/>
              <w:left w:w="0" w:type="dxa"/>
              <w:bottom w:w="0" w:type="dxa"/>
              <w:right w:w="0" w:type="dxa"/>
            </w:tcMar>
            <w:vAlign w:val="center"/>
          </w:tcPr>
          <w:p w14:paraId="49C81BA7">
            <w:pPr>
              <w:pStyle w:val="5"/>
              <w:bidi w:val="0"/>
              <w:rPr>
                <w:rFonts w:hint="default" w:ascii="Times New Roman" w:hAnsi="Times New Roman" w:eastAsia="宋体" w:cs="Times New Roman"/>
                <w:color w:val="auto"/>
              </w:rPr>
            </w:pPr>
          </w:p>
        </w:tc>
        <w:tc>
          <w:tcPr>
            <w:tcW w:w="587" w:type="pct"/>
            <w:vMerge w:val="continue"/>
            <w:noWrap w:val="0"/>
            <w:tcMar>
              <w:top w:w="0" w:type="dxa"/>
              <w:left w:w="0" w:type="dxa"/>
              <w:bottom w:w="0" w:type="dxa"/>
              <w:right w:w="0" w:type="dxa"/>
            </w:tcMar>
            <w:vAlign w:val="center"/>
          </w:tcPr>
          <w:p w14:paraId="1720B4E0">
            <w:pPr>
              <w:pStyle w:val="5"/>
              <w:bidi w:val="0"/>
              <w:rPr>
                <w:rFonts w:hint="default" w:ascii="Times New Roman" w:hAnsi="Times New Roman" w:eastAsia="宋体" w:cs="Times New Roman"/>
                <w:color w:val="auto"/>
              </w:rPr>
            </w:pPr>
          </w:p>
        </w:tc>
        <w:tc>
          <w:tcPr>
            <w:tcW w:w="696" w:type="pct"/>
            <w:noWrap w:val="0"/>
            <w:tcMar>
              <w:top w:w="0" w:type="dxa"/>
              <w:left w:w="0" w:type="dxa"/>
              <w:bottom w:w="0" w:type="dxa"/>
              <w:right w:w="0" w:type="dxa"/>
            </w:tcMar>
            <w:vAlign w:val="center"/>
          </w:tcPr>
          <w:p w14:paraId="77C52F1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474" w:type="pct"/>
            <w:noWrap w:val="0"/>
            <w:tcMar>
              <w:top w:w="0" w:type="dxa"/>
              <w:left w:w="0" w:type="dxa"/>
              <w:bottom w:w="0" w:type="dxa"/>
              <w:right w:w="0" w:type="dxa"/>
            </w:tcMar>
            <w:vAlign w:val="center"/>
          </w:tcPr>
          <w:p w14:paraId="7CA472D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5B08E20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14F173D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7077546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13165F1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4995916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7956F7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continue"/>
            <w:noWrap w:val="0"/>
            <w:tcMar>
              <w:top w:w="0" w:type="dxa"/>
              <w:left w:w="0" w:type="dxa"/>
              <w:bottom w:w="0" w:type="dxa"/>
              <w:right w:w="0" w:type="dxa"/>
            </w:tcMar>
            <w:vAlign w:val="center"/>
          </w:tcPr>
          <w:p w14:paraId="57ACA31C">
            <w:pPr>
              <w:pStyle w:val="5"/>
              <w:bidi w:val="0"/>
              <w:rPr>
                <w:rFonts w:hint="default" w:ascii="Times New Roman" w:hAnsi="Times New Roman" w:eastAsia="宋体" w:cs="Times New Roman"/>
                <w:color w:val="auto"/>
              </w:rPr>
            </w:pPr>
          </w:p>
        </w:tc>
        <w:tc>
          <w:tcPr>
            <w:tcW w:w="587" w:type="pct"/>
            <w:vMerge w:val="continue"/>
            <w:noWrap w:val="0"/>
            <w:tcMar>
              <w:top w:w="0" w:type="dxa"/>
              <w:left w:w="0" w:type="dxa"/>
              <w:bottom w:w="0" w:type="dxa"/>
              <w:right w:w="0" w:type="dxa"/>
            </w:tcMar>
            <w:vAlign w:val="center"/>
          </w:tcPr>
          <w:p w14:paraId="6D62EAAF">
            <w:pPr>
              <w:pStyle w:val="5"/>
              <w:bidi w:val="0"/>
              <w:rPr>
                <w:rFonts w:hint="default" w:ascii="Times New Roman" w:hAnsi="Times New Roman" w:eastAsia="宋体" w:cs="Times New Roman"/>
                <w:color w:val="auto"/>
              </w:rPr>
            </w:pPr>
          </w:p>
        </w:tc>
        <w:tc>
          <w:tcPr>
            <w:tcW w:w="696" w:type="pct"/>
            <w:noWrap w:val="0"/>
            <w:tcMar>
              <w:top w:w="0" w:type="dxa"/>
              <w:left w:w="0" w:type="dxa"/>
              <w:bottom w:w="0" w:type="dxa"/>
              <w:right w:w="0" w:type="dxa"/>
            </w:tcMar>
            <w:vAlign w:val="center"/>
          </w:tcPr>
          <w:p w14:paraId="5837477E">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474" w:type="pct"/>
            <w:noWrap w:val="0"/>
            <w:tcMar>
              <w:top w:w="0" w:type="dxa"/>
              <w:left w:w="0" w:type="dxa"/>
              <w:bottom w:w="0" w:type="dxa"/>
              <w:right w:w="0" w:type="dxa"/>
            </w:tcMar>
            <w:vAlign w:val="center"/>
          </w:tcPr>
          <w:p w14:paraId="4CB6F3B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7F7F549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84" w:type="pct"/>
            <w:noWrap w:val="0"/>
            <w:tcMar>
              <w:top w:w="0" w:type="dxa"/>
              <w:left w:w="0" w:type="dxa"/>
              <w:bottom w:w="0" w:type="dxa"/>
              <w:right w:w="0" w:type="dxa"/>
            </w:tcMar>
            <w:vAlign w:val="center"/>
          </w:tcPr>
          <w:p w14:paraId="0E264CA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7B68583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04CFB00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5813FFF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4A4DBB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continue"/>
            <w:noWrap w:val="0"/>
            <w:tcMar>
              <w:top w:w="0" w:type="dxa"/>
              <w:left w:w="0" w:type="dxa"/>
              <w:bottom w:w="0" w:type="dxa"/>
              <w:right w:w="0" w:type="dxa"/>
            </w:tcMar>
            <w:vAlign w:val="center"/>
          </w:tcPr>
          <w:p w14:paraId="240E3E4A">
            <w:pPr>
              <w:pStyle w:val="5"/>
              <w:bidi w:val="0"/>
              <w:rPr>
                <w:rFonts w:hint="default" w:ascii="Times New Roman" w:hAnsi="Times New Roman" w:eastAsia="宋体" w:cs="Times New Roman"/>
                <w:color w:val="auto"/>
              </w:rPr>
            </w:pPr>
          </w:p>
        </w:tc>
        <w:tc>
          <w:tcPr>
            <w:tcW w:w="587" w:type="pct"/>
            <w:vMerge w:val="continue"/>
            <w:noWrap w:val="0"/>
            <w:tcMar>
              <w:top w:w="0" w:type="dxa"/>
              <w:left w:w="0" w:type="dxa"/>
              <w:bottom w:w="0" w:type="dxa"/>
              <w:right w:w="0" w:type="dxa"/>
            </w:tcMar>
            <w:vAlign w:val="center"/>
          </w:tcPr>
          <w:p w14:paraId="66D8CB21">
            <w:pPr>
              <w:pStyle w:val="5"/>
              <w:bidi w:val="0"/>
              <w:rPr>
                <w:rFonts w:hint="default" w:ascii="Times New Roman" w:hAnsi="Times New Roman" w:eastAsia="宋体" w:cs="Times New Roman"/>
                <w:color w:val="auto"/>
              </w:rPr>
            </w:pPr>
          </w:p>
        </w:tc>
        <w:tc>
          <w:tcPr>
            <w:tcW w:w="696" w:type="pct"/>
            <w:noWrap w:val="0"/>
            <w:tcMar>
              <w:top w:w="0" w:type="dxa"/>
              <w:left w:w="0" w:type="dxa"/>
              <w:bottom w:w="0" w:type="dxa"/>
              <w:right w:w="0" w:type="dxa"/>
            </w:tcMar>
            <w:vAlign w:val="center"/>
          </w:tcPr>
          <w:p w14:paraId="6D6ED926">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474" w:type="pct"/>
            <w:noWrap w:val="0"/>
            <w:tcMar>
              <w:top w:w="0" w:type="dxa"/>
              <w:left w:w="0" w:type="dxa"/>
              <w:bottom w:w="0" w:type="dxa"/>
              <w:right w:w="0" w:type="dxa"/>
            </w:tcMar>
            <w:vAlign w:val="center"/>
          </w:tcPr>
          <w:p w14:paraId="6F28C18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12F0AE1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84" w:type="pct"/>
            <w:noWrap w:val="0"/>
            <w:tcMar>
              <w:top w:w="0" w:type="dxa"/>
              <w:left w:w="0" w:type="dxa"/>
              <w:bottom w:w="0" w:type="dxa"/>
              <w:right w:w="0" w:type="dxa"/>
            </w:tcMar>
            <w:vAlign w:val="center"/>
          </w:tcPr>
          <w:p w14:paraId="47F6C76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65CD834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7C43694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4763DE9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6CC316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4" w:type="pct"/>
            <w:vMerge w:val="continue"/>
            <w:noWrap w:val="0"/>
            <w:tcMar>
              <w:top w:w="0" w:type="dxa"/>
              <w:left w:w="0" w:type="dxa"/>
              <w:bottom w:w="0" w:type="dxa"/>
              <w:right w:w="0" w:type="dxa"/>
            </w:tcMar>
            <w:vAlign w:val="center"/>
          </w:tcPr>
          <w:p w14:paraId="121338C3">
            <w:pPr>
              <w:pStyle w:val="5"/>
              <w:bidi w:val="0"/>
              <w:rPr>
                <w:rFonts w:hint="default" w:ascii="Times New Roman" w:hAnsi="Times New Roman" w:eastAsia="宋体" w:cs="Times New Roman"/>
                <w:color w:val="auto"/>
              </w:rPr>
            </w:pPr>
          </w:p>
        </w:tc>
        <w:tc>
          <w:tcPr>
            <w:tcW w:w="587" w:type="pct"/>
            <w:noWrap w:val="0"/>
            <w:tcMar>
              <w:top w:w="0" w:type="dxa"/>
              <w:left w:w="0" w:type="dxa"/>
              <w:bottom w:w="0" w:type="dxa"/>
              <w:right w:w="0" w:type="dxa"/>
            </w:tcMar>
            <w:vAlign w:val="center"/>
          </w:tcPr>
          <w:p w14:paraId="1DDF8BF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社会环境</w:t>
            </w:r>
          </w:p>
        </w:tc>
        <w:tc>
          <w:tcPr>
            <w:tcW w:w="696" w:type="pct"/>
            <w:noWrap w:val="0"/>
            <w:tcMar>
              <w:top w:w="0" w:type="dxa"/>
              <w:left w:w="0" w:type="dxa"/>
              <w:bottom w:w="0" w:type="dxa"/>
              <w:right w:w="0" w:type="dxa"/>
            </w:tcMar>
            <w:vAlign w:val="center"/>
          </w:tcPr>
          <w:p w14:paraId="3C71DCF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社会经济</w:t>
            </w:r>
          </w:p>
        </w:tc>
        <w:tc>
          <w:tcPr>
            <w:tcW w:w="474" w:type="pct"/>
            <w:noWrap w:val="0"/>
            <w:tcMar>
              <w:top w:w="0" w:type="dxa"/>
              <w:left w:w="0" w:type="dxa"/>
              <w:bottom w:w="0" w:type="dxa"/>
              <w:right w:w="0" w:type="dxa"/>
            </w:tcMar>
            <w:vAlign w:val="center"/>
          </w:tcPr>
          <w:p w14:paraId="2D1925C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84" w:type="pct"/>
            <w:noWrap w:val="0"/>
            <w:tcMar>
              <w:top w:w="0" w:type="dxa"/>
              <w:left w:w="0" w:type="dxa"/>
              <w:bottom w:w="0" w:type="dxa"/>
              <w:right w:w="0" w:type="dxa"/>
            </w:tcMar>
            <w:vAlign w:val="center"/>
          </w:tcPr>
          <w:p w14:paraId="34BAB046">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84" w:type="pct"/>
            <w:noWrap w:val="0"/>
            <w:tcMar>
              <w:top w:w="0" w:type="dxa"/>
              <w:left w:w="0" w:type="dxa"/>
              <w:bottom w:w="0" w:type="dxa"/>
              <w:right w:w="0" w:type="dxa"/>
            </w:tcMar>
            <w:vAlign w:val="center"/>
          </w:tcPr>
          <w:p w14:paraId="4D0B7FB4">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短</w:t>
            </w:r>
          </w:p>
        </w:tc>
        <w:tc>
          <w:tcPr>
            <w:tcW w:w="582" w:type="pct"/>
            <w:noWrap w:val="0"/>
            <w:tcMar>
              <w:top w:w="0" w:type="dxa"/>
              <w:left w:w="0" w:type="dxa"/>
              <w:bottom w:w="0" w:type="dxa"/>
              <w:right w:w="0" w:type="dxa"/>
            </w:tcMar>
            <w:vAlign w:val="center"/>
          </w:tcPr>
          <w:p w14:paraId="2C26D7CE">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84" w:type="pct"/>
            <w:noWrap w:val="0"/>
            <w:tcMar>
              <w:top w:w="0" w:type="dxa"/>
              <w:left w:w="0" w:type="dxa"/>
              <w:bottom w:w="0" w:type="dxa"/>
              <w:right w:w="0" w:type="dxa"/>
            </w:tcMar>
            <w:vAlign w:val="center"/>
          </w:tcPr>
          <w:p w14:paraId="3A52C6F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80" w:type="pct"/>
            <w:noWrap w:val="0"/>
            <w:tcMar>
              <w:top w:w="0" w:type="dxa"/>
              <w:left w:w="0" w:type="dxa"/>
              <w:bottom w:w="0" w:type="dxa"/>
              <w:right w:w="0" w:type="dxa"/>
            </w:tcMar>
            <w:vAlign w:val="center"/>
          </w:tcPr>
          <w:p w14:paraId="14D99BE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bl>
    <w:p w14:paraId="54B3B5DB">
      <w:pPr>
        <w:pStyle w:val="5"/>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注：“＋”为有利影响，“-” 为不利影响。</w:t>
      </w:r>
    </w:p>
    <w:p w14:paraId="4EA14C37">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-2  运行期环境影响因素识别矩阵</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13"/>
        <w:gridCol w:w="1100"/>
        <w:gridCol w:w="1268"/>
        <w:gridCol w:w="795"/>
        <w:gridCol w:w="813"/>
        <w:gridCol w:w="862"/>
        <w:gridCol w:w="920"/>
        <w:gridCol w:w="867"/>
        <w:gridCol w:w="982"/>
      </w:tblGrid>
      <w:tr w14:paraId="783951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tblHeader/>
          <w:jc w:val="center"/>
        </w:trPr>
        <w:tc>
          <w:tcPr>
            <w:tcW w:w="1042" w:type="pct"/>
            <w:gridSpan w:val="2"/>
            <w:noWrap w:val="0"/>
            <w:tcMar>
              <w:top w:w="0" w:type="dxa"/>
              <w:left w:w="0" w:type="dxa"/>
              <w:bottom w:w="0" w:type="dxa"/>
              <w:right w:w="0" w:type="dxa"/>
            </w:tcMar>
            <w:vAlign w:val="center"/>
          </w:tcPr>
          <w:p w14:paraId="34245718">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时段</w:t>
            </w:r>
          </w:p>
        </w:tc>
        <w:tc>
          <w:tcPr>
            <w:tcW w:w="771" w:type="pct"/>
            <w:noWrap w:val="0"/>
            <w:tcMar>
              <w:top w:w="0" w:type="dxa"/>
              <w:left w:w="0" w:type="dxa"/>
              <w:bottom w:w="0" w:type="dxa"/>
              <w:right w:w="0" w:type="dxa"/>
            </w:tcMar>
            <w:vAlign w:val="center"/>
          </w:tcPr>
          <w:p w14:paraId="35911127">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评价因子</w:t>
            </w:r>
          </w:p>
        </w:tc>
        <w:tc>
          <w:tcPr>
            <w:tcW w:w="483" w:type="pct"/>
            <w:noWrap w:val="0"/>
            <w:tcMar>
              <w:top w:w="0" w:type="dxa"/>
              <w:left w:w="0" w:type="dxa"/>
              <w:bottom w:w="0" w:type="dxa"/>
              <w:right w:w="0" w:type="dxa"/>
            </w:tcMar>
            <w:vAlign w:val="center"/>
          </w:tcPr>
          <w:p w14:paraId="0998A93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性质</w:t>
            </w:r>
          </w:p>
        </w:tc>
        <w:tc>
          <w:tcPr>
            <w:tcW w:w="494" w:type="pct"/>
            <w:noWrap w:val="0"/>
            <w:tcMar>
              <w:top w:w="0" w:type="dxa"/>
              <w:left w:w="0" w:type="dxa"/>
              <w:bottom w:w="0" w:type="dxa"/>
              <w:right w:w="0" w:type="dxa"/>
            </w:tcMar>
            <w:vAlign w:val="center"/>
          </w:tcPr>
          <w:p w14:paraId="70141CAE">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程度</w:t>
            </w:r>
          </w:p>
        </w:tc>
        <w:tc>
          <w:tcPr>
            <w:tcW w:w="524" w:type="pct"/>
            <w:noWrap w:val="0"/>
            <w:tcMar>
              <w:top w:w="0" w:type="dxa"/>
              <w:left w:w="0" w:type="dxa"/>
              <w:bottom w:w="0" w:type="dxa"/>
              <w:right w:w="0" w:type="dxa"/>
            </w:tcMar>
            <w:vAlign w:val="center"/>
          </w:tcPr>
          <w:p w14:paraId="6EE744D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时间</w:t>
            </w:r>
          </w:p>
        </w:tc>
        <w:tc>
          <w:tcPr>
            <w:tcW w:w="559" w:type="pct"/>
            <w:noWrap w:val="0"/>
            <w:tcMar>
              <w:top w:w="0" w:type="dxa"/>
              <w:left w:w="0" w:type="dxa"/>
              <w:bottom w:w="0" w:type="dxa"/>
              <w:right w:w="0" w:type="dxa"/>
            </w:tcMar>
            <w:vAlign w:val="center"/>
          </w:tcPr>
          <w:p w14:paraId="16D84E3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可能性</w:t>
            </w:r>
          </w:p>
        </w:tc>
        <w:tc>
          <w:tcPr>
            <w:tcW w:w="527" w:type="pct"/>
            <w:noWrap w:val="0"/>
            <w:tcMar>
              <w:top w:w="0" w:type="dxa"/>
              <w:left w:w="0" w:type="dxa"/>
              <w:bottom w:w="0" w:type="dxa"/>
              <w:right w:w="0" w:type="dxa"/>
            </w:tcMar>
            <w:vAlign w:val="center"/>
          </w:tcPr>
          <w:p w14:paraId="6052FAA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范围</w:t>
            </w:r>
          </w:p>
        </w:tc>
        <w:tc>
          <w:tcPr>
            <w:tcW w:w="597" w:type="pct"/>
            <w:noWrap w:val="0"/>
            <w:tcMar>
              <w:top w:w="0" w:type="dxa"/>
              <w:left w:w="0" w:type="dxa"/>
              <w:bottom w:w="0" w:type="dxa"/>
              <w:right w:w="0" w:type="dxa"/>
            </w:tcMar>
            <w:vAlign w:val="center"/>
          </w:tcPr>
          <w:p w14:paraId="2B2C3E7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可逆性</w:t>
            </w:r>
          </w:p>
        </w:tc>
      </w:tr>
      <w:tr w14:paraId="58EF4C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restart"/>
            <w:noWrap w:val="0"/>
            <w:tcMar>
              <w:top w:w="0" w:type="dxa"/>
              <w:left w:w="0" w:type="dxa"/>
              <w:bottom w:w="0" w:type="dxa"/>
              <w:right w:w="0" w:type="dxa"/>
            </w:tcMar>
            <w:vAlign w:val="center"/>
          </w:tcPr>
          <w:p w14:paraId="1CBC2A6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运行期</w:t>
            </w:r>
          </w:p>
        </w:tc>
        <w:tc>
          <w:tcPr>
            <w:tcW w:w="669" w:type="pct"/>
            <w:vMerge w:val="restart"/>
            <w:noWrap w:val="0"/>
            <w:tcMar>
              <w:top w:w="0" w:type="dxa"/>
              <w:left w:w="0" w:type="dxa"/>
              <w:bottom w:w="0" w:type="dxa"/>
              <w:right w:w="0" w:type="dxa"/>
            </w:tcMar>
            <w:vAlign w:val="center"/>
          </w:tcPr>
          <w:p w14:paraId="731C9C7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自然环境</w:t>
            </w:r>
          </w:p>
        </w:tc>
        <w:tc>
          <w:tcPr>
            <w:tcW w:w="771" w:type="pct"/>
            <w:noWrap w:val="0"/>
            <w:tcMar>
              <w:top w:w="0" w:type="dxa"/>
              <w:left w:w="0" w:type="dxa"/>
              <w:bottom w:w="0" w:type="dxa"/>
              <w:right w:w="0" w:type="dxa"/>
            </w:tcMar>
            <w:vAlign w:val="center"/>
          </w:tcPr>
          <w:p w14:paraId="2A8DAD5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环境空气</w:t>
            </w:r>
          </w:p>
        </w:tc>
        <w:tc>
          <w:tcPr>
            <w:tcW w:w="483" w:type="pct"/>
            <w:noWrap w:val="0"/>
            <w:tcMar>
              <w:top w:w="0" w:type="dxa"/>
              <w:left w:w="0" w:type="dxa"/>
              <w:bottom w:w="0" w:type="dxa"/>
              <w:right w:w="0" w:type="dxa"/>
            </w:tcMar>
            <w:vAlign w:val="center"/>
          </w:tcPr>
          <w:p w14:paraId="0E8B89F6">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5881262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38A7F75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3DFE2FC0">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4C8B7DB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5ACF879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56974E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57C03C8F">
            <w:pPr>
              <w:pStyle w:val="5"/>
              <w:bidi w:val="0"/>
              <w:rPr>
                <w:rFonts w:hint="default" w:ascii="Times New Roman" w:hAnsi="Times New Roman" w:eastAsia="宋体" w:cs="Times New Roman"/>
                <w:color w:val="auto"/>
              </w:rPr>
            </w:pPr>
          </w:p>
        </w:tc>
        <w:tc>
          <w:tcPr>
            <w:tcW w:w="669" w:type="pct"/>
            <w:vMerge w:val="continue"/>
            <w:noWrap w:val="0"/>
            <w:tcMar>
              <w:top w:w="0" w:type="dxa"/>
              <w:left w:w="0" w:type="dxa"/>
              <w:bottom w:w="0" w:type="dxa"/>
              <w:right w:w="0" w:type="dxa"/>
            </w:tcMar>
            <w:vAlign w:val="center"/>
          </w:tcPr>
          <w:p w14:paraId="301EFC3A">
            <w:pPr>
              <w:pStyle w:val="5"/>
              <w:bidi w:val="0"/>
              <w:rPr>
                <w:rFonts w:hint="default" w:ascii="Times New Roman" w:hAnsi="Times New Roman" w:eastAsia="宋体" w:cs="Times New Roman"/>
                <w:color w:val="auto"/>
              </w:rPr>
            </w:pPr>
          </w:p>
        </w:tc>
        <w:tc>
          <w:tcPr>
            <w:tcW w:w="771" w:type="pct"/>
            <w:noWrap w:val="0"/>
            <w:tcMar>
              <w:top w:w="0" w:type="dxa"/>
              <w:left w:w="0" w:type="dxa"/>
              <w:bottom w:w="0" w:type="dxa"/>
              <w:right w:w="0" w:type="dxa"/>
            </w:tcMar>
            <w:vAlign w:val="center"/>
          </w:tcPr>
          <w:p w14:paraId="60FD1F64">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地表水</w:t>
            </w:r>
          </w:p>
        </w:tc>
        <w:tc>
          <w:tcPr>
            <w:tcW w:w="483" w:type="pct"/>
            <w:noWrap w:val="0"/>
            <w:tcMar>
              <w:top w:w="0" w:type="dxa"/>
              <w:left w:w="0" w:type="dxa"/>
              <w:bottom w:w="0" w:type="dxa"/>
              <w:right w:w="0" w:type="dxa"/>
            </w:tcMar>
            <w:vAlign w:val="center"/>
          </w:tcPr>
          <w:p w14:paraId="3D5FE506">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37CC776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70EC1AF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36F03B67">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3AB1A49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038B4A3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6CE0AB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727385E1">
            <w:pPr>
              <w:pStyle w:val="5"/>
              <w:bidi w:val="0"/>
              <w:rPr>
                <w:rFonts w:hint="default" w:ascii="Times New Roman" w:hAnsi="Times New Roman" w:eastAsia="宋体" w:cs="Times New Roman"/>
                <w:color w:val="auto"/>
              </w:rPr>
            </w:pPr>
          </w:p>
        </w:tc>
        <w:tc>
          <w:tcPr>
            <w:tcW w:w="669" w:type="pct"/>
            <w:vMerge w:val="continue"/>
            <w:noWrap w:val="0"/>
            <w:tcMar>
              <w:top w:w="0" w:type="dxa"/>
              <w:left w:w="0" w:type="dxa"/>
              <w:bottom w:w="0" w:type="dxa"/>
              <w:right w:w="0" w:type="dxa"/>
            </w:tcMar>
            <w:vAlign w:val="center"/>
          </w:tcPr>
          <w:p w14:paraId="3140BA59">
            <w:pPr>
              <w:pStyle w:val="5"/>
              <w:bidi w:val="0"/>
              <w:rPr>
                <w:rFonts w:hint="default" w:ascii="Times New Roman" w:hAnsi="Times New Roman" w:eastAsia="宋体" w:cs="Times New Roman"/>
                <w:color w:val="auto"/>
              </w:rPr>
            </w:pPr>
          </w:p>
        </w:tc>
        <w:tc>
          <w:tcPr>
            <w:tcW w:w="771" w:type="pct"/>
            <w:noWrap w:val="0"/>
            <w:tcMar>
              <w:top w:w="0" w:type="dxa"/>
              <w:left w:w="0" w:type="dxa"/>
              <w:bottom w:w="0" w:type="dxa"/>
              <w:right w:w="0" w:type="dxa"/>
            </w:tcMar>
            <w:vAlign w:val="center"/>
          </w:tcPr>
          <w:p w14:paraId="4015913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483" w:type="pct"/>
            <w:noWrap w:val="0"/>
            <w:tcMar>
              <w:top w:w="0" w:type="dxa"/>
              <w:left w:w="0" w:type="dxa"/>
              <w:bottom w:w="0" w:type="dxa"/>
              <w:right w:w="0" w:type="dxa"/>
            </w:tcMar>
            <w:vAlign w:val="center"/>
          </w:tcPr>
          <w:p w14:paraId="0B1C5A6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284DC8D6">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704AC284">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26E3EAF7">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4897C55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496C5020">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34F678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69A60A8F">
            <w:pPr>
              <w:pStyle w:val="5"/>
              <w:bidi w:val="0"/>
              <w:rPr>
                <w:rFonts w:hint="default" w:ascii="Times New Roman" w:hAnsi="Times New Roman" w:eastAsia="宋体" w:cs="Times New Roman"/>
                <w:color w:val="auto"/>
              </w:rPr>
            </w:pPr>
          </w:p>
        </w:tc>
        <w:tc>
          <w:tcPr>
            <w:tcW w:w="669" w:type="pct"/>
            <w:vMerge w:val="continue"/>
            <w:noWrap w:val="0"/>
            <w:tcMar>
              <w:top w:w="0" w:type="dxa"/>
              <w:left w:w="0" w:type="dxa"/>
              <w:bottom w:w="0" w:type="dxa"/>
              <w:right w:w="0" w:type="dxa"/>
            </w:tcMar>
            <w:vAlign w:val="center"/>
          </w:tcPr>
          <w:p w14:paraId="3D38BB79">
            <w:pPr>
              <w:pStyle w:val="5"/>
              <w:bidi w:val="0"/>
              <w:rPr>
                <w:rFonts w:hint="default" w:ascii="Times New Roman" w:hAnsi="Times New Roman" w:eastAsia="宋体" w:cs="Times New Roman"/>
                <w:color w:val="auto"/>
              </w:rPr>
            </w:pPr>
          </w:p>
        </w:tc>
        <w:tc>
          <w:tcPr>
            <w:tcW w:w="771" w:type="pct"/>
            <w:noWrap w:val="0"/>
            <w:tcMar>
              <w:top w:w="0" w:type="dxa"/>
              <w:left w:w="0" w:type="dxa"/>
              <w:bottom w:w="0" w:type="dxa"/>
              <w:right w:w="0" w:type="dxa"/>
            </w:tcMar>
            <w:vAlign w:val="center"/>
          </w:tcPr>
          <w:p w14:paraId="4643CF8B">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483" w:type="pct"/>
            <w:noWrap w:val="0"/>
            <w:tcMar>
              <w:top w:w="0" w:type="dxa"/>
              <w:left w:w="0" w:type="dxa"/>
              <w:bottom w:w="0" w:type="dxa"/>
              <w:right w:w="0" w:type="dxa"/>
            </w:tcMar>
            <w:vAlign w:val="center"/>
          </w:tcPr>
          <w:p w14:paraId="578CDB7D">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578A2CD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2293E270">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15A5321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576E8624">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1FAB56B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460A53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48D4B4E6">
            <w:pPr>
              <w:pStyle w:val="5"/>
              <w:bidi w:val="0"/>
              <w:rPr>
                <w:rFonts w:hint="default" w:ascii="Times New Roman" w:hAnsi="Times New Roman" w:eastAsia="宋体" w:cs="Times New Roman"/>
                <w:color w:val="auto"/>
              </w:rPr>
            </w:pPr>
          </w:p>
        </w:tc>
        <w:tc>
          <w:tcPr>
            <w:tcW w:w="669" w:type="pct"/>
            <w:vMerge w:val="continue"/>
            <w:noWrap w:val="0"/>
            <w:tcMar>
              <w:top w:w="0" w:type="dxa"/>
              <w:left w:w="0" w:type="dxa"/>
              <w:bottom w:w="0" w:type="dxa"/>
              <w:right w:w="0" w:type="dxa"/>
            </w:tcMar>
            <w:vAlign w:val="center"/>
          </w:tcPr>
          <w:p w14:paraId="7B9874B9">
            <w:pPr>
              <w:pStyle w:val="5"/>
              <w:bidi w:val="0"/>
              <w:rPr>
                <w:rFonts w:hint="default" w:ascii="Times New Roman" w:hAnsi="Times New Roman" w:eastAsia="宋体" w:cs="Times New Roman"/>
                <w:color w:val="auto"/>
              </w:rPr>
            </w:pPr>
          </w:p>
        </w:tc>
        <w:tc>
          <w:tcPr>
            <w:tcW w:w="771" w:type="pct"/>
            <w:noWrap w:val="0"/>
            <w:tcMar>
              <w:top w:w="0" w:type="dxa"/>
              <w:left w:w="0" w:type="dxa"/>
              <w:bottom w:w="0" w:type="dxa"/>
              <w:right w:w="0" w:type="dxa"/>
            </w:tcMar>
            <w:vAlign w:val="center"/>
          </w:tcPr>
          <w:p w14:paraId="6789951A">
            <w:pPr>
              <w:pStyle w:val="5"/>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483" w:type="pct"/>
            <w:noWrap w:val="0"/>
            <w:tcMar>
              <w:top w:w="0" w:type="dxa"/>
              <w:left w:w="0" w:type="dxa"/>
              <w:bottom w:w="0" w:type="dxa"/>
              <w:right w:w="0" w:type="dxa"/>
            </w:tcMar>
            <w:vAlign w:val="center"/>
          </w:tcPr>
          <w:p w14:paraId="4997D2DA">
            <w:pPr>
              <w:pStyle w:val="5"/>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4495D72D">
            <w:pPr>
              <w:pStyle w:val="5"/>
              <w:bidi w:val="0"/>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59F5E9FF">
            <w:pPr>
              <w:pStyle w:val="5"/>
              <w:bidi w:val="0"/>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004F9A77">
            <w:pPr>
              <w:pStyle w:val="5"/>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38AB16AE">
            <w:pPr>
              <w:pStyle w:val="5"/>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1D07367A">
            <w:pPr>
              <w:pStyle w:val="5"/>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43EA2D7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34563717">
            <w:pPr>
              <w:pStyle w:val="5"/>
              <w:bidi w:val="0"/>
              <w:rPr>
                <w:rFonts w:hint="default" w:ascii="Times New Roman" w:hAnsi="Times New Roman" w:eastAsia="宋体" w:cs="Times New Roman"/>
                <w:color w:val="auto"/>
              </w:rPr>
            </w:pPr>
          </w:p>
        </w:tc>
        <w:tc>
          <w:tcPr>
            <w:tcW w:w="669" w:type="pct"/>
            <w:vMerge w:val="restart"/>
            <w:noWrap w:val="0"/>
            <w:tcMar>
              <w:top w:w="0" w:type="dxa"/>
              <w:left w:w="0" w:type="dxa"/>
              <w:bottom w:w="0" w:type="dxa"/>
              <w:right w:w="0" w:type="dxa"/>
            </w:tcMar>
            <w:vAlign w:val="center"/>
          </w:tcPr>
          <w:p w14:paraId="08589F2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社会环境</w:t>
            </w:r>
          </w:p>
        </w:tc>
        <w:tc>
          <w:tcPr>
            <w:tcW w:w="771" w:type="pct"/>
            <w:noWrap w:val="0"/>
            <w:tcMar>
              <w:top w:w="0" w:type="dxa"/>
              <w:left w:w="0" w:type="dxa"/>
              <w:bottom w:w="0" w:type="dxa"/>
              <w:right w:w="0" w:type="dxa"/>
            </w:tcMar>
            <w:vAlign w:val="center"/>
          </w:tcPr>
          <w:p w14:paraId="6FD1EE1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社会经济</w:t>
            </w:r>
          </w:p>
        </w:tc>
        <w:tc>
          <w:tcPr>
            <w:tcW w:w="483" w:type="pct"/>
            <w:noWrap w:val="0"/>
            <w:tcMar>
              <w:top w:w="0" w:type="dxa"/>
              <w:left w:w="0" w:type="dxa"/>
              <w:bottom w:w="0" w:type="dxa"/>
              <w:right w:w="0" w:type="dxa"/>
            </w:tcMar>
            <w:vAlign w:val="center"/>
          </w:tcPr>
          <w:p w14:paraId="783591A9">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051F4F3A">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24" w:type="pct"/>
            <w:noWrap w:val="0"/>
            <w:tcMar>
              <w:top w:w="0" w:type="dxa"/>
              <w:left w:w="0" w:type="dxa"/>
              <w:bottom w:w="0" w:type="dxa"/>
              <w:right w:w="0" w:type="dxa"/>
            </w:tcMar>
            <w:vAlign w:val="center"/>
          </w:tcPr>
          <w:p w14:paraId="0DCCD4AF">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1E38661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较大</w:t>
            </w:r>
          </w:p>
        </w:tc>
        <w:tc>
          <w:tcPr>
            <w:tcW w:w="527" w:type="pct"/>
            <w:noWrap w:val="0"/>
            <w:tcMar>
              <w:top w:w="0" w:type="dxa"/>
              <w:left w:w="0" w:type="dxa"/>
              <w:bottom w:w="0" w:type="dxa"/>
              <w:right w:w="0" w:type="dxa"/>
            </w:tcMar>
            <w:vAlign w:val="center"/>
          </w:tcPr>
          <w:p w14:paraId="5A42F145">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29FE83B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r w14:paraId="10F45A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73" w:type="pct"/>
            <w:vMerge w:val="continue"/>
            <w:noWrap w:val="0"/>
            <w:tcMar>
              <w:top w:w="0" w:type="dxa"/>
              <w:left w:w="0" w:type="dxa"/>
              <w:bottom w:w="0" w:type="dxa"/>
              <w:right w:w="0" w:type="dxa"/>
            </w:tcMar>
            <w:vAlign w:val="center"/>
          </w:tcPr>
          <w:p w14:paraId="654AE07E">
            <w:pPr>
              <w:pStyle w:val="5"/>
              <w:bidi w:val="0"/>
              <w:rPr>
                <w:rFonts w:hint="default" w:ascii="Times New Roman" w:hAnsi="Times New Roman" w:eastAsia="宋体" w:cs="Times New Roman"/>
                <w:color w:val="auto"/>
              </w:rPr>
            </w:pPr>
          </w:p>
        </w:tc>
        <w:tc>
          <w:tcPr>
            <w:tcW w:w="669" w:type="pct"/>
            <w:vMerge w:val="continue"/>
            <w:noWrap w:val="0"/>
            <w:tcMar>
              <w:top w:w="0" w:type="dxa"/>
              <w:left w:w="0" w:type="dxa"/>
              <w:bottom w:w="0" w:type="dxa"/>
              <w:right w:w="0" w:type="dxa"/>
            </w:tcMar>
            <w:vAlign w:val="center"/>
          </w:tcPr>
          <w:p w14:paraId="34D258CF">
            <w:pPr>
              <w:pStyle w:val="5"/>
              <w:bidi w:val="0"/>
              <w:rPr>
                <w:rFonts w:hint="default" w:ascii="Times New Roman" w:hAnsi="Times New Roman" w:eastAsia="宋体" w:cs="Times New Roman"/>
                <w:color w:val="auto"/>
              </w:rPr>
            </w:pPr>
          </w:p>
        </w:tc>
        <w:tc>
          <w:tcPr>
            <w:tcW w:w="771" w:type="pct"/>
            <w:noWrap w:val="0"/>
            <w:tcMar>
              <w:top w:w="0" w:type="dxa"/>
              <w:left w:w="0" w:type="dxa"/>
              <w:bottom w:w="0" w:type="dxa"/>
              <w:right w:w="0" w:type="dxa"/>
            </w:tcMar>
            <w:vAlign w:val="center"/>
          </w:tcPr>
          <w:p w14:paraId="609373B4">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483" w:type="pct"/>
            <w:noWrap w:val="0"/>
            <w:tcMar>
              <w:top w:w="0" w:type="dxa"/>
              <w:left w:w="0" w:type="dxa"/>
              <w:bottom w:w="0" w:type="dxa"/>
              <w:right w:w="0" w:type="dxa"/>
            </w:tcMar>
            <w:vAlign w:val="center"/>
          </w:tcPr>
          <w:p w14:paraId="3127259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94" w:type="pct"/>
            <w:noWrap w:val="0"/>
            <w:tcMar>
              <w:top w:w="0" w:type="dxa"/>
              <w:left w:w="0" w:type="dxa"/>
              <w:bottom w:w="0" w:type="dxa"/>
              <w:right w:w="0" w:type="dxa"/>
            </w:tcMar>
            <w:vAlign w:val="center"/>
          </w:tcPr>
          <w:p w14:paraId="7F884112">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较小</w:t>
            </w:r>
          </w:p>
        </w:tc>
        <w:tc>
          <w:tcPr>
            <w:tcW w:w="524" w:type="pct"/>
            <w:noWrap w:val="0"/>
            <w:tcMar>
              <w:top w:w="0" w:type="dxa"/>
              <w:left w:w="0" w:type="dxa"/>
              <w:bottom w:w="0" w:type="dxa"/>
              <w:right w:w="0" w:type="dxa"/>
            </w:tcMar>
            <w:vAlign w:val="center"/>
          </w:tcPr>
          <w:p w14:paraId="1872DFF8">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长期</w:t>
            </w:r>
          </w:p>
        </w:tc>
        <w:tc>
          <w:tcPr>
            <w:tcW w:w="559" w:type="pct"/>
            <w:noWrap w:val="0"/>
            <w:tcMar>
              <w:top w:w="0" w:type="dxa"/>
              <w:left w:w="0" w:type="dxa"/>
              <w:bottom w:w="0" w:type="dxa"/>
              <w:right w:w="0" w:type="dxa"/>
            </w:tcMar>
            <w:vAlign w:val="center"/>
          </w:tcPr>
          <w:p w14:paraId="4B63EEB1">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w:t>
            </w:r>
          </w:p>
        </w:tc>
        <w:tc>
          <w:tcPr>
            <w:tcW w:w="527" w:type="pct"/>
            <w:noWrap w:val="0"/>
            <w:tcMar>
              <w:top w:w="0" w:type="dxa"/>
              <w:left w:w="0" w:type="dxa"/>
              <w:bottom w:w="0" w:type="dxa"/>
              <w:right w:w="0" w:type="dxa"/>
            </w:tcMar>
            <w:vAlign w:val="center"/>
          </w:tcPr>
          <w:p w14:paraId="7F0FFCB3">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局部</w:t>
            </w:r>
          </w:p>
        </w:tc>
        <w:tc>
          <w:tcPr>
            <w:tcW w:w="597" w:type="pct"/>
            <w:noWrap w:val="0"/>
            <w:tcMar>
              <w:top w:w="0" w:type="dxa"/>
              <w:left w:w="0" w:type="dxa"/>
              <w:bottom w:w="0" w:type="dxa"/>
              <w:right w:w="0" w:type="dxa"/>
            </w:tcMar>
            <w:vAlign w:val="center"/>
          </w:tcPr>
          <w:p w14:paraId="60C0C5FC">
            <w:pPr>
              <w:pStyle w:val="5"/>
              <w:bidi w:val="0"/>
              <w:rPr>
                <w:rFonts w:hint="default" w:ascii="Times New Roman" w:hAnsi="Times New Roman" w:eastAsia="宋体" w:cs="Times New Roman"/>
                <w:color w:val="auto"/>
              </w:rPr>
            </w:pPr>
            <w:r>
              <w:rPr>
                <w:rFonts w:hint="default" w:ascii="Times New Roman" w:hAnsi="Times New Roman" w:eastAsia="宋体" w:cs="Times New Roman"/>
                <w:color w:val="auto"/>
              </w:rPr>
              <w:t>可</w:t>
            </w:r>
          </w:p>
        </w:tc>
      </w:tr>
    </w:tbl>
    <w:p w14:paraId="46359BDB">
      <w:pPr>
        <w:pStyle w:val="5"/>
        <w:pageBreakBefore w:val="0"/>
        <w:kinsoku/>
        <w:wordWrap/>
        <w:overflowPunct/>
        <w:topLinePunct w:val="0"/>
        <w:autoSpaceDE/>
        <w:autoSpaceDN/>
        <w:bidi w:val="0"/>
        <w:spacing w:after="0" w:line="360" w:lineRule="auto"/>
        <w:ind w:firstLine="420" w:firstLineChars="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注：“+” 为有利影响，“-” 为不利影响。</w:t>
      </w:r>
    </w:p>
    <w:p w14:paraId="39723C43">
      <w:pPr>
        <w:pStyle w:val="9"/>
        <w:pageBreakBefore w:val="0"/>
        <w:kinsoku/>
        <w:wordWrap/>
        <w:overflowPunct/>
        <w:topLinePunct w:val="0"/>
        <w:autoSpaceDE/>
        <w:autoSpaceDN/>
        <w:bidi w:val="0"/>
        <w:spacing w:before="0" w:after="0" w:line="360" w:lineRule="auto"/>
        <w:textAlignment w:val="auto"/>
        <w:rPr>
          <w:rFonts w:hint="eastAsia" w:ascii="Times New Roman" w:hAnsi="Times New Roman" w:eastAsia="宋体" w:cs="Times New Roman"/>
          <w:color w:val="auto"/>
          <w:lang w:val="en-US" w:eastAsia="zh-CN"/>
        </w:rPr>
      </w:pPr>
      <w:bookmarkStart w:id="238" w:name="_Toc8247"/>
      <w:r>
        <w:rPr>
          <w:rFonts w:hint="default" w:ascii="Times New Roman" w:hAnsi="Times New Roman" w:eastAsia="宋体" w:cs="Times New Roman"/>
          <w:color w:val="auto"/>
          <w:lang w:val="en-US" w:eastAsia="zh-CN"/>
        </w:rPr>
        <w:t>2.2.2</w:t>
      </w:r>
      <w:r>
        <w:rPr>
          <w:rFonts w:hint="default" w:ascii="Times New Roman" w:hAnsi="Times New Roman" w:eastAsia="宋体" w:cs="Times New Roman"/>
          <w:color w:val="auto"/>
        </w:rPr>
        <w:t>评价因子</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Pr>
          <w:rFonts w:hint="eastAsia" w:cs="Times New Roman"/>
          <w:color w:val="auto"/>
          <w:lang w:val="en-US" w:eastAsia="zh-CN"/>
        </w:rPr>
        <w:t>筛选</w:t>
      </w:r>
    </w:p>
    <w:p w14:paraId="0E2CFB2F">
      <w:pPr>
        <w:pStyle w:val="38"/>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结合环境影响因素的识别，确定本次评价工作的评价因子如下表所示。通过项目运营期产生的污染源和影响分析，根据项目所在地的环境特征和环保目标与功能等级及敏感程度，并参照环境影响识别结果，筛选出评价因子，详见下表2.2-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39FE764A">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评价因子筛选</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28"/>
        <w:gridCol w:w="6892"/>
      </w:tblGrid>
      <w:tr w14:paraId="1F650A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blHeader/>
          <w:jc w:val="center"/>
        </w:trPr>
        <w:tc>
          <w:tcPr>
            <w:tcW w:w="1328" w:type="dxa"/>
            <w:tcBorders>
              <w:bottom w:val="single" w:color="auto" w:sz="6" w:space="0"/>
              <w:right w:val="single" w:color="auto" w:sz="6" w:space="0"/>
            </w:tcBorders>
            <w:shd w:val="clear" w:color="auto" w:fill="auto"/>
            <w:noWrap w:val="0"/>
            <w:vAlign w:val="center"/>
          </w:tcPr>
          <w:p w14:paraId="1F1B83F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评价要素</w:t>
            </w:r>
          </w:p>
        </w:tc>
        <w:tc>
          <w:tcPr>
            <w:tcW w:w="6892" w:type="dxa"/>
            <w:tcBorders>
              <w:left w:val="single" w:color="auto" w:sz="6" w:space="0"/>
              <w:bottom w:val="single" w:color="auto" w:sz="6" w:space="0"/>
            </w:tcBorders>
            <w:shd w:val="clear" w:color="auto" w:fill="auto"/>
            <w:noWrap w:val="0"/>
            <w:vAlign w:val="center"/>
          </w:tcPr>
          <w:p w14:paraId="4469D19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评价因子</w:t>
            </w:r>
          </w:p>
        </w:tc>
      </w:tr>
      <w:tr w14:paraId="04B31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328" w:type="dxa"/>
            <w:vMerge w:val="restart"/>
            <w:tcBorders>
              <w:top w:val="single" w:color="auto" w:sz="6" w:space="0"/>
              <w:bottom w:val="single" w:color="auto" w:sz="6" w:space="0"/>
              <w:right w:val="single" w:color="auto" w:sz="6" w:space="0"/>
            </w:tcBorders>
            <w:noWrap w:val="0"/>
            <w:vAlign w:val="center"/>
          </w:tcPr>
          <w:p w14:paraId="5408E97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大气环境</w:t>
            </w:r>
          </w:p>
        </w:tc>
        <w:tc>
          <w:tcPr>
            <w:tcW w:w="6892" w:type="dxa"/>
            <w:tcBorders>
              <w:top w:val="single" w:color="auto" w:sz="6" w:space="0"/>
              <w:left w:val="single" w:color="auto" w:sz="6" w:space="0"/>
              <w:bottom w:val="single" w:color="auto" w:sz="6" w:space="0"/>
            </w:tcBorders>
            <w:noWrap w:val="0"/>
            <w:vAlign w:val="center"/>
          </w:tcPr>
          <w:p w14:paraId="22B4B573">
            <w:pPr>
              <w:pStyle w:val="41"/>
              <w:rPr>
                <w:rFonts w:hint="default" w:ascii="Times New Roman" w:hAnsi="Times New Roman" w:eastAsia="宋体" w:cs="Times New Roman"/>
                <w:color w:val="auto"/>
                <w:kern w:val="2"/>
                <w:sz w:val="21"/>
                <w:szCs w:val="24"/>
                <w:vertAlign w:val="baseline"/>
                <w:lang w:val="en-US" w:eastAsia="zh-CN"/>
              </w:rPr>
            </w:pPr>
            <w:r>
              <w:rPr>
                <w:rFonts w:hint="default" w:ascii="Times New Roman" w:hAnsi="Times New Roman" w:eastAsia="宋体" w:cs="Times New Roman"/>
                <w:color w:val="auto"/>
                <w:kern w:val="2"/>
                <w:sz w:val="21"/>
                <w:szCs w:val="24"/>
                <w:lang w:val="pt-BR" w:eastAsia="zh-CN"/>
              </w:rPr>
              <w:t>环境质量现状评价因子：</w:t>
            </w:r>
            <w:r>
              <w:rPr>
                <w:rFonts w:hint="default" w:ascii="Times New Roman" w:hAnsi="Times New Roman" w:eastAsia="宋体" w:cs="Times New Roman"/>
                <w:color w:val="auto"/>
                <w:kern w:val="2"/>
                <w:sz w:val="21"/>
                <w:szCs w:val="21"/>
                <w:lang w:val="en-US" w:eastAsia="zh-CN"/>
              </w:rPr>
              <w:t>SO</w:t>
            </w:r>
            <w:r>
              <w:rPr>
                <w:rFonts w:hint="default" w:ascii="Times New Roman" w:hAnsi="Times New Roman" w:eastAsia="宋体" w:cs="Times New Roman"/>
                <w:color w:val="auto"/>
                <w:kern w:val="2"/>
                <w:sz w:val="21"/>
                <w:szCs w:val="21"/>
                <w:vertAlign w:val="subscript"/>
                <w:lang w:val="en-US" w:eastAsia="zh-CN"/>
              </w:rPr>
              <w:t>2</w:t>
            </w:r>
            <w:r>
              <w:rPr>
                <w:rFonts w:hint="default" w:ascii="Times New Roman" w:hAnsi="Times New Roman" w:eastAsia="宋体" w:cs="Times New Roman"/>
                <w:color w:val="auto"/>
                <w:kern w:val="2"/>
                <w:sz w:val="21"/>
                <w:szCs w:val="21"/>
                <w:lang w:val="en-US" w:eastAsia="zh-CN"/>
              </w:rPr>
              <w:t>、NO</w:t>
            </w:r>
            <w:r>
              <w:rPr>
                <w:rFonts w:hint="default" w:ascii="Times New Roman" w:hAnsi="Times New Roman" w:eastAsia="宋体" w:cs="Times New Roman"/>
                <w:color w:val="auto"/>
                <w:kern w:val="2"/>
                <w:sz w:val="21"/>
                <w:szCs w:val="21"/>
                <w:vertAlign w:val="subscript"/>
                <w:lang w:val="en-US" w:eastAsia="zh-CN"/>
              </w:rPr>
              <w:t>2</w:t>
            </w:r>
            <w:r>
              <w:rPr>
                <w:rFonts w:hint="default" w:ascii="Times New Roman" w:hAnsi="Times New Roman" w:eastAsia="宋体" w:cs="Times New Roman"/>
                <w:color w:val="auto"/>
                <w:kern w:val="2"/>
                <w:sz w:val="21"/>
                <w:szCs w:val="24"/>
                <w:lang w:val="en-US" w:eastAsia="zh-CN"/>
              </w:rPr>
              <w:t>、CO、O</w:t>
            </w:r>
            <w:r>
              <w:rPr>
                <w:rFonts w:hint="default" w:ascii="Times New Roman" w:hAnsi="Times New Roman" w:eastAsia="宋体" w:cs="Times New Roman"/>
                <w:color w:val="auto"/>
                <w:kern w:val="2"/>
                <w:sz w:val="21"/>
                <w:szCs w:val="24"/>
                <w:vertAlign w:val="subscript"/>
                <w:lang w:val="en-US" w:eastAsia="zh-CN"/>
              </w:rPr>
              <w:t>3</w:t>
            </w:r>
            <w:r>
              <w:rPr>
                <w:rFonts w:hint="default" w:ascii="Times New Roman" w:hAnsi="Times New Roman" w:eastAsia="宋体" w:cs="Times New Roman"/>
                <w:color w:val="auto"/>
                <w:kern w:val="2"/>
                <w:sz w:val="21"/>
                <w:szCs w:val="24"/>
                <w:lang w:val="en-US" w:eastAsia="zh-CN"/>
              </w:rPr>
              <w:t>、PM</w:t>
            </w:r>
            <w:r>
              <w:rPr>
                <w:rFonts w:hint="default" w:ascii="Times New Roman" w:hAnsi="Times New Roman" w:eastAsia="宋体" w:cs="Times New Roman"/>
                <w:color w:val="auto"/>
                <w:kern w:val="2"/>
                <w:sz w:val="21"/>
                <w:szCs w:val="24"/>
                <w:vertAlign w:val="subscript"/>
                <w:lang w:val="en-US" w:eastAsia="zh-CN"/>
              </w:rPr>
              <w:t>10</w:t>
            </w:r>
            <w:r>
              <w:rPr>
                <w:rFonts w:hint="default" w:ascii="Times New Roman" w:hAnsi="Times New Roman" w:eastAsia="宋体" w:cs="Times New Roman"/>
                <w:color w:val="auto"/>
                <w:kern w:val="2"/>
                <w:sz w:val="21"/>
                <w:szCs w:val="24"/>
                <w:lang w:val="en-US" w:eastAsia="zh-CN"/>
              </w:rPr>
              <w:t>、PM</w:t>
            </w:r>
            <w:r>
              <w:rPr>
                <w:rFonts w:hint="default" w:ascii="Times New Roman" w:hAnsi="Times New Roman" w:eastAsia="宋体" w:cs="Times New Roman"/>
                <w:color w:val="auto"/>
                <w:kern w:val="2"/>
                <w:sz w:val="21"/>
                <w:szCs w:val="24"/>
                <w:vertAlign w:val="subscript"/>
                <w:lang w:val="en-US" w:eastAsia="zh-CN"/>
              </w:rPr>
              <w:t>2.5</w:t>
            </w:r>
            <w:r>
              <w:rPr>
                <w:rFonts w:hint="default" w:ascii="Times New Roman" w:hAnsi="Times New Roman" w:eastAsia="宋体" w:cs="Times New Roman"/>
                <w:color w:val="auto"/>
                <w:kern w:val="2"/>
                <w:sz w:val="21"/>
                <w:szCs w:val="24"/>
                <w:vertAlign w:val="baseline"/>
                <w:lang w:val="en-US" w:eastAsia="zh-CN"/>
              </w:rPr>
              <w:t>、TSP</w:t>
            </w:r>
          </w:p>
        </w:tc>
      </w:tr>
      <w:tr w14:paraId="17B62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right w:val="single" w:color="auto" w:sz="6" w:space="0"/>
            </w:tcBorders>
            <w:noWrap w:val="0"/>
            <w:vAlign w:val="center"/>
          </w:tcPr>
          <w:p w14:paraId="24EFB3AF">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1860759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污染源因子：</w:t>
            </w:r>
            <w:r>
              <w:rPr>
                <w:rFonts w:hint="default" w:ascii="Times New Roman" w:hAnsi="Times New Roman" w:eastAsia="宋体" w:cs="Times New Roman"/>
                <w:color w:val="auto"/>
                <w:kern w:val="2"/>
                <w:sz w:val="21"/>
                <w:szCs w:val="24"/>
                <w:lang w:val="en-US" w:eastAsia="zh-CN"/>
              </w:rPr>
              <w:t>臭气浓度</w:t>
            </w:r>
          </w:p>
        </w:tc>
      </w:tr>
      <w:tr w14:paraId="7C828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top w:val="single" w:color="auto" w:sz="6" w:space="0"/>
              <w:bottom w:val="single" w:color="auto" w:sz="6" w:space="0"/>
              <w:right w:val="single" w:color="auto" w:sz="6" w:space="0"/>
            </w:tcBorders>
            <w:noWrap w:val="0"/>
            <w:vAlign w:val="center"/>
          </w:tcPr>
          <w:p w14:paraId="1EB83B08">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1170DC5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影响预测因子：</w:t>
            </w:r>
            <w:r>
              <w:rPr>
                <w:rFonts w:hint="default" w:ascii="Times New Roman" w:hAnsi="Times New Roman" w:eastAsia="宋体" w:cs="Times New Roman"/>
                <w:color w:val="auto"/>
                <w:kern w:val="2"/>
                <w:sz w:val="21"/>
                <w:szCs w:val="24"/>
                <w:lang w:val="en-US" w:eastAsia="zh-CN"/>
              </w:rPr>
              <w:t>臭气浓度</w:t>
            </w:r>
          </w:p>
        </w:tc>
      </w:tr>
      <w:tr w14:paraId="27CBC0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restart"/>
            <w:tcBorders>
              <w:top w:val="single" w:color="auto" w:sz="6" w:space="0"/>
              <w:bottom w:val="single" w:color="auto" w:sz="6" w:space="0"/>
              <w:right w:val="single" w:color="auto" w:sz="6" w:space="0"/>
            </w:tcBorders>
            <w:noWrap w:val="0"/>
            <w:vAlign w:val="center"/>
          </w:tcPr>
          <w:p w14:paraId="17E7CF3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地表水环境</w:t>
            </w:r>
          </w:p>
        </w:tc>
        <w:tc>
          <w:tcPr>
            <w:tcW w:w="6892" w:type="dxa"/>
            <w:tcBorders>
              <w:top w:val="single" w:color="auto" w:sz="6" w:space="0"/>
              <w:left w:val="single" w:color="auto" w:sz="6" w:space="0"/>
              <w:bottom w:val="single" w:color="auto" w:sz="6" w:space="0"/>
            </w:tcBorders>
            <w:noWrap w:val="0"/>
            <w:vAlign w:val="center"/>
          </w:tcPr>
          <w:p w14:paraId="1A2B0DD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环境质量现状评价因子：</w:t>
            </w:r>
            <w:r>
              <w:rPr>
                <w:rFonts w:hint="default" w:ascii="Times New Roman" w:hAnsi="Times New Roman" w:eastAsia="宋体" w:cs="Times New Roman"/>
                <w:color w:val="auto"/>
                <w:kern w:val="2"/>
                <w:sz w:val="21"/>
                <w:szCs w:val="24"/>
                <w:lang w:val="en-US" w:eastAsia="zh-CN"/>
              </w:rPr>
              <w:t>pH、SS、COD</w:t>
            </w:r>
            <w:r>
              <w:rPr>
                <w:rFonts w:hint="default" w:ascii="Times New Roman" w:hAnsi="Times New Roman" w:eastAsia="宋体" w:cs="Times New Roman"/>
                <w:color w:val="auto"/>
                <w:kern w:val="2"/>
                <w:sz w:val="21"/>
                <w:szCs w:val="24"/>
                <w:vertAlign w:val="subscript"/>
                <w:lang w:val="en-US" w:eastAsia="zh-CN"/>
              </w:rPr>
              <w:t>Cr</w:t>
            </w:r>
            <w:r>
              <w:rPr>
                <w:rFonts w:hint="default" w:ascii="Times New Roman" w:hAnsi="Times New Roman" w:eastAsia="宋体" w:cs="Times New Roman"/>
                <w:color w:val="auto"/>
                <w:kern w:val="2"/>
                <w:sz w:val="21"/>
                <w:szCs w:val="24"/>
                <w:lang w:val="en-US" w:eastAsia="zh-CN"/>
              </w:rPr>
              <w:t>、NH</w:t>
            </w:r>
            <w:r>
              <w:rPr>
                <w:rFonts w:hint="default" w:ascii="Times New Roman" w:hAnsi="Times New Roman" w:eastAsia="宋体" w:cs="Times New Roman"/>
                <w:color w:val="auto"/>
                <w:kern w:val="2"/>
                <w:sz w:val="21"/>
                <w:szCs w:val="24"/>
                <w:vertAlign w:val="subscript"/>
                <w:lang w:val="en-US" w:eastAsia="zh-CN"/>
              </w:rPr>
              <w:t>3</w:t>
            </w:r>
            <w:r>
              <w:rPr>
                <w:rFonts w:hint="default" w:ascii="Times New Roman" w:hAnsi="Times New Roman" w:eastAsia="宋体" w:cs="Times New Roman"/>
                <w:color w:val="auto"/>
                <w:kern w:val="2"/>
                <w:sz w:val="21"/>
                <w:szCs w:val="24"/>
                <w:lang w:val="en-US" w:eastAsia="zh-CN"/>
              </w:rPr>
              <w:t>-N、BOD</w:t>
            </w:r>
            <w:r>
              <w:rPr>
                <w:rFonts w:hint="default" w:ascii="Times New Roman" w:hAnsi="Times New Roman" w:eastAsia="宋体" w:cs="Times New Roman"/>
                <w:color w:val="auto"/>
                <w:kern w:val="2"/>
                <w:sz w:val="21"/>
                <w:szCs w:val="24"/>
                <w:vertAlign w:val="subscript"/>
                <w:lang w:val="en-US" w:eastAsia="zh-CN"/>
              </w:rPr>
              <w:t>5</w:t>
            </w:r>
            <w:r>
              <w:rPr>
                <w:rFonts w:hint="default" w:ascii="Times New Roman" w:hAnsi="Times New Roman" w:eastAsia="宋体" w:cs="Times New Roman"/>
                <w:color w:val="auto"/>
                <w:kern w:val="2"/>
                <w:sz w:val="21"/>
                <w:szCs w:val="24"/>
                <w:lang w:val="en-US" w:eastAsia="zh-CN"/>
              </w:rPr>
              <w:t>、TP、石油类</w:t>
            </w:r>
          </w:p>
        </w:tc>
      </w:tr>
      <w:tr w14:paraId="3EFE45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right w:val="single" w:color="auto" w:sz="6" w:space="0"/>
            </w:tcBorders>
            <w:noWrap w:val="0"/>
            <w:vAlign w:val="center"/>
          </w:tcPr>
          <w:p w14:paraId="1C95E2F2">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011A79A7">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kern w:val="2"/>
                <w:sz w:val="21"/>
                <w:szCs w:val="24"/>
                <w:lang w:val="pt-BR" w:eastAsia="zh-CN"/>
              </w:rPr>
              <w:t>污染源因子：</w:t>
            </w:r>
            <w:r>
              <w:rPr>
                <w:rFonts w:hint="default" w:ascii="Times New Roman" w:hAnsi="Times New Roman" w:eastAsia="宋体" w:cs="Times New Roman"/>
                <w:color w:val="auto"/>
                <w:kern w:val="0"/>
              </w:rPr>
              <w:t>COD、SS、NH</w:t>
            </w:r>
            <w:r>
              <w:rPr>
                <w:rFonts w:hint="default" w:ascii="Times New Roman" w:hAnsi="Times New Roman" w:eastAsia="宋体" w:cs="Times New Roman"/>
                <w:color w:val="auto"/>
                <w:kern w:val="0"/>
                <w:sz w:val="13"/>
                <w:szCs w:val="13"/>
              </w:rPr>
              <w:t>3</w:t>
            </w:r>
            <w:r>
              <w:rPr>
                <w:rFonts w:hint="default" w:ascii="Times New Roman" w:hAnsi="Times New Roman" w:eastAsia="宋体" w:cs="Times New Roman"/>
                <w:color w:val="auto"/>
                <w:kern w:val="0"/>
              </w:rPr>
              <w:t>-N、石油类</w:t>
            </w:r>
          </w:p>
        </w:tc>
      </w:tr>
      <w:tr w14:paraId="2C1CE6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top w:val="single" w:color="auto" w:sz="6" w:space="0"/>
              <w:bottom w:val="single" w:color="auto" w:sz="6" w:space="0"/>
              <w:right w:val="single" w:color="auto" w:sz="6" w:space="0"/>
            </w:tcBorders>
            <w:noWrap w:val="0"/>
            <w:vAlign w:val="center"/>
          </w:tcPr>
          <w:p w14:paraId="73E546D4">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2758068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水文要素预测因子：水位、流速</w:t>
            </w:r>
          </w:p>
        </w:tc>
      </w:tr>
      <w:tr w14:paraId="6E17A6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328" w:type="dxa"/>
            <w:tcBorders>
              <w:top w:val="single" w:color="auto" w:sz="6" w:space="0"/>
              <w:right w:val="single" w:color="auto" w:sz="6" w:space="0"/>
            </w:tcBorders>
            <w:noWrap w:val="0"/>
            <w:vAlign w:val="center"/>
          </w:tcPr>
          <w:p w14:paraId="24048DC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地下水环境</w:t>
            </w:r>
          </w:p>
        </w:tc>
        <w:tc>
          <w:tcPr>
            <w:tcW w:w="6892" w:type="dxa"/>
            <w:tcBorders>
              <w:top w:val="single" w:color="auto" w:sz="6" w:space="0"/>
              <w:left w:val="single" w:color="auto" w:sz="6" w:space="0"/>
            </w:tcBorders>
            <w:noWrap w:val="0"/>
            <w:vAlign w:val="center"/>
          </w:tcPr>
          <w:p w14:paraId="41D8FE7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本项目为</w:t>
            </w:r>
            <w:r>
              <w:rPr>
                <w:rFonts w:hint="default" w:ascii="Times New Roman" w:hAnsi="Times New Roman" w:eastAsia="宋体" w:cs="Times New Roman"/>
                <w:color w:val="auto"/>
                <w:kern w:val="2"/>
                <w:sz w:val="21"/>
                <w:szCs w:val="24"/>
                <w:lang w:val="en-US" w:eastAsia="zh-CN"/>
              </w:rPr>
              <w:t>码头建设项目，属于《环境影响评价技术导则 地下水环境》（HJ610-2016）Ⅳ类项目，不进行地下水环境影响评价。</w:t>
            </w:r>
          </w:p>
        </w:tc>
      </w:tr>
      <w:tr w14:paraId="7FED2E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restart"/>
            <w:tcBorders>
              <w:top w:val="single" w:color="auto" w:sz="6" w:space="0"/>
              <w:bottom w:val="single" w:color="auto" w:sz="6" w:space="0"/>
              <w:right w:val="single" w:color="auto" w:sz="6" w:space="0"/>
            </w:tcBorders>
            <w:noWrap w:val="0"/>
            <w:vAlign w:val="center"/>
          </w:tcPr>
          <w:p w14:paraId="5563D99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声环境</w:t>
            </w:r>
          </w:p>
        </w:tc>
        <w:tc>
          <w:tcPr>
            <w:tcW w:w="6892" w:type="dxa"/>
            <w:tcBorders>
              <w:top w:val="single" w:color="auto" w:sz="6" w:space="0"/>
              <w:left w:val="single" w:color="auto" w:sz="6" w:space="0"/>
              <w:bottom w:val="single" w:color="auto" w:sz="6" w:space="0"/>
            </w:tcBorders>
            <w:noWrap w:val="0"/>
            <w:vAlign w:val="center"/>
          </w:tcPr>
          <w:p w14:paraId="7768143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pt-BR" w:eastAsia="zh-CN"/>
              </w:rPr>
              <w:t>环境质量</w:t>
            </w:r>
            <w:r>
              <w:rPr>
                <w:rFonts w:hint="default" w:ascii="Times New Roman" w:hAnsi="Times New Roman" w:eastAsia="宋体" w:cs="Times New Roman"/>
                <w:color w:val="auto"/>
                <w:kern w:val="2"/>
                <w:sz w:val="21"/>
                <w:szCs w:val="24"/>
                <w:lang w:val="en-US" w:eastAsia="zh-CN"/>
              </w:rPr>
              <w:t>现状评价因子：等效连续A声级</w:t>
            </w:r>
          </w:p>
        </w:tc>
      </w:tr>
      <w:tr w14:paraId="7FD97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right w:val="single" w:color="auto" w:sz="6" w:space="0"/>
            </w:tcBorders>
            <w:noWrap w:val="0"/>
            <w:vAlign w:val="center"/>
          </w:tcPr>
          <w:p w14:paraId="318C0451">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18928268">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kern w:val="2"/>
                <w:sz w:val="21"/>
                <w:szCs w:val="24"/>
                <w:lang w:val="pt-BR" w:eastAsia="zh-CN"/>
              </w:rPr>
              <w:t>污染源因子：</w:t>
            </w:r>
            <w:r>
              <w:rPr>
                <w:rFonts w:hint="default" w:ascii="Times New Roman" w:hAnsi="Times New Roman" w:eastAsia="宋体" w:cs="Times New Roman"/>
                <w:color w:val="auto"/>
                <w:kern w:val="2"/>
                <w:sz w:val="21"/>
                <w:szCs w:val="24"/>
                <w:lang w:val="en-US" w:eastAsia="zh-CN"/>
              </w:rPr>
              <w:t>等效连续A声级</w:t>
            </w:r>
          </w:p>
        </w:tc>
      </w:tr>
      <w:tr w14:paraId="3B8D1C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top w:val="single" w:color="auto" w:sz="6" w:space="0"/>
              <w:bottom w:val="single" w:color="auto" w:sz="6" w:space="0"/>
              <w:right w:val="single" w:color="auto" w:sz="6" w:space="0"/>
            </w:tcBorders>
            <w:noWrap w:val="0"/>
            <w:vAlign w:val="center"/>
          </w:tcPr>
          <w:p w14:paraId="0BCFA0F1">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2915646D">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kern w:val="2"/>
                <w:sz w:val="21"/>
                <w:szCs w:val="24"/>
                <w:lang w:val="pt-BR" w:eastAsia="zh-CN"/>
              </w:rPr>
              <w:t>影响预测因子：</w:t>
            </w:r>
            <w:r>
              <w:rPr>
                <w:rFonts w:hint="default" w:ascii="Times New Roman" w:hAnsi="Times New Roman" w:eastAsia="宋体" w:cs="Times New Roman"/>
                <w:color w:val="auto"/>
                <w:kern w:val="2"/>
                <w:sz w:val="21"/>
                <w:szCs w:val="24"/>
                <w:lang w:val="en-US" w:eastAsia="zh-CN"/>
              </w:rPr>
              <w:t>等效连续A声级</w:t>
            </w:r>
          </w:p>
        </w:tc>
      </w:tr>
      <w:tr w14:paraId="4E6EA8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tcBorders>
              <w:top w:val="single" w:color="auto" w:sz="6" w:space="0"/>
              <w:bottom w:val="single" w:color="auto" w:sz="6" w:space="0"/>
              <w:right w:val="single" w:color="auto" w:sz="6" w:space="0"/>
            </w:tcBorders>
            <w:noWrap w:val="0"/>
            <w:vAlign w:val="center"/>
          </w:tcPr>
          <w:p w14:paraId="5B5FEAF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土壤环境</w:t>
            </w:r>
          </w:p>
        </w:tc>
        <w:tc>
          <w:tcPr>
            <w:tcW w:w="6892" w:type="dxa"/>
            <w:tcBorders>
              <w:top w:val="single" w:color="auto" w:sz="6" w:space="0"/>
              <w:left w:val="single" w:color="auto" w:sz="6" w:space="0"/>
              <w:bottom w:val="single" w:color="auto" w:sz="6" w:space="0"/>
            </w:tcBorders>
            <w:noWrap w:val="0"/>
            <w:vAlign w:val="center"/>
          </w:tcPr>
          <w:p w14:paraId="56F5B8F0">
            <w:pPr>
              <w:pStyle w:val="41"/>
              <w:rPr>
                <w:rFonts w:hint="default" w:ascii="Times New Roman" w:hAnsi="Times New Roman" w:eastAsia="宋体" w:cs="Times New Roman"/>
                <w:color w:val="auto"/>
                <w:kern w:val="2"/>
                <w:sz w:val="21"/>
                <w:szCs w:val="24"/>
                <w:lang w:val="pt-BR" w:eastAsia="zh-CN"/>
              </w:rPr>
            </w:pPr>
          </w:p>
        </w:tc>
      </w:tr>
      <w:tr w14:paraId="007655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restart"/>
            <w:tcBorders>
              <w:top w:val="single" w:color="auto" w:sz="6" w:space="0"/>
              <w:right w:val="single" w:color="auto" w:sz="6" w:space="0"/>
            </w:tcBorders>
            <w:noWrap w:val="0"/>
            <w:vAlign w:val="center"/>
          </w:tcPr>
          <w:p w14:paraId="40DC9AC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底泥</w:t>
            </w:r>
          </w:p>
        </w:tc>
        <w:tc>
          <w:tcPr>
            <w:tcW w:w="6892" w:type="dxa"/>
            <w:tcBorders>
              <w:top w:val="single" w:color="auto" w:sz="6" w:space="0"/>
              <w:left w:val="single" w:color="auto" w:sz="6" w:space="0"/>
              <w:bottom w:val="single" w:color="auto" w:sz="6" w:space="0"/>
            </w:tcBorders>
            <w:noWrap w:val="0"/>
            <w:vAlign w:val="top"/>
          </w:tcPr>
          <w:p w14:paraId="0F42F851">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sz w:val="21"/>
                <w:szCs w:val="21"/>
                <w:lang w:val="en-US" w:eastAsia="zh-CN"/>
              </w:rPr>
              <w:t>环境质量现状评价因子：</w:t>
            </w:r>
            <w:r>
              <w:rPr>
                <w:rFonts w:hint="default" w:ascii="Times New Roman" w:hAnsi="Times New Roman" w:eastAsia="宋体" w:cs="Times New Roman"/>
                <w:color w:val="auto"/>
                <w:kern w:val="2"/>
                <w:sz w:val="21"/>
                <w:szCs w:val="24"/>
                <w:lang w:val="en-US" w:eastAsia="zh-CN"/>
              </w:rPr>
              <w:t>pH、镉、汞、砷、铅、铬、铜、镍、锌</w:t>
            </w:r>
          </w:p>
        </w:tc>
      </w:tr>
      <w:tr w14:paraId="24158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bottom w:val="single" w:color="auto" w:sz="6" w:space="0"/>
              <w:right w:val="single" w:color="auto" w:sz="6" w:space="0"/>
            </w:tcBorders>
            <w:noWrap w:val="0"/>
            <w:vAlign w:val="center"/>
          </w:tcPr>
          <w:p w14:paraId="4B2387E7">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top"/>
          </w:tcPr>
          <w:p w14:paraId="6A7EA394">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kern w:val="2"/>
                <w:sz w:val="21"/>
                <w:szCs w:val="24"/>
                <w:lang w:val="pt-BR" w:eastAsia="zh-CN"/>
              </w:rPr>
              <w:t>影响</w:t>
            </w:r>
            <w:r>
              <w:rPr>
                <w:rFonts w:hint="default" w:ascii="Times New Roman" w:hAnsi="Times New Roman" w:eastAsia="宋体" w:cs="Times New Roman"/>
                <w:color w:val="auto"/>
                <w:sz w:val="21"/>
                <w:szCs w:val="21"/>
                <w:lang w:val="en-US" w:eastAsia="zh-CN"/>
              </w:rPr>
              <w:t>预测因子：-</w:t>
            </w:r>
          </w:p>
        </w:tc>
      </w:tr>
      <w:tr w14:paraId="19D546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tcBorders>
              <w:top w:val="single" w:color="auto" w:sz="6" w:space="0"/>
              <w:bottom w:val="single" w:color="auto" w:sz="6" w:space="0"/>
              <w:right w:val="single" w:color="auto" w:sz="6" w:space="0"/>
            </w:tcBorders>
            <w:noWrap w:val="0"/>
            <w:vAlign w:val="center"/>
          </w:tcPr>
          <w:p w14:paraId="7A00972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固体废物</w:t>
            </w:r>
          </w:p>
        </w:tc>
        <w:tc>
          <w:tcPr>
            <w:tcW w:w="6892" w:type="dxa"/>
            <w:tcBorders>
              <w:top w:val="single" w:color="auto" w:sz="6" w:space="0"/>
              <w:left w:val="single" w:color="auto" w:sz="6" w:space="0"/>
              <w:bottom w:val="single" w:color="auto" w:sz="6" w:space="0"/>
            </w:tcBorders>
            <w:noWrap w:val="0"/>
            <w:vAlign w:val="center"/>
          </w:tcPr>
          <w:p w14:paraId="28D0F97B">
            <w:pPr>
              <w:pStyle w:val="41"/>
              <w:rPr>
                <w:rFonts w:hint="default" w:ascii="Times New Roman" w:hAnsi="Times New Roman" w:eastAsia="宋体" w:cs="Times New Roman"/>
                <w:color w:val="auto"/>
                <w:kern w:val="2"/>
                <w:sz w:val="21"/>
                <w:szCs w:val="24"/>
                <w:lang w:val="pt-BR" w:eastAsia="zh-CN"/>
              </w:rPr>
            </w:pPr>
            <w:r>
              <w:rPr>
                <w:rFonts w:hint="default" w:ascii="Times New Roman" w:hAnsi="Times New Roman" w:eastAsia="宋体" w:cs="Times New Roman"/>
                <w:color w:val="auto"/>
                <w:kern w:val="2"/>
                <w:sz w:val="21"/>
                <w:szCs w:val="21"/>
                <w:lang w:val="en-US" w:eastAsia="zh-CN"/>
              </w:rPr>
              <w:t>污染源评价因子：</w:t>
            </w:r>
            <w:r>
              <w:rPr>
                <w:rFonts w:hint="default" w:ascii="Times New Roman" w:hAnsi="Times New Roman" w:eastAsia="宋体" w:cs="Times New Roman"/>
                <w:color w:val="auto"/>
                <w:kern w:val="2"/>
                <w:sz w:val="21"/>
                <w:szCs w:val="24"/>
                <w:lang w:val="en-US" w:eastAsia="zh-CN"/>
              </w:rPr>
              <w:t>营运期</w:t>
            </w:r>
            <w:r>
              <w:rPr>
                <w:rFonts w:hint="default" w:ascii="Times New Roman" w:hAnsi="Times New Roman" w:eastAsia="宋体" w:cs="Times New Roman"/>
                <w:color w:val="auto"/>
                <w:lang w:eastAsia="zh-CN"/>
              </w:rPr>
              <w:t>码头</w:t>
            </w:r>
            <w:r>
              <w:rPr>
                <w:rFonts w:hint="default" w:ascii="Times New Roman" w:hAnsi="Times New Roman" w:eastAsia="宋体" w:cs="Times New Roman"/>
                <w:color w:val="auto"/>
              </w:rPr>
              <w:t>员工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2"/>
                <w:sz w:val="21"/>
                <w:szCs w:val="24"/>
                <w:lang w:val="en-US" w:eastAsia="zh-CN"/>
              </w:rPr>
              <w:t>船舶生活垃圾</w:t>
            </w:r>
          </w:p>
        </w:tc>
      </w:tr>
      <w:tr w14:paraId="02A657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restart"/>
            <w:tcBorders>
              <w:top w:val="single" w:color="auto" w:sz="6" w:space="0"/>
              <w:right w:val="single" w:color="auto" w:sz="6" w:space="0"/>
            </w:tcBorders>
            <w:noWrap w:val="0"/>
            <w:vAlign w:val="center"/>
          </w:tcPr>
          <w:p w14:paraId="4390492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生态环境</w:t>
            </w:r>
          </w:p>
        </w:tc>
        <w:tc>
          <w:tcPr>
            <w:tcW w:w="6892" w:type="dxa"/>
            <w:tcBorders>
              <w:top w:val="single" w:color="auto" w:sz="6" w:space="0"/>
              <w:left w:val="single" w:color="auto" w:sz="6" w:space="0"/>
              <w:bottom w:val="single" w:color="auto" w:sz="6" w:space="0"/>
            </w:tcBorders>
            <w:noWrap w:val="0"/>
            <w:vAlign w:val="center"/>
          </w:tcPr>
          <w:p w14:paraId="09B461AD">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环境质量现状评价因子：水生生态、渔业资源</w:t>
            </w:r>
          </w:p>
        </w:tc>
      </w:tr>
      <w:tr w14:paraId="694A51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vMerge w:val="continue"/>
            <w:tcBorders>
              <w:right w:val="single" w:color="auto" w:sz="6" w:space="0"/>
            </w:tcBorders>
            <w:noWrap w:val="0"/>
            <w:vAlign w:val="center"/>
          </w:tcPr>
          <w:p w14:paraId="5CEAEC84">
            <w:pPr>
              <w:pStyle w:val="41"/>
              <w:rPr>
                <w:rFonts w:hint="default" w:ascii="Times New Roman" w:hAnsi="Times New Roman" w:eastAsia="宋体" w:cs="Times New Roman"/>
                <w:color w:val="auto"/>
                <w:kern w:val="2"/>
                <w:sz w:val="21"/>
                <w:szCs w:val="24"/>
                <w:lang w:val="en-US" w:eastAsia="zh-CN"/>
              </w:rPr>
            </w:pPr>
          </w:p>
        </w:tc>
        <w:tc>
          <w:tcPr>
            <w:tcW w:w="6892" w:type="dxa"/>
            <w:tcBorders>
              <w:top w:val="single" w:color="auto" w:sz="6" w:space="0"/>
              <w:left w:val="single" w:color="auto" w:sz="6" w:space="0"/>
              <w:bottom w:val="single" w:color="auto" w:sz="6" w:space="0"/>
            </w:tcBorders>
            <w:noWrap w:val="0"/>
            <w:vAlign w:val="center"/>
          </w:tcPr>
          <w:p w14:paraId="59B9116F">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预测因子：</w:t>
            </w:r>
            <w:r>
              <w:rPr>
                <w:rFonts w:hint="default" w:ascii="Times New Roman" w:hAnsi="Times New Roman" w:eastAsia="宋体" w:cs="Times New Roman"/>
                <w:color w:val="auto"/>
                <w:sz w:val="21"/>
                <w:szCs w:val="21"/>
                <w:lang w:val="en-US" w:eastAsia="zh-CN"/>
              </w:rPr>
              <w:t>水生生态、渔业资源</w:t>
            </w:r>
          </w:p>
        </w:tc>
      </w:tr>
      <w:tr w14:paraId="0B4977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8" w:type="dxa"/>
            <w:tcBorders>
              <w:right w:val="single" w:color="auto" w:sz="6" w:space="0"/>
            </w:tcBorders>
            <w:noWrap w:val="0"/>
            <w:vAlign w:val="center"/>
          </w:tcPr>
          <w:p w14:paraId="36BA316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事故风险</w:t>
            </w:r>
          </w:p>
        </w:tc>
        <w:tc>
          <w:tcPr>
            <w:tcW w:w="6892" w:type="dxa"/>
            <w:tcBorders>
              <w:top w:val="single" w:color="auto" w:sz="6" w:space="0"/>
              <w:left w:val="single" w:color="auto" w:sz="6" w:space="0"/>
            </w:tcBorders>
            <w:noWrap w:val="0"/>
            <w:vAlign w:val="center"/>
          </w:tcPr>
          <w:p w14:paraId="36B8487E">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船舶溢油等</w:t>
            </w:r>
          </w:p>
        </w:tc>
      </w:tr>
    </w:tbl>
    <w:p w14:paraId="4810379C">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4"/>
          <w:szCs w:val="24"/>
          <w:lang w:val="en-US" w:eastAsia="zh-CN"/>
        </w:rPr>
      </w:pPr>
      <w:bookmarkStart w:id="239" w:name="_Toc11598"/>
      <w:bookmarkStart w:id="240" w:name="_Toc26895"/>
      <w:bookmarkStart w:id="241" w:name="_Toc97"/>
      <w:bookmarkStart w:id="242" w:name="_Toc26818"/>
      <w:bookmarkStart w:id="243" w:name="_Toc18424_WPSOffice_Level3"/>
      <w:bookmarkStart w:id="244" w:name="_Toc5304"/>
      <w:bookmarkStart w:id="245" w:name="_Toc3067"/>
      <w:bookmarkStart w:id="246" w:name="_Toc6642"/>
      <w:bookmarkStart w:id="247" w:name="_Toc11421"/>
      <w:bookmarkStart w:id="248" w:name="_Toc13645"/>
      <w:bookmarkStart w:id="249" w:name="_Toc19848_WPSOffice_Level3"/>
      <w:bookmarkStart w:id="250" w:name="_Toc17858"/>
      <w:bookmarkStart w:id="251" w:name="_Toc15283"/>
      <w:bookmarkStart w:id="252" w:name="_Toc2983"/>
      <w:bookmarkStart w:id="253" w:name="_Toc32689"/>
      <w:bookmarkStart w:id="254" w:name="_Toc20593"/>
      <w:r>
        <w:rPr>
          <w:rFonts w:hint="default" w:ascii="Times New Roman" w:hAnsi="Times New Roman" w:eastAsia="宋体" w:cs="Times New Roman"/>
          <w:color w:val="auto"/>
          <w:sz w:val="28"/>
          <w:szCs w:val="28"/>
        </w:rPr>
        <w:t>2.</w:t>
      </w:r>
      <w:r>
        <w:rPr>
          <w:rFonts w:hint="eastAsia" w:cs="Times New Roman"/>
          <w:color w:val="auto"/>
          <w:sz w:val="28"/>
          <w:szCs w:val="28"/>
          <w:lang w:val="en-US" w:eastAsia="zh-CN"/>
        </w:rPr>
        <w:t>3环境功能区划</w:t>
      </w:r>
      <w:bookmarkEnd w:id="239"/>
      <w:bookmarkEnd w:id="240"/>
    </w:p>
    <w:bookmarkEnd w:id="241"/>
    <w:bookmarkEnd w:id="242"/>
    <w:bookmarkEnd w:id="243"/>
    <w:bookmarkEnd w:id="244"/>
    <w:bookmarkEnd w:id="245"/>
    <w:bookmarkEnd w:id="246"/>
    <w:bookmarkEnd w:id="247"/>
    <w:bookmarkEnd w:id="248"/>
    <w:bookmarkEnd w:id="249"/>
    <w:bookmarkEnd w:id="250"/>
    <w:bookmarkEnd w:id="251"/>
    <w:bookmarkEnd w:id="252"/>
    <w:p w14:paraId="707ED212">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根据项目区域功能调查和岳阳市生态环境局</w:t>
      </w:r>
      <w:r>
        <w:rPr>
          <w:rFonts w:hint="default" w:ascii="Times New Roman" w:hAnsi="Times New Roman" w:eastAsia="宋体" w:cs="Times New Roman"/>
          <w:color w:val="auto"/>
          <w:sz w:val="24"/>
          <w:szCs w:val="24"/>
          <w:lang w:val="en-US" w:eastAsia="zh-CN"/>
        </w:rPr>
        <w:t>岳阳县分局</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该</w:t>
      </w:r>
      <w:r>
        <w:rPr>
          <w:rFonts w:hint="default" w:ascii="Times New Roman" w:hAnsi="Times New Roman" w:eastAsia="宋体" w:cs="Times New Roman"/>
          <w:color w:val="auto"/>
          <w:sz w:val="24"/>
          <w:szCs w:val="24"/>
        </w:rPr>
        <w:t>项目执行标准的批复，本项目环境功能区划如下。</w:t>
      </w:r>
    </w:p>
    <w:p w14:paraId="619F803B">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（1）环境空气功能区划</w:t>
      </w:r>
    </w:p>
    <w:p w14:paraId="688715A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项目所在区域为商业交通居民混杂区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根据《环境空气质量标准》（GB3095-2012）及其修改单环境空气</w:t>
      </w:r>
      <w:r>
        <w:rPr>
          <w:rFonts w:hint="default" w:ascii="Times New Roman" w:hAnsi="Times New Roman" w:eastAsia="宋体" w:cs="Times New Roman"/>
          <w:color w:val="auto"/>
          <w:sz w:val="24"/>
          <w:szCs w:val="24"/>
          <w:lang w:eastAsia="zh-CN"/>
        </w:rPr>
        <w:t>功能</w:t>
      </w:r>
      <w:r>
        <w:rPr>
          <w:rFonts w:hint="default" w:ascii="Times New Roman" w:hAnsi="Times New Roman" w:eastAsia="宋体" w:cs="Times New Roman"/>
          <w:color w:val="auto"/>
          <w:sz w:val="24"/>
          <w:szCs w:val="24"/>
        </w:rPr>
        <w:t>分区为</w:t>
      </w:r>
      <w:r>
        <w:rPr>
          <w:rFonts w:hint="default" w:ascii="Times New Roman" w:hAnsi="Times New Roman" w:eastAsia="宋体" w:cs="Times New Roman"/>
          <w:color w:val="auto"/>
          <w:sz w:val="24"/>
          <w:szCs w:val="24"/>
          <w:lang w:eastAsia="zh-CN"/>
        </w:rPr>
        <w:t>二</w:t>
      </w:r>
      <w:r>
        <w:rPr>
          <w:rFonts w:hint="default" w:ascii="Times New Roman" w:hAnsi="Times New Roman" w:eastAsia="宋体" w:cs="Times New Roman"/>
          <w:color w:val="auto"/>
          <w:sz w:val="24"/>
          <w:szCs w:val="24"/>
        </w:rPr>
        <w:t>类区。</w:t>
      </w:r>
    </w:p>
    <w:p w14:paraId="3EFE1AC7">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（2）地表水功能区划</w:t>
      </w:r>
    </w:p>
    <w:p w14:paraId="6A45D274">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本项目所属</w:t>
      </w:r>
      <w:r>
        <w:rPr>
          <w:rFonts w:hint="eastAsia" w:cs="Times New Roman"/>
          <w:color w:val="auto"/>
          <w:sz w:val="24"/>
          <w:szCs w:val="24"/>
          <w:lang w:val="en-US" w:eastAsia="zh-CN"/>
        </w:rPr>
        <w:t>水体为</w:t>
      </w:r>
      <w:r>
        <w:rPr>
          <w:rFonts w:hint="default" w:ascii="Times New Roman" w:hAnsi="Times New Roman" w:eastAsia="宋体" w:cs="Times New Roman"/>
          <w:color w:val="auto"/>
          <w:sz w:val="24"/>
          <w:szCs w:val="24"/>
          <w:lang w:eastAsia="zh-CN"/>
        </w:rPr>
        <w:t>东洞庭湖水体，功能区类型为自然保护区，</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水域环境功能为Ⅲ类。</w:t>
      </w:r>
    </w:p>
    <w:p w14:paraId="3DA36EA7">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3</w:t>
      </w:r>
      <w:r>
        <w:rPr>
          <w:rFonts w:hint="default" w:ascii="Times New Roman" w:hAnsi="Times New Roman" w:eastAsia="宋体" w:cs="Times New Roman"/>
          <w:color w:val="auto"/>
          <w:sz w:val="24"/>
          <w:szCs w:val="24"/>
        </w:rPr>
        <w:t>）声环境功能区划</w:t>
      </w:r>
    </w:p>
    <w:p w14:paraId="1D9AD4A9">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干</w:t>
      </w:r>
      <w:r>
        <w:rPr>
          <w:rFonts w:hint="default" w:ascii="Times New Roman" w:hAnsi="Times New Roman" w:eastAsia="宋体" w:cs="Times New Roman"/>
          <w:color w:val="auto"/>
          <w:sz w:val="24"/>
          <w:szCs w:val="24"/>
          <w:lang w:val="en-US" w:eastAsia="zh-CN"/>
        </w:rPr>
        <w:t>渔政</w:t>
      </w:r>
      <w:r>
        <w:rPr>
          <w:rFonts w:hint="default" w:ascii="Times New Roman" w:hAnsi="Times New Roman" w:eastAsia="宋体" w:cs="Times New Roman"/>
          <w:color w:val="auto"/>
          <w:sz w:val="24"/>
          <w:szCs w:val="24"/>
          <w:lang w:eastAsia="zh-CN"/>
        </w:rPr>
        <w:t>码头建设项目，西侧为湘江航道，根据</w:t>
      </w:r>
      <w:r>
        <w:rPr>
          <w:rFonts w:hint="default" w:ascii="Times New Roman" w:hAnsi="Times New Roman" w:eastAsia="宋体" w:cs="Times New Roman"/>
          <w:color w:val="auto"/>
          <w:sz w:val="24"/>
          <w:szCs w:val="24"/>
        </w:rPr>
        <w:t>《声环境质量标准》（GB3096-2008）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《声环境质量标准》（GB3096-2008）中</w:t>
      </w: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rPr>
        <w:t>类声环境功能区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项目东面为当地居民，为</w:t>
      </w:r>
      <w:r>
        <w:rPr>
          <w:rFonts w:hint="default" w:ascii="Times New Roman" w:hAnsi="Times New Roman" w:eastAsia="宋体" w:cs="Times New Roman"/>
          <w:color w:val="auto"/>
          <w:sz w:val="24"/>
          <w:szCs w:val="24"/>
        </w:rPr>
        <w:t>《声环境质量标准》（GB3096-2008）中</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类声环境功能区。</w:t>
      </w:r>
    </w:p>
    <w:p w14:paraId="7738FD9C">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rPr>
        <w:t>）土壤环境功能区划</w:t>
      </w:r>
    </w:p>
    <w:p w14:paraId="6869116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地表水环境》（HJ2.3-2018）附录</w:t>
      </w:r>
      <w:r>
        <w:rPr>
          <w:rFonts w:hint="default" w:ascii="Times New Roman" w:hAnsi="Times New Roman" w:eastAsia="宋体" w:cs="Times New Roman"/>
          <w:color w:val="auto"/>
          <w:sz w:val="24"/>
          <w:szCs w:val="24"/>
          <w:lang w:eastAsia="zh-CN"/>
        </w:rPr>
        <w:t>D.2.2，</w:t>
      </w:r>
      <w:r>
        <w:rPr>
          <w:rFonts w:hint="default" w:ascii="Times New Roman" w:hAnsi="Times New Roman" w:eastAsia="宋体" w:cs="Times New Roman"/>
          <w:color w:val="auto"/>
          <w:sz w:val="24"/>
          <w:szCs w:val="24"/>
        </w:rPr>
        <w:t>项目所在地</w:t>
      </w:r>
      <w:r>
        <w:rPr>
          <w:rFonts w:hint="default" w:ascii="Times New Roman" w:hAnsi="Times New Roman" w:eastAsia="宋体" w:cs="Times New Roman"/>
          <w:color w:val="auto"/>
          <w:sz w:val="24"/>
          <w:szCs w:val="24"/>
          <w:lang w:eastAsia="zh-CN"/>
        </w:rPr>
        <w:t>底泥</w:t>
      </w:r>
      <w:r>
        <w:rPr>
          <w:rFonts w:hint="default" w:ascii="Times New Roman" w:hAnsi="Times New Roman" w:eastAsia="宋体" w:cs="Times New Roman"/>
          <w:color w:val="auto"/>
          <w:sz w:val="24"/>
          <w:szCs w:val="24"/>
        </w:rPr>
        <w:t xml:space="preserve">环境参照执行《土壤环境质量 </w:t>
      </w:r>
      <w:r>
        <w:rPr>
          <w:rFonts w:hint="default" w:ascii="Times New Roman" w:hAnsi="Times New Roman" w:eastAsia="宋体" w:cs="Times New Roman"/>
          <w:color w:val="auto"/>
          <w:sz w:val="24"/>
          <w:szCs w:val="24"/>
          <w:lang w:eastAsia="zh-CN"/>
        </w:rPr>
        <w:t>农</w:t>
      </w:r>
      <w:r>
        <w:rPr>
          <w:rFonts w:hint="default" w:ascii="Times New Roman" w:hAnsi="Times New Roman" w:eastAsia="宋体" w:cs="Times New Roman"/>
          <w:color w:val="auto"/>
          <w:sz w:val="24"/>
          <w:szCs w:val="24"/>
        </w:rPr>
        <w:t>用地土壤污染风险管控标准（试行）》（GB</w:t>
      </w:r>
      <w:r>
        <w:rPr>
          <w:rFonts w:hint="default" w:ascii="Times New Roman" w:hAnsi="Times New Roman" w:eastAsia="宋体" w:cs="Times New Roman"/>
          <w:color w:val="auto"/>
          <w:sz w:val="24"/>
          <w:szCs w:val="24"/>
          <w:lang w:eastAsia="zh-CN"/>
        </w:rPr>
        <w:t>15618</w:t>
      </w:r>
      <w:r>
        <w:rPr>
          <w:rFonts w:hint="default" w:ascii="Times New Roman" w:hAnsi="Times New Roman" w:eastAsia="宋体" w:cs="Times New Roman"/>
          <w:color w:val="auto"/>
          <w:sz w:val="24"/>
          <w:szCs w:val="24"/>
        </w:rPr>
        <w:t>-2018）表1</w:t>
      </w:r>
      <w:r>
        <w:rPr>
          <w:rFonts w:hint="default" w:ascii="Times New Roman" w:hAnsi="Times New Roman" w:eastAsia="宋体" w:cs="Times New Roman"/>
          <w:color w:val="auto"/>
          <w:sz w:val="24"/>
          <w:szCs w:val="24"/>
          <w:lang w:eastAsia="zh-CN"/>
        </w:rPr>
        <w:t>限</w:t>
      </w:r>
      <w:r>
        <w:rPr>
          <w:rFonts w:hint="default" w:ascii="Times New Roman" w:hAnsi="Times New Roman" w:eastAsia="宋体" w:cs="Times New Roman"/>
          <w:color w:val="auto"/>
          <w:sz w:val="24"/>
          <w:szCs w:val="24"/>
        </w:rPr>
        <w:t>值</w:t>
      </w:r>
      <w:r>
        <w:rPr>
          <w:rFonts w:hint="default" w:ascii="Times New Roman" w:hAnsi="Times New Roman" w:eastAsia="宋体" w:cs="Times New Roman"/>
          <w:color w:val="auto"/>
          <w:sz w:val="24"/>
          <w:szCs w:val="24"/>
          <w:lang w:eastAsia="zh-CN"/>
        </w:rPr>
        <w:t>。</w:t>
      </w:r>
    </w:p>
    <w:p w14:paraId="0F27E053">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（5）</w:t>
      </w:r>
      <w:r>
        <w:rPr>
          <w:rFonts w:hint="default" w:ascii="Times New Roman" w:hAnsi="Times New Roman" w:eastAsia="宋体" w:cs="Times New Roman"/>
          <w:color w:val="auto"/>
          <w:sz w:val="24"/>
          <w:szCs w:val="24"/>
        </w:rPr>
        <w:t>建设项目拟选址环境功能属性</w:t>
      </w:r>
    </w:p>
    <w:p w14:paraId="11560605">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项目选址环境功能属性</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700"/>
        <w:gridCol w:w="4862"/>
      </w:tblGrid>
      <w:tr w14:paraId="363D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4211521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编号</w:t>
            </w:r>
          </w:p>
        </w:tc>
        <w:tc>
          <w:tcPr>
            <w:tcW w:w="1642" w:type="pct"/>
            <w:noWrap w:val="0"/>
            <w:vAlign w:val="center"/>
          </w:tcPr>
          <w:p w14:paraId="3A2E784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项目</w:t>
            </w:r>
          </w:p>
        </w:tc>
        <w:tc>
          <w:tcPr>
            <w:tcW w:w="2956" w:type="pct"/>
            <w:noWrap w:val="0"/>
            <w:vAlign w:val="center"/>
          </w:tcPr>
          <w:p w14:paraId="5E7C086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功能属性及执行标准</w:t>
            </w:r>
          </w:p>
        </w:tc>
      </w:tr>
      <w:tr w14:paraId="563A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2A1656C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w:t>
            </w:r>
          </w:p>
        </w:tc>
        <w:tc>
          <w:tcPr>
            <w:tcW w:w="1642" w:type="pct"/>
            <w:noWrap w:val="0"/>
            <w:vAlign w:val="center"/>
          </w:tcPr>
          <w:p w14:paraId="17BDFB3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地表水环境功能区</w:t>
            </w:r>
          </w:p>
        </w:tc>
        <w:tc>
          <w:tcPr>
            <w:tcW w:w="2956" w:type="pct"/>
            <w:noWrap w:val="0"/>
            <w:vAlign w:val="center"/>
          </w:tcPr>
          <w:p w14:paraId="4D59278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《地表水环境质量标准》（GB3838-2002）Ⅲ类</w:t>
            </w:r>
          </w:p>
        </w:tc>
      </w:tr>
      <w:tr w14:paraId="2FC4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1003B60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2</w:t>
            </w:r>
          </w:p>
        </w:tc>
        <w:tc>
          <w:tcPr>
            <w:tcW w:w="1642" w:type="pct"/>
            <w:noWrap w:val="0"/>
            <w:vAlign w:val="center"/>
          </w:tcPr>
          <w:p w14:paraId="734B632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环境空气质量功能区</w:t>
            </w:r>
          </w:p>
        </w:tc>
        <w:tc>
          <w:tcPr>
            <w:tcW w:w="2956" w:type="pct"/>
            <w:noWrap w:val="0"/>
            <w:vAlign w:val="center"/>
          </w:tcPr>
          <w:p w14:paraId="5127AC3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《环境空气质量标准》（GB3095-2012）及其修改单二类区，执行二级标准</w:t>
            </w:r>
          </w:p>
        </w:tc>
      </w:tr>
      <w:tr w14:paraId="2AD3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2C577D9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3</w:t>
            </w:r>
          </w:p>
        </w:tc>
        <w:tc>
          <w:tcPr>
            <w:tcW w:w="1642" w:type="pct"/>
            <w:noWrap w:val="0"/>
            <w:vAlign w:val="center"/>
          </w:tcPr>
          <w:p w14:paraId="7B7EC7E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声环境功能区</w:t>
            </w:r>
          </w:p>
        </w:tc>
        <w:tc>
          <w:tcPr>
            <w:tcW w:w="2956" w:type="pct"/>
            <w:noWrap w:val="0"/>
            <w:vAlign w:val="center"/>
          </w:tcPr>
          <w:p w14:paraId="7128774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《声环境质量标准》（GB3096-2008）4类区及2类区，执行4a类及2类标准</w:t>
            </w:r>
          </w:p>
        </w:tc>
      </w:tr>
      <w:tr w14:paraId="7FE6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0D6E07B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4</w:t>
            </w:r>
          </w:p>
        </w:tc>
        <w:tc>
          <w:tcPr>
            <w:tcW w:w="1642" w:type="pct"/>
            <w:noWrap w:val="0"/>
            <w:vAlign w:val="center"/>
          </w:tcPr>
          <w:p w14:paraId="54A2640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土壤环境</w:t>
            </w:r>
          </w:p>
        </w:tc>
        <w:tc>
          <w:tcPr>
            <w:tcW w:w="2956" w:type="pct"/>
            <w:noWrap w:val="0"/>
            <w:vAlign w:val="center"/>
          </w:tcPr>
          <w:p w14:paraId="022A4F9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参照执行《土壤环境质量 农用地土壤污染风险管控标准（试行）》（GB15618-2018）表1风险筛选值。</w:t>
            </w:r>
          </w:p>
        </w:tc>
      </w:tr>
      <w:tr w14:paraId="3072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3F41F9F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5</w:t>
            </w:r>
          </w:p>
        </w:tc>
        <w:tc>
          <w:tcPr>
            <w:tcW w:w="1642" w:type="pct"/>
            <w:noWrap w:val="0"/>
            <w:vAlign w:val="center"/>
          </w:tcPr>
          <w:p w14:paraId="68F4B62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是否基本农田保护区</w:t>
            </w:r>
          </w:p>
        </w:tc>
        <w:tc>
          <w:tcPr>
            <w:tcW w:w="2956" w:type="pct"/>
            <w:noWrap w:val="0"/>
            <w:vAlign w:val="center"/>
          </w:tcPr>
          <w:p w14:paraId="3483918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37A3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4123EA7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6</w:t>
            </w:r>
          </w:p>
        </w:tc>
        <w:tc>
          <w:tcPr>
            <w:tcW w:w="1642" w:type="pct"/>
            <w:noWrap w:val="0"/>
            <w:vAlign w:val="center"/>
          </w:tcPr>
          <w:p w14:paraId="33FE6E8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是否森林、公园</w:t>
            </w:r>
          </w:p>
        </w:tc>
        <w:tc>
          <w:tcPr>
            <w:tcW w:w="2956" w:type="pct"/>
            <w:noWrap w:val="0"/>
            <w:vAlign w:val="center"/>
          </w:tcPr>
          <w:p w14:paraId="6034770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1D58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4515DB2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7</w:t>
            </w:r>
          </w:p>
        </w:tc>
        <w:tc>
          <w:tcPr>
            <w:tcW w:w="1642" w:type="pct"/>
            <w:noWrap w:val="0"/>
            <w:vAlign w:val="center"/>
          </w:tcPr>
          <w:p w14:paraId="5A3B641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是否生态功能保护区</w:t>
            </w:r>
          </w:p>
        </w:tc>
        <w:tc>
          <w:tcPr>
            <w:tcW w:w="2956" w:type="pct"/>
            <w:noWrap w:val="0"/>
            <w:vAlign w:val="center"/>
          </w:tcPr>
          <w:p w14:paraId="0FD9726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w:t>
            </w:r>
          </w:p>
        </w:tc>
      </w:tr>
      <w:tr w14:paraId="50F1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348668A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8</w:t>
            </w:r>
          </w:p>
        </w:tc>
        <w:tc>
          <w:tcPr>
            <w:tcW w:w="1642" w:type="pct"/>
            <w:noWrap w:val="0"/>
            <w:vAlign w:val="center"/>
          </w:tcPr>
          <w:p w14:paraId="7EAE1E6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是否水土流失重点防治区</w:t>
            </w:r>
          </w:p>
        </w:tc>
        <w:tc>
          <w:tcPr>
            <w:tcW w:w="2956" w:type="pct"/>
            <w:noWrap w:val="0"/>
            <w:vAlign w:val="center"/>
          </w:tcPr>
          <w:p w14:paraId="5F062DF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3F78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259B76E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9</w:t>
            </w:r>
          </w:p>
        </w:tc>
        <w:tc>
          <w:tcPr>
            <w:tcW w:w="1642" w:type="pct"/>
            <w:noWrap w:val="0"/>
            <w:vAlign w:val="center"/>
          </w:tcPr>
          <w:p w14:paraId="48B1DE2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是否人口密集区</w:t>
            </w:r>
          </w:p>
        </w:tc>
        <w:tc>
          <w:tcPr>
            <w:tcW w:w="2956" w:type="pct"/>
            <w:noWrap w:val="0"/>
            <w:vAlign w:val="center"/>
          </w:tcPr>
          <w:p w14:paraId="779B389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6F85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5E314F4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10</w:t>
            </w:r>
          </w:p>
        </w:tc>
        <w:tc>
          <w:tcPr>
            <w:tcW w:w="1642" w:type="pct"/>
            <w:noWrap w:val="0"/>
            <w:vAlign w:val="center"/>
          </w:tcPr>
          <w:p w14:paraId="793ED99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是否重点文物保护单位</w:t>
            </w:r>
          </w:p>
        </w:tc>
        <w:tc>
          <w:tcPr>
            <w:tcW w:w="2956" w:type="pct"/>
            <w:noWrap w:val="0"/>
            <w:vAlign w:val="center"/>
          </w:tcPr>
          <w:p w14:paraId="31F22DB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13D3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2155C2D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11</w:t>
            </w:r>
          </w:p>
        </w:tc>
        <w:tc>
          <w:tcPr>
            <w:tcW w:w="1642" w:type="pct"/>
            <w:noWrap w:val="0"/>
            <w:vAlign w:val="center"/>
          </w:tcPr>
          <w:p w14:paraId="0F1C6A3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是否三河、三湖、两控区</w:t>
            </w:r>
          </w:p>
        </w:tc>
        <w:tc>
          <w:tcPr>
            <w:tcW w:w="2956" w:type="pct"/>
            <w:noWrap w:val="0"/>
            <w:vAlign w:val="center"/>
          </w:tcPr>
          <w:p w14:paraId="2EC34FD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是（两控区）</w:t>
            </w:r>
          </w:p>
        </w:tc>
      </w:tr>
      <w:tr w14:paraId="3AEB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16C618F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12</w:t>
            </w:r>
          </w:p>
        </w:tc>
        <w:tc>
          <w:tcPr>
            <w:tcW w:w="1642" w:type="pct"/>
            <w:noWrap w:val="0"/>
            <w:vAlign w:val="center"/>
          </w:tcPr>
          <w:p w14:paraId="40E75BB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是否属于饮用水源保护区</w:t>
            </w:r>
          </w:p>
        </w:tc>
        <w:tc>
          <w:tcPr>
            <w:tcW w:w="2956" w:type="pct"/>
            <w:noWrap w:val="0"/>
            <w:vAlign w:val="center"/>
          </w:tcPr>
          <w:p w14:paraId="7BFB250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5D06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5F52634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13</w:t>
            </w:r>
          </w:p>
        </w:tc>
        <w:tc>
          <w:tcPr>
            <w:tcW w:w="1642" w:type="pct"/>
            <w:noWrap w:val="0"/>
            <w:vAlign w:val="center"/>
          </w:tcPr>
          <w:p w14:paraId="0D23EC1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是否污水处理厂集水范围</w:t>
            </w:r>
          </w:p>
        </w:tc>
        <w:tc>
          <w:tcPr>
            <w:tcW w:w="2956" w:type="pct"/>
            <w:noWrap w:val="0"/>
            <w:vAlign w:val="center"/>
          </w:tcPr>
          <w:p w14:paraId="45C5B82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否</w:t>
            </w:r>
          </w:p>
        </w:tc>
      </w:tr>
      <w:tr w14:paraId="39D0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noWrap w:val="0"/>
            <w:vAlign w:val="center"/>
          </w:tcPr>
          <w:p w14:paraId="6BB4275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14</w:t>
            </w:r>
          </w:p>
        </w:tc>
        <w:tc>
          <w:tcPr>
            <w:tcW w:w="1642" w:type="pct"/>
            <w:noWrap w:val="0"/>
            <w:vAlign w:val="center"/>
          </w:tcPr>
          <w:p w14:paraId="7ABEF72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是否属于生态敏感与脆弱区</w:t>
            </w:r>
          </w:p>
        </w:tc>
        <w:tc>
          <w:tcPr>
            <w:tcW w:w="2956" w:type="pct"/>
            <w:noWrap w:val="0"/>
            <w:vAlign w:val="center"/>
          </w:tcPr>
          <w:p w14:paraId="125055B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是</w:t>
            </w:r>
          </w:p>
        </w:tc>
      </w:tr>
    </w:tbl>
    <w:p w14:paraId="21CC4FC6">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4"/>
          <w:szCs w:val="24"/>
          <w:lang w:val="en-US" w:eastAsia="zh-CN"/>
        </w:rPr>
      </w:pPr>
      <w:bookmarkStart w:id="255" w:name="_Toc24904"/>
      <w:bookmarkStart w:id="256" w:name="_Toc16113_WPSOffice_Level3"/>
      <w:bookmarkStart w:id="257" w:name="_Toc18642"/>
      <w:bookmarkStart w:id="258" w:name="_Toc29162"/>
      <w:bookmarkStart w:id="259" w:name="_Toc6371"/>
      <w:bookmarkStart w:id="260" w:name="_Toc26440"/>
      <w:bookmarkStart w:id="261" w:name="_Toc31408"/>
      <w:bookmarkStart w:id="262" w:name="_Toc32379"/>
      <w:bookmarkStart w:id="263" w:name="_Toc30167"/>
      <w:bookmarkStart w:id="264" w:name="_Toc24067"/>
      <w:bookmarkStart w:id="265" w:name="_Toc7050"/>
      <w:bookmarkStart w:id="266" w:name="_Toc6308"/>
      <w:bookmarkStart w:id="267" w:name="_Toc12305"/>
      <w:bookmarkStart w:id="268" w:name="_Toc28753_WPSOffice_Level3"/>
      <w:r>
        <w:rPr>
          <w:rFonts w:hint="default" w:ascii="Times New Roman" w:hAnsi="Times New Roman" w:eastAsia="宋体" w:cs="Times New Roman"/>
          <w:color w:val="auto"/>
          <w:sz w:val="28"/>
          <w:szCs w:val="28"/>
        </w:rPr>
        <w:t>2.</w:t>
      </w:r>
      <w:r>
        <w:rPr>
          <w:rFonts w:hint="eastAsia" w:cs="Times New Roman"/>
          <w:color w:val="auto"/>
          <w:sz w:val="28"/>
          <w:szCs w:val="28"/>
          <w:lang w:val="en-US" w:eastAsia="zh-CN"/>
        </w:rPr>
        <w:t>4评价标准</w:t>
      </w:r>
      <w:bookmarkEnd w:id="255"/>
    </w:p>
    <w:bookmarkEnd w:id="253"/>
    <w:bookmarkEnd w:id="254"/>
    <w:bookmarkEnd w:id="256"/>
    <w:bookmarkEnd w:id="257"/>
    <w:bookmarkEnd w:id="258"/>
    <w:bookmarkEnd w:id="259"/>
    <w:bookmarkEnd w:id="260"/>
    <w:bookmarkEnd w:id="261"/>
    <w:bookmarkEnd w:id="262"/>
    <w:bookmarkEnd w:id="263"/>
    <w:bookmarkEnd w:id="264"/>
    <w:bookmarkEnd w:id="265"/>
    <w:bookmarkEnd w:id="266"/>
    <w:bookmarkEnd w:id="267"/>
    <w:bookmarkEnd w:id="268"/>
    <w:p w14:paraId="4010F3FC">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bookmarkStart w:id="269" w:name="_Toc24531"/>
      <w:bookmarkStart w:id="270" w:name="_Toc11346_WPSOffice_Level3"/>
      <w:bookmarkStart w:id="271" w:name="_Toc18715_WPSOffice_Level3"/>
      <w:r>
        <w:rPr>
          <w:rFonts w:hint="eastAsia" w:cs="Times New Roman"/>
          <w:color w:val="auto"/>
          <w:sz w:val="24"/>
          <w:szCs w:val="24"/>
          <w:lang w:val="en-US" w:eastAsia="zh-CN"/>
        </w:rPr>
        <w:t>2.4.1</w:t>
      </w:r>
      <w:r>
        <w:rPr>
          <w:rFonts w:hint="default" w:ascii="Times New Roman" w:hAnsi="Times New Roman" w:eastAsia="宋体" w:cs="Times New Roman"/>
          <w:color w:val="auto"/>
          <w:sz w:val="24"/>
          <w:szCs w:val="24"/>
        </w:rPr>
        <w:t>、环境质量标准</w:t>
      </w:r>
      <w:bookmarkEnd w:id="269"/>
      <w:bookmarkEnd w:id="270"/>
      <w:bookmarkEnd w:id="271"/>
    </w:p>
    <w:p w14:paraId="55298EB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（1）空气环境：SO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TSP</w:t>
      </w:r>
      <w:r>
        <w:rPr>
          <w:rFonts w:hint="default" w:ascii="Times New Roman" w:hAnsi="Times New Roman" w:eastAsia="宋体" w:cs="Times New Roman"/>
          <w:color w:val="auto"/>
          <w:sz w:val="24"/>
          <w:szCs w:val="24"/>
        </w:rPr>
        <w:t>满足《环境空气质量标准》（GB3095-2012）及其修改单中的</w:t>
      </w:r>
      <w:r>
        <w:rPr>
          <w:rFonts w:hint="default" w:ascii="Times New Roman" w:hAnsi="Times New Roman" w:eastAsia="宋体" w:cs="Times New Roman"/>
          <w:color w:val="auto"/>
          <w:sz w:val="24"/>
          <w:szCs w:val="24"/>
          <w:lang w:eastAsia="zh-CN"/>
        </w:rPr>
        <w:t>二</w:t>
      </w:r>
      <w:r>
        <w:rPr>
          <w:rFonts w:hint="default" w:ascii="Times New Roman" w:hAnsi="Times New Roman" w:eastAsia="宋体" w:cs="Times New Roman"/>
          <w:color w:val="auto"/>
          <w:sz w:val="24"/>
          <w:szCs w:val="24"/>
        </w:rPr>
        <w:t>级标准。</w:t>
      </w:r>
    </w:p>
    <w:p w14:paraId="1342D832">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 xml:space="preserve"> 环境空气常规因子质量标准（单位：ug/m³）</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930"/>
        <w:gridCol w:w="1635"/>
        <w:gridCol w:w="1236"/>
        <w:gridCol w:w="1508"/>
        <w:gridCol w:w="2911"/>
      </w:tblGrid>
      <w:tr w14:paraId="5A552A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959" w:type="dxa"/>
            <w:vMerge w:val="restart"/>
            <w:noWrap w:val="0"/>
            <w:vAlign w:val="center"/>
          </w:tcPr>
          <w:p w14:paraId="02D9FFD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评价因子</w:t>
            </w:r>
          </w:p>
        </w:tc>
        <w:tc>
          <w:tcPr>
            <w:tcW w:w="4527" w:type="dxa"/>
            <w:gridSpan w:val="3"/>
            <w:noWrap w:val="0"/>
            <w:vAlign w:val="center"/>
          </w:tcPr>
          <w:p w14:paraId="060DB5C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标准值</w:t>
            </w:r>
          </w:p>
        </w:tc>
        <w:tc>
          <w:tcPr>
            <w:tcW w:w="3018" w:type="dxa"/>
            <w:vMerge w:val="restart"/>
            <w:noWrap w:val="0"/>
            <w:vAlign w:val="center"/>
          </w:tcPr>
          <w:p w14:paraId="19FAC7D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评价标准</w:t>
            </w:r>
          </w:p>
        </w:tc>
      </w:tr>
      <w:tr w14:paraId="680B67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59" w:type="dxa"/>
            <w:vMerge w:val="continue"/>
            <w:noWrap w:val="0"/>
            <w:vAlign w:val="center"/>
          </w:tcPr>
          <w:p w14:paraId="12E93CF5">
            <w:pPr>
              <w:pStyle w:val="41"/>
              <w:rPr>
                <w:rFonts w:hint="default" w:ascii="Times New Roman" w:hAnsi="Times New Roman" w:eastAsia="宋体" w:cs="Times New Roman"/>
                <w:color w:val="auto"/>
                <w:kern w:val="2"/>
                <w:sz w:val="21"/>
                <w:szCs w:val="24"/>
                <w:lang w:val="en-US" w:eastAsia="zh-CN"/>
              </w:rPr>
            </w:pPr>
          </w:p>
        </w:tc>
        <w:tc>
          <w:tcPr>
            <w:tcW w:w="1692" w:type="dxa"/>
            <w:noWrap w:val="0"/>
            <w:vAlign w:val="center"/>
          </w:tcPr>
          <w:p w14:paraId="66DAB012">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24小时</w:t>
            </w:r>
            <w:r>
              <w:rPr>
                <w:rFonts w:hint="default" w:ascii="Times New Roman" w:hAnsi="Times New Roman" w:eastAsia="宋体" w:cs="Times New Roman"/>
                <w:color w:val="auto"/>
                <w:kern w:val="2"/>
                <w:sz w:val="21"/>
                <w:szCs w:val="24"/>
                <w:lang w:val="en-US" w:eastAsia="zh-CN"/>
              </w:rPr>
              <w:t>平均</w:t>
            </w:r>
          </w:p>
        </w:tc>
        <w:tc>
          <w:tcPr>
            <w:tcW w:w="1276" w:type="dxa"/>
            <w:noWrap w:val="0"/>
            <w:vAlign w:val="center"/>
          </w:tcPr>
          <w:p w14:paraId="48A2309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1小时平均</w:t>
            </w:r>
          </w:p>
        </w:tc>
        <w:tc>
          <w:tcPr>
            <w:tcW w:w="1559" w:type="dxa"/>
            <w:noWrap w:val="0"/>
            <w:vAlign w:val="center"/>
          </w:tcPr>
          <w:p w14:paraId="11B9817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年平均</w:t>
            </w:r>
          </w:p>
        </w:tc>
        <w:tc>
          <w:tcPr>
            <w:tcW w:w="3018" w:type="dxa"/>
            <w:vMerge w:val="continue"/>
            <w:noWrap w:val="0"/>
            <w:vAlign w:val="center"/>
          </w:tcPr>
          <w:p w14:paraId="13797C3B">
            <w:pPr>
              <w:pStyle w:val="41"/>
              <w:rPr>
                <w:rFonts w:hint="default" w:ascii="Times New Roman" w:hAnsi="Times New Roman" w:eastAsia="宋体" w:cs="Times New Roman"/>
                <w:color w:val="auto"/>
                <w:kern w:val="2"/>
                <w:sz w:val="21"/>
                <w:szCs w:val="24"/>
                <w:lang w:val="en-US" w:eastAsia="zh-CN"/>
              </w:rPr>
            </w:pPr>
          </w:p>
        </w:tc>
      </w:tr>
      <w:tr w14:paraId="0ECCB49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4E298EE7">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SO</w:t>
            </w:r>
            <w:r>
              <w:rPr>
                <w:rFonts w:hint="default" w:ascii="Times New Roman" w:hAnsi="Times New Roman" w:eastAsia="宋体" w:cs="Times New Roman"/>
                <w:color w:val="auto"/>
                <w:kern w:val="2"/>
                <w:sz w:val="21"/>
                <w:szCs w:val="24"/>
                <w:vertAlign w:val="subscript"/>
              </w:rPr>
              <w:t>2</w:t>
            </w:r>
          </w:p>
        </w:tc>
        <w:tc>
          <w:tcPr>
            <w:tcW w:w="1692" w:type="dxa"/>
            <w:noWrap w:val="0"/>
            <w:vAlign w:val="center"/>
          </w:tcPr>
          <w:p w14:paraId="30F26093">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150</w:t>
            </w:r>
          </w:p>
        </w:tc>
        <w:tc>
          <w:tcPr>
            <w:tcW w:w="1276" w:type="dxa"/>
            <w:noWrap w:val="0"/>
            <w:vAlign w:val="center"/>
          </w:tcPr>
          <w:p w14:paraId="07837994">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500</w:t>
            </w:r>
          </w:p>
        </w:tc>
        <w:tc>
          <w:tcPr>
            <w:tcW w:w="1559" w:type="dxa"/>
            <w:noWrap w:val="0"/>
            <w:vAlign w:val="top"/>
          </w:tcPr>
          <w:p w14:paraId="20158ADC">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60</w:t>
            </w:r>
          </w:p>
        </w:tc>
        <w:tc>
          <w:tcPr>
            <w:tcW w:w="3018" w:type="dxa"/>
            <w:vMerge w:val="restart"/>
            <w:noWrap w:val="0"/>
            <w:vAlign w:val="center"/>
          </w:tcPr>
          <w:p w14:paraId="71741D5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《环境空气质量标准》（GB3095-2012）及其修改单二级标准</w:t>
            </w:r>
          </w:p>
        </w:tc>
      </w:tr>
      <w:tr w14:paraId="5859F95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18B536F0">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NO</w:t>
            </w:r>
            <w:r>
              <w:rPr>
                <w:rFonts w:hint="default" w:ascii="Times New Roman" w:hAnsi="Times New Roman" w:eastAsia="宋体" w:cs="Times New Roman"/>
                <w:color w:val="auto"/>
                <w:kern w:val="2"/>
                <w:sz w:val="21"/>
                <w:szCs w:val="24"/>
                <w:vertAlign w:val="subscript"/>
              </w:rPr>
              <w:t>2</w:t>
            </w:r>
          </w:p>
        </w:tc>
        <w:tc>
          <w:tcPr>
            <w:tcW w:w="1692" w:type="dxa"/>
            <w:noWrap w:val="0"/>
            <w:vAlign w:val="center"/>
          </w:tcPr>
          <w:p w14:paraId="404A6028">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80</w:t>
            </w:r>
          </w:p>
        </w:tc>
        <w:tc>
          <w:tcPr>
            <w:tcW w:w="1276" w:type="dxa"/>
            <w:noWrap w:val="0"/>
            <w:vAlign w:val="center"/>
          </w:tcPr>
          <w:p w14:paraId="2E1BC9E0">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200</w:t>
            </w:r>
          </w:p>
        </w:tc>
        <w:tc>
          <w:tcPr>
            <w:tcW w:w="1559" w:type="dxa"/>
            <w:noWrap w:val="0"/>
            <w:vAlign w:val="top"/>
          </w:tcPr>
          <w:p w14:paraId="217D0F8E">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40</w:t>
            </w:r>
          </w:p>
        </w:tc>
        <w:tc>
          <w:tcPr>
            <w:tcW w:w="3018" w:type="dxa"/>
            <w:vMerge w:val="continue"/>
            <w:noWrap w:val="0"/>
            <w:vAlign w:val="center"/>
          </w:tcPr>
          <w:p w14:paraId="438F673B">
            <w:pPr>
              <w:pStyle w:val="41"/>
              <w:rPr>
                <w:rFonts w:hint="default" w:ascii="Times New Roman" w:hAnsi="Times New Roman" w:eastAsia="宋体" w:cs="Times New Roman"/>
                <w:color w:val="auto"/>
                <w:kern w:val="2"/>
                <w:sz w:val="21"/>
                <w:szCs w:val="24"/>
                <w:lang w:val="en-US" w:eastAsia="zh-CN"/>
              </w:rPr>
            </w:pPr>
          </w:p>
        </w:tc>
      </w:tr>
      <w:tr w14:paraId="2609898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51F34DFF">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PM</w:t>
            </w:r>
            <w:r>
              <w:rPr>
                <w:rFonts w:hint="default" w:ascii="Times New Roman" w:hAnsi="Times New Roman" w:eastAsia="宋体" w:cs="Times New Roman"/>
                <w:color w:val="auto"/>
                <w:kern w:val="2"/>
                <w:sz w:val="21"/>
                <w:szCs w:val="24"/>
                <w:vertAlign w:val="subscript"/>
              </w:rPr>
              <w:t>10</w:t>
            </w:r>
          </w:p>
        </w:tc>
        <w:tc>
          <w:tcPr>
            <w:tcW w:w="1692" w:type="dxa"/>
            <w:noWrap w:val="0"/>
            <w:vAlign w:val="center"/>
          </w:tcPr>
          <w:p w14:paraId="58E925EC">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150</w:t>
            </w:r>
          </w:p>
        </w:tc>
        <w:tc>
          <w:tcPr>
            <w:tcW w:w="1276" w:type="dxa"/>
            <w:noWrap w:val="0"/>
            <w:vAlign w:val="center"/>
          </w:tcPr>
          <w:p w14:paraId="11B1979C">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w:t>
            </w:r>
          </w:p>
        </w:tc>
        <w:tc>
          <w:tcPr>
            <w:tcW w:w="1559" w:type="dxa"/>
            <w:noWrap w:val="0"/>
            <w:vAlign w:val="top"/>
          </w:tcPr>
          <w:p w14:paraId="5B63888E">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70</w:t>
            </w:r>
          </w:p>
        </w:tc>
        <w:tc>
          <w:tcPr>
            <w:tcW w:w="3018" w:type="dxa"/>
            <w:vMerge w:val="continue"/>
            <w:noWrap w:val="0"/>
            <w:vAlign w:val="center"/>
          </w:tcPr>
          <w:p w14:paraId="2A343F8A">
            <w:pPr>
              <w:pStyle w:val="41"/>
              <w:rPr>
                <w:rFonts w:hint="default" w:ascii="Times New Roman" w:hAnsi="Times New Roman" w:eastAsia="宋体" w:cs="Times New Roman"/>
                <w:color w:val="auto"/>
                <w:kern w:val="2"/>
                <w:sz w:val="21"/>
                <w:szCs w:val="24"/>
                <w:lang w:val="en-US" w:eastAsia="zh-CN"/>
              </w:rPr>
            </w:pPr>
          </w:p>
        </w:tc>
      </w:tr>
      <w:tr w14:paraId="6723CFB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37A4B0ED">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PM</w:t>
            </w:r>
            <w:r>
              <w:rPr>
                <w:rFonts w:hint="default" w:ascii="Times New Roman" w:hAnsi="Times New Roman" w:eastAsia="宋体" w:cs="Times New Roman"/>
                <w:color w:val="auto"/>
                <w:kern w:val="2"/>
                <w:sz w:val="21"/>
                <w:szCs w:val="24"/>
                <w:vertAlign w:val="subscript"/>
              </w:rPr>
              <w:t>2.5</w:t>
            </w:r>
          </w:p>
        </w:tc>
        <w:tc>
          <w:tcPr>
            <w:tcW w:w="1692" w:type="dxa"/>
            <w:noWrap w:val="0"/>
            <w:vAlign w:val="center"/>
          </w:tcPr>
          <w:p w14:paraId="20A21AE6">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75</w:t>
            </w:r>
          </w:p>
        </w:tc>
        <w:tc>
          <w:tcPr>
            <w:tcW w:w="1276" w:type="dxa"/>
            <w:noWrap w:val="0"/>
            <w:vAlign w:val="center"/>
          </w:tcPr>
          <w:p w14:paraId="72987905">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w:t>
            </w:r>
          </w:p>
        </w:tc>
        <w:tc>
          <w:tcPr>
            <w:tcW w:w="1559" w:type="dxa"/>
            <w:noWrap w:val="0"/>
            <w:vAlign w:val="top"/>
          </w:tcPr>
          <w:p w14:paraId="3039312F">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35</w:t>
            </w:r>
          </w:p>
        </w:tc>
        <w:tc>
          <w:tcPr>
            <w:tcW w:w="3018" w:type="dxa"/>
            <w:vMerge w:val="continue"/>
            <w:noWrap w:val="0"/>
            <w:vAlign w:val="center"/>
          </w:tcPr>
          <w:p w14:paraId="40985871">
            <w:pPr>
              <w:pStyle w:val="41"/>
              <w:rPr>
                <w:rFonts w:hint="default" w:ascii="Times New Roman" w:hAnsi="Times New Roman" w:eastAsia="宋体" w:cs="Times New Roman"/>
                <w:color w:val="auto"/>
                <w:kern w:val="2"/>
                <w:sz w:val="21"/>
                <w:szCs w:val="24"/>
                <w:lang w:val="en-US" w:eastAsia="zh-CN"/>
              </w:rPr>
            </w:pPr>
          </w:p>
        </w:tc>
      </w:tr>
      <w:tr w14:paraId="138902E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79FBAF08">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CO</w:t>
            </w:r>
          </w:p>
        </w:tc>
        <w:tc>
          <w:tcPr>
            <w:tcW w:w="1692" w:type="dxa"/>
            <w:noWrap w:val="0"/>
            <w:vAlign w:val="center"/>
          </w:tcPr>
          <w:p w14:paraId="0DE194D5">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4000</w:t>
            </w:r>
          </w:p>
        </w:tc>
        <w:tc>
          <w:tcPr>
            <w:tcW w:w="1276" w:type="dxa"/>
            <w:noWrap w:val="0"/>
            <w:vAlign w:val="center"/>
          </w:tcPr>
          <w:p w14:paraId="207940F7">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10000</w:t>
            </w:r>
          </w:p>
        </w:tc>
        <w:tc>
          <w:tcPr>
            <w:tcW w:w="1559" w:type="dxa"/>
            <w:noWrap w:val="0"/>
            <w:vAlign w:val="center"/>
          </w:tcPr>
          <w:p w14:paraId="5C841802">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w:t>
            </w:r>
          </w:p>
        </w:tc>
        <w:tc>
          <w:tcPr>
            <w:tcW w:w="3018" w:type="dxa"/>
            <w:vMerge w:val="continue"/>
            <w:noWrap w:val="0"/>
            <w:vAlign w:val="center"/>
          </w:tcPr>
          <w:p w14:paraId="67846E1D">
            <w:pPr>
              <w:pStyle w:val="41"/>
              <w:rPr>
                <w:rFonts w:hint="default" w:ascii="Times New Roman" w:hAnsi="Times New Roman" w:eastAsia="宋体" w:cs="Times New Roman"/>
                <w:color w:val="auto"/>
                <w:kern w:val="2"/>
                <w:sz w:val="21"/>
                <w:szCs w:val="24"/>
                <w:lang w:val="en-US" w:eastAsia="zh-CN"/>
              </w:rPr>
            </w:pPr>
          </w:p>
        </w:tc>
      </w:tr>
      <w:tr w14:paraId="7D50A3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4FE81AA4">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O</w:t>
            </w:r>
            <w:r>
              <w:rPr>
                <w:rFonts w:hint="default" w:ascii="Times New Roman" w:hAnsi="Times New Roman" w:eastAsia="宋体" w:cs="Times New Roman"/>
                <w:color w:val="auto"/>
                <w:kern w:val="2"/>
                <w:sz w:val="21"/>
                <w:szCs w:val="24"/>
                <w:vertAlign w:val="subscript"/>
              </w:rPr>
              <w:t>3</w:t>
            </w:r>
          </w:p>
        </w:tc>
        <w:tc>
          <w:tcPr>
            <w:tcW w:w="1692" w:type="dxa"/>
            <w:noWrap w:val="0"/>
            <w:vAlign w:val="center"/>
          </w:tcPr>
          <w:p w14:paraId="01615DD8">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160（8h均值）</w:t>
            </w:r>
          </w:p>
        </w:tc>
        <w:tc>
          <w:tcPr>
            <w:tcW w:w="1276" w:type="dxa"/>
            <w:noWrap w:val="0"/>
            <w:vAlign w:val="center"/>
          </w:tcPr>
          <w:p w14:paraId="0D4C4F2A">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200</w:t>
            </w:r>
          </w:p>
        </w:tc>
        <w:tc>
          <w:tcPr>
            <w:tcW w:w="1559" w:type="dxa"/>
            <w:noWrap w:val="0"/>
            <w:vAlign w:val="center"/>
          </w:tcPr>
          <w:p w14:paraId="5D93CF4B">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w:t>
            </w:r>
          </w:p>
        </w:tc>
        <w:tc>
          <w:tcPr>
            <w:tcW w:w="3018" w:type="dxa"/>
            <w:vMerge w:val="continue"/>
            <w:noWrap w:val="0"/>
            <w:vAlign w:val="center"/>
          </w:tcPr>
          <w:p w14:paraId="2D61BD89">
            <w:pPr>
              <w:pStyle w:val="41"/>
              <w:rPr>
                <w:rFonts w:hint="default" w:ascii="Times New Roman" w:hAnsi="Times New Roman" w:eastAsia="宋体" w:cs="Times New Roman"/>
                <w:color w:val="auto"/>
                <w:kern w:val="2"/>
                <w:sz w:val="21"/>
                <w:szCs w:val="24"/>
                <w:lang w:val="en-US" w:eastAsia="zh-CN"/>
              </w:rPr>
            </w:pPr>
          </w:p>
        </w:tc>
      </w:tr>
      <w:tr w14:paraId="631D99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59" w:type="dxa"/>
            <w:noWrap w:val="0"/>
            <w:vAlign w:val="center"/>
          </w:tcPr>
          <w:p w14:paraId="45C909D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TSP</w:t>
            </w:r>
          </w:p>
        </w:tc>
        <w:tc>
          <w:tcPr>
            <w:tcW w:w="1692" w:type="dxa"/>
            <w:noWrap w:val="0"/>
            <w:vAlign w:val="center"/>
          </w:tcPr>
          <w:p w14:paraId="4FC5022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300</w:t>
            </w:r>
          </w:p>
        </w:tc>
        <w:tc>
          <w:tcPr>
            <w:tcW w:w="1276" w:type="dxa"/>
            <w:noWrap w:val="0"/>
            <w:vAlign w:val="center"/>
          </w:tcPr>
          <w:p w14:paraId="2447D45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559" w:type="dxa"/>
            <w:noWrap w:val="0"/>
            <w:vAlign w:val="center"/>
          </w:tcPr>
          <w:p w14:paraId="6A4BAD2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200</w:t>
            </w:r>
          </w:p>
        </w:tc>
        <w:tc>
          <w:tcPr>
            <w:tcW w:w="3018" w:type="dxa"/>
            <w:vMerge w:val="continue"/>
            <w:noWrap w:val="0"/>
            <w:vAlign w:val="center"/>
          </w:tcPr>
          <w:p w14:paraId="7C497BDE">
            <w:pPr>
              <w:pStyle w:val="41"/>
              <w:rPr>
                <w:rFonts w:hint="default" w:ascii="Times New Roman" w:hAnsi="Times New Roman" w:eastAsia="宋体" w:cs="Times New Roman"/>
                <w:color w:val="auto"/>
                <w:kern w:val="2"/>
                <w:sz w:val="21"/>
                <w:szCs w:val="24"/>
                <w:lang w:val="en-US" w:eastAsia="zh-CN"/>
              </w:rPr>
            </w:pPr>
          </w:p>
        </w:tc>
      </w:tr>
    </w:tbl>
    <w:p w14:paraId="0007BE12">
      <w:pPr>
        <w:pStyle w:val="3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r>
        <w:rPr>
          <w:rFonts w:hint="default" w:ascii="Times New Roman" w:hAnsi="Times New Roman" w:eastAsia="宋体" w:cs="Times New Roman"/>
          <w:color w:val="auto"/>
        </w:rPr>
        <w:t>地</w:t>
      </w:r>
      <w:r>
        <w:rPr>
          <w:rFonts w:hint="default" w:ascii="Times New Roman" w:hAnsi="Times New Roman" w:eastAsia="宋体" w:cs="Times New Roman"/>
          <w:color w:val="auto"/>
          <w:lang w:eastAsia="zh-CN"/>
        </w:rPr>
        <w:t>表</w:t>
      </w:r>
      <w:r>
        <w:rPr>
          <w:rFonts w:hint="default" w:ascii="Times New Roman" w:hAnsi="Times New Roman" w:eastAsia="宋体" w:cs="Times New Roman"/>
          <w:color w:val="auto"/>
        </w:rPr>
        <w:t>水环境：</w:t>
      </w:r>
      <w:r>
        <w:rPr>
          <w:rFonts w:hint="default" w:ascii="Times New Roman" w:hAnsi="Times New Roman" w:eastAsia="宋体" w:cs="Times New Roman"/>
          <w:color w:val="auto"/>
          <w:lang w:val="en-US" w:eastAsia="zh-CN"/>
        </w:rPr>
        <w:t>东洞庭湖国家级自然保护区实验区</w:t>
      </w:r>
      <w:r>
        <w:rPr>
          <w:rFonts w:hint="default" w:ascii="Times New Roman" w:hAnsi="Times New Roman" w:eastAsia="宋体" w:cs="Times New Roman"/>
          <w:color w:val="auto"/>
          <w:lang w:eastAsia="zh-CN"/>
        </w:rPr>
        <w:t>，执行《地表水环境质量标准》（GB3838-2002）中Ⅲ类标准。</w:t>
      </w:r>
    </w:p>
    <w:p w14:paraId="7D326807">
      <w:pPr>
        <w:pStyle w:val="4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 xml:space="preserve"> 地表水环境质量标准（单位：mg/L，除pH外</w:t>
      </w:r>
      <w:bookmarkStart w:id="272" w:name="_Toc293492841"/>
      <w:r>
        <w:rPr>
          <w:rFonts w:hint="default" w:ascii="Times New Roman" w:hAnsi="Times New Roman" w:eastAsia="宋体" w:cs="Times New Roman"/>
          <w:color w:val="auto"/>
          <w:sz w:val="24"/>
          <w:szCs w:val="24"/>
        </w:rPr>
        <w:t>）</w:t>
      </w:r>
    </w:p>
    <w:bookmarkEnd w:id="272"/>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3"/>
        <w:gridCol w:w="2121"/>
        <w:gridCol w:w="2545"/>
        <w:gridCol w:w="2787"/>
      </w:tblGrid>
      <w:tr w14:paraId="1E1A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1BD420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275" w:type="pct"/>
            <w:noWrap w:val="0"/>
            <w:vAlign w:val="center"/>
          </w:tcPr>
          <w:p w14:paraId="1B96420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530" w:type="pct"/>
            <w:noWrap w:val="0"/>
            <w:vAlign w:val="top"/>
          </w:tcPr>
          <w:p w14:paraId="79A74B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Ⅱ类</w:t>
            </w:r>
          </w:p>
        </w:tc>
        <w:tc>
          <w:tcPr>
            <w:tcW w:w="1675" w:type="pct"/>
            <w:noWrap w:val="0"/>
            <w:vAlign w:val="center"/>
          </w:tcPr>
          <w:p w14:paraId="0021CFC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Ⅲ类</w:t>
            </w:r>
          </w:p>
        </w:tc>
      </w:tr>
      <w:tr w14:paraId="402F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031B925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75" w:type="pct"/>
            <w:noWrap w:val="0"/>
            <w:vAlign w:val="center"/>
          </w:tcPr>
          <w:p w14:paraId="5815441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1530" w:type="pct"/>
            <w:noWrap w:val="0"/>
            <w:vAlign w:val="center"/>
          </w:tcPr>
          <w:p w14:paraId="3E5BF2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675" w:type="pct"/>
            <w:noWrap w:val="0"/>
            <w:vAlign w:val="center"/>
          </w:tcPr>
          <w:p w14:paraId="233314B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14:paraId="556C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01A73A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75" w:type="pct"/>
            <w:noWrap w:val="0"/>
            <w:vAlign w:val="center"/>
          </w:tcPr>
          <w:p w14:paraId="321B62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1530" w:type="pct"/>
            <w:noWrap w:val="0"/>
            <w:vAlign w:val="center"/>
          </w:tcPr>
          <w:p w14:paraId="679F3B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75" w:type="pct"/>
            <w:noWrap w:val="0"/>
            <w:vAlign w:val="center"/>
          </w:tcPr>
          <w:p w14:paraId="6F8E448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2750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690B89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275" w:type="pct"/>
            <w:noWrap w:val="0"/>
            <w:vAlign w:val="center"/>
          </w:tcPr>
          <w:p w14:paraId="6D0B27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w:t>
            </w:r>
          </w:p>
        </w:tc>
        <w:tc>
          <w:tcPr>
            <w:tcW w:w="1530" w:type="pct"/>
            <w:noWrap w:val="0"/>
            <w:vAlign w:val="center"/>
          </w:tcPr>
          <w:p w14:paraId="32DA51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75" w:type="pct"/>
            <w:noWrap w:val="0"/>
            <w:vAlign w:val="center"/>
          </w:tcPr>
          <w:p w14:paraId="2ABFDB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14:paraId="63E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1127FB7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275" w:type="pct"/>
            <w:noWrap w:val="0"/>
            <w:vAlign w:val="center"/>
          </w:tcPr>
          <w:p w14:paraId="09766C8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1530" w:type="pct"/>
            <w:noWrap w:val="0"/>
            <w:vAlign w:val="center"/>
          </w:tcPr>
          <w:p w14:paraId="46AC6D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675" w:type="pct"/>
            <w:noWrap w:val="0"/>
            <w:vAlign w:val="center"/>
          </w:tcPr>
          <w:p w14:paraId="14B0A73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7EB8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69B36A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275" w:type="pct"/>
            <w:noWrap w:val="0"/>
            <w:vAlign w:val="center"/>
          </w:tcPr>
          <w:p w14:paraId="35211C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p>
        </w:tc>
        <w:tc>
          <w:tcPr>
            <w:tcW w:w="1530" w:type="pct"/>
            <w:noWrap w:val="0"/>
            <w:vAlign w:val="top"/>
          </w:tcPr>
          <w:p w14:paraId="679065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1675" w:type="pct"/>
            <w:noWrap w:val="0"/>
            <w:vAlign w:val="center"/>
          </w:tcPr>
          <w:p w14:paraId="23ACA80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r>
      <w:tr w14:paraId="7AC1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574D8C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275" w:type="pct"/>
            <w:noWrap w:val="0"/>
            <w:vAlign w:val="center"/>
          </w:tcPr>
          <w:p w14:paraId="04F697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1530" w:type="pct"/>
            <w:noWrap w:val="0"/>
            <w:vAlign w:val="top"/>
          </w:tcPr>
          <w:p w14:paraId="38459B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1675" w:type="pct"/>
            <w:noWrap w:val="0"/>
            <w:vAlign w:val="center"/>
          </w:tcPr>
          <w:p w14:paraId="6968CF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r>
      <w:tr w14:paraId="4149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9" w:type="pct"/>
            <w:noWrap w:val="0"/>
            <w:vAlign w:val="center"/>
          </w:tcPr>
          <w:p w14:paraId="30503006">
            <w:pPr>
              <w:pStyle w:val="4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w:t>
            </w:r>
          </w:p>
        </w:tc>
        <w:tc>
          <w:tcPr>
            <w:tcW w:w="1275" w:type="pct"/>
            <w:noWrap w:val="0"/>
            <w:vAlign w:val="center"/>
          </w:tcPr>
          <w:p w14:paraId="7AD50631">
            <w:pPr>
              <w:pStyle w:val="4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SS</w:t>
            </w:r>
          </w:p>
        </w:tc>
        <w:tc>
          <w:tcPr>
            <w:tcW w:w="1530" w:type="pct"/>
            <w:noWrap w:val="0"/>
            <w:vAlign w:val="top"/>
          </w:tcPr>
          <w:p w14:paraId="1BFC9F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675" w:type="pct"/>
            <w:noWrap w:val="0"/>
            <w:vAlign w:val="center"/>
          </w:tcPr>
          <w:p w14:paraId="52D808D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bl>
    <w:p w14:paraId="2DBB673C">
      <w:pPr>
        <w:pStyle w:val="38"/>
        <w:keepNext w:val="0"/>
        <w:keepLines w:val="0"/>
        <w:pageBreakBefore w:val="0"/>
        <w:widowControl w:val="0"/>
        <w:numPr>
          <w:ilvl w:val="0"/>
          <w:numId w:val="4"/>
        </w:numPr>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声环境：航道两侧40m以内区域声环境影响评价执行《声环境质量标准》(GB3096-2008)4a 类标准，40m以外的区域执行2类标准。</w:t>
      </w:r>
    </w:p>
    <w:p w14:paraId="34DE1EFB">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 xml:space="preserve"> 声环境质量评价标准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332"/>
        <w:gridCol w:w="1004"/>
        <w:gridCol w:w="924"/>
        <w:gridCol w:w="4960"/>
      </w:tblGrid>
      <w:tr w14:paraId="047CEBF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76" w:type="dxa"/>
            <w:vMerge w:val="restart"/>
            <w:noWrap w:val="0"/>
            <w:vAlign w:val="center"/>
          </w:tcPr>
          <w:p w14:paraId="13A76179">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区域</w:t>
            </w:r>
          </w:p>
        </w:tc>
        <w:tc>
          <w:tcPr>
            <w:tcW w:w="1985" w:type="dxa"/>
            <w:gridSpan w:val="2"/>
            <w:noWrap w:val="0"/>
            <w:vAlign w:val="center"/>
          </w:tcPr>
          <w:p w14:paraId="2C60322F">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标准值（dB（A））</w:t>
            </w:r>
          </w:p>
        </w:tc>
        <w:tc>
          <w:tcPr>
            <w:tcW w:w="5145" w:type="dxa"/>
            <w:vMerge w:val="restart"/>
            <w:noWrap w:val="0"/>
            <w:vAlign w:val="center"/>
          </w:tcPr>
          <w:p w14:paraId="1F6BFA06">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评价标准</w:t>
            </w:r>
          </w:p>
        </w:tc>
      </w:tr>
      <w:tr w14:paraId="6E21AC0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76" w:type="dxa"/>
            <w:vMerge w:val="continue"/>
            <w:noWrap w:val="0"/>
            <w:vAlign w:val="center"/>
          </w:tcPr>
          <w:p w14:paraId="2792732D">
            <w:pPr>
              <w:pStyle w:val="41"/>
              <w:rPr>
                <w:rFonts w:hint="default" w:ascii="Times New Roman" w:hAnsi="Times New Roman" w:eastAsia="宋体" w:cs="Times New Roman"/>
                <w:color w:val="auto"/>
                <w:kern w:val="2"/>
                <w:sz w:val="21"/>
                <w:szCs w:val="21"/>
                <w:lang w:val="en-US" w:eastAsia="zh-CN"/>
              </w:rPr>
            </w:pPr>
          </w:p>
        </w:tc>
        <w:tc>
          <w:tcPr>
            <w:tcW w:w="1034" w:type="dxa"/>
            <w:noWrap w:val="0"/>
            <w:vAlign w:val="center"/>
          </w:tcPr>
          <w:p w14:paraId="7BDBE65C">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昼间</w:t>
            </w:r>
          </w:p>
        </w:tc>
        <w:tc>
          <w:tcPr>
            <w:tcW w:w="951" w:type="dxa"/>
            <w:noWrap w:val="0"/>
            <w:vAlign w:val="center"/>
          </w:tcPr>
          <w:p w14:paraId="4B01AEBE">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夜间</w:t>
            </w:r>
          </w:p>
        </w:tc>
        <w:tc>
          <w:tcPr>
            <w:tcW w:w="5145" w:type="dxa"/>
            <w:vMerge w:val="continue"/>
            <w:noWrap w:val="0"/>
            <w:vAlign w:val="center"/>
          </w:tcPr>
          <w:p w14:paraId="6DE40E0B">
            <w:pPr>
              <w:pStyle w:val="41"/>
              <w:rPr>
                <w:rFonts w:hint="default" w:ascii="Times New Roman" w:hAnsi="Times New Roman" w:eastAsia="宋体" w:cs="Times New Roman"/>
                <w:color w:val="auto"/>
                <w:kern w:val="2"/>
                <w:sz w:val="21"/>
                <w:szCs w:val="21"/>
                <w:lang w:val="en-US" w:eastAsia="zh-CN"/>
              </w:rPr>
            </w:pPr>
          </w:p>
        </w:tc>
      </w:tr>
      <w:tr w14:paraId="39FE621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76" w:type="dxa"/>
            <w:noWrap w:val="0"/>
            <w:vAlign w:val="center"/>
          </w:tcPr>
          <w:p w14:paraId="614BD85F">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eastAsia="zh-CN"/>
              </w:rPr>
              <w:t>营运期场</w:t>
            </w:r>
            <w:r>
              <w:rPr>
                <w:rFonts w:hint="default" w:ascii="Times New Roman" w:hAnsi="Times New Roman" w:eastAsia="宋体" w:cs="Times New Roman"/>
                <w:color w:val="auto"/>
                <w:sz w:val="21"/>
                <w:szCs w:val="21"/>
              </w:rPr>
              <w:t>界</w:t>
            </w:r>
          </w:p>
        </w:tc>
        <w:tc>
          <w:tcPr>
            <w:tcW w:w="1034" w:type="dxa"/>
            <w:noWrap w:val="0"/>
            <w:vAlign w:val="center"/>
          </w:tcPr>
          <w:p w14:paraId="0C8FF84C">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70</w:t>
            </w:r>
          </w:p>
        </w:tc>
        <w:tc>
          <w:tcPr>
            <w:tcW w:w="951" w:type="dxa"/>
            <w:noWrap w:val="0"/>
            <w:vAlign w:val="center"/>
          </w:tcPr>
          <w:p w14:paraId="2A6F5CBF">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55</w:t>
            </w:r>
          </w:p>
        </w:tc>
        <w:tc>
          <w:tcPr>
            <w:tcW w:w="5145" w:type="dxa"/>
            <w:noWrap w:val="0"/>
            <w:vAlign w:val="center"/>
          </w:tcPr>
          <w:p w14:paraId="720F7CE2">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《声环境质量标准》（GB3096-2008）表1中4a类</w:t>
            </w:r>
          </w:p>
        </w:tc>
      </w:tr>
      <w:tr w14:paraId="601F73C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76" w:type="dxa"/>
            <w:noWrap w:val="0"/>
            <w:vAlign w:val="center"/>
          </w:tcPr>
          <w:p w14:paraId="77DF095B">
            <w:pPr>
              <w:pStyle w:val="4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居民点</w:t>
            </w:r>
          </w:p>
        </w:tc>
        <w:tc>
          <w:tcPr>
            <w:tcW w:w="1034" w:type="dxa"/>
            <w:noWrap w:val="0"/>
            <w:vAlign w:val="center"/>
          </w:tcPr>
          <w:p w14:paraId="70374B24">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60</w:t>
            </w:r>
          </w:p>
        </w:tc>
        <w:tc>
          <w:tcPr>
            <w:tcW w:w="951" w:type="dxa"/>
            <w:noWrap w:val="0"/>
            <w:vAlign w:val="center"/>
          </w:tcPr>
          <w:p w14:paraId="2AD266DA">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50</w:t>
            </w:r>
          </w:p>
        </w:tc>
        <w:tc>
          <w:tcPr>
            <w:tcW w:w="5145" w:type="dxa"/>
            <w:noWrap w:val="0"/>
            <w:vAlign w:val="center"/>
          </w:tcPr>
          <w:p w14:paraId="104528D3">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《声环境质量标准》（GB3096-2008）表1中2类</w:t>
            </w:r>
          </w:p>
        </w:tc>
      </w:tr>
    </w:tbl>
    <w:p w14:paraId="1347D28F">
      <w:pPr>
        <w:pStyle w:val="3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（4）底泥</w:t>
      </w:r>
      <w:r>
        <w:rPr>
          <w:rFonts w:hint="default" w:ascii="Times New Roman" w:hAnsi="Times New Roman" w:eastAsia="宋体" w:cs="Times New Roman"/>
          <w:color w:val="auto"/>
        </w:rPr>
        <w:t>：项目所在地湘江底泥参照执行</w:t>
      </w:r>
      <w:r>
        <w:rPr>
          <w:rFonts w:hint="default" w:ascii="Times New Roman" w:hAnsi="Times New Roman" w:eastAsia="宋体" w:cs="Times New Roman"/>
          <w:color w:val="auto"/>
          <w:kern w:val="24"/>
        </w:rPr>
        <w:t>《土壤环境质量 农用地土壤污染风险管控标准（试行）》（GB15618-2018）表1风险筛选值</w:t>
      </w:r>
      <w:r>
        <w:rPr>
          <w:rFonts w:hint="default" w:ascii="Times New Roman" w:hAnsi="Times New Roman" w:eastAsia="宋体" w:cs="Times New Roman"/>
          <w:color w:val="auto"/>
        </w:rPr>
        <w:t>。</w:t>
      </w:r>
    </w:p>
    <w:p w14:paraId="58595989">
      <w:pPr>
        <w:pStyle w:val="40"/>
        <w:rPr>
          <w:rFonts w:hint="default" w:ascii="Times New Roman" w:hAnsi="Times New Roman" w:eastAsia="宋体" w:cs="Times New Roman"/>
          <w:color w:val="auto"/>
          <w:sz w:val="24"/>
          <w:szCs w:val="24"/>
          <w:lang w:eastAsia="zh-CN"/>
        </w:rPr>
      </w:pPr>
      <w:bookmarkStart w:id="273" w:name="_Toc20844_WPSOffice_Level3"/>
      <w:bookmarkStart w:id="274" w:name="_Toc22991_WPSOffice_Level3"/>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 xml:space="preserve"> 农用地</w:t>
      </w:r>
      <w:r>
        <w:rPr>
          <w:rFonts w:hint="default" w:ascii="Times New Roman" w:hAnsi="Times New Roman" w:eastAsia="宋体" w:cs="Times New Roman"/>
          <w:color w:val="auto"/>
          <w:sz w:val="24"/>
          <w:szCs w:val="24"/>
        </w:rPr>
        <w:t>土壤环境质量标准（摘录），单位：mg/kg</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368"/>
        <w:gridCol w:w="761"/>
        <w:gridCol w:w="761"/>
        <w:gridCol w:w="761"/>
        <w:gridCol w:w="761"/>
        <w:gridCol w:w="761"/>
        <w:gridCol w:w="763"/>
        <w:gridCol w:w="763"/>
        <w:gridCol w:w="758"/>
      </w:tblGrid>
      <w:tr w14:paraId="7D18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64" w:type="pct"/>
            <w:tcBorders>
              <w:bottom w:val="single" w:color="auto" w:sz="4" w:space="0"/>
              <w:right w:val="single" w:color="auto" w:sz="4" w:space="0"/>
            </w:tcBorders>
            <w:noWrap w:val="0"/>
            <w:vAlign w:val="center"/>
          </w:tcPr>
          <w:p w14:paraId="295EA71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832" w:type="pct"/>
            <w:tcBorders>
              <w:left w:val="single" w:color="auto" w:sz="4" w:space="0"/>
              <w:bottom w:val="single" w:color="auto" w:sz="4" w:space="0"/>
              <w:right w:val="single" w:color="auto" w:sz="4" w:space="0"/>
            </w:tcBorders>
            <w:noWrap/>
            <w:vAlign w:val="center"/>
          </w:tcPr>
          <w:p w14:paraId="5281A33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463" w:type="pct"/>
            <w:tcBorders>
              <w:left w:val="single" w:color="auto" w:sz="4" w:space="0"/>
              <w:bottom w:val="single" w:color="auto" w:sz="4" w:space="0"/>
              <w:right w:val="single" w:color="auto" w:sz="4" w:space="0"/>
            </w:tcBorders>
            <w:noWrap/>
            <w:vAlign w:val="center"/>
          </w:tcPr>
          <w:p w14:paraId="0978CFA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汞</w:t>
            </w:r>
          </w:p>
        </w:tc>
        <w:tc>
          <w:tcPr>
            <w:tcW w:w="463" w:type="pct"/>
            <w:tcBorders>
              <w:left w:val="single" w:color="auto" w:sz="4" w:space="0"/>
              <w:bottom w:val="single" w:color="auto" w:sz="4" w:space="0"/>
              <w:right w:val="single" w:color="auto" w:sz="4" w:space="0"/>
            </w:tcBorders>
            <w:noWrap/>
            <w:vAlign w:val="center"/>
          </w:tcPr>
          <w:p w14:paraId="3EB5079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镉</w:t>
            </w:r>
          </w:p>
        </w:tc>
        <w:tc>
          <w:tcPr>
            <w:tcW w:w="463" w:type="pct"/>
            <w:tcBorders>
              <w:left w:val="single" w:color="auto" w:sz="4" w:space="0"/>
              <w:bottom w:val="single" w:color="auto" w:sz="4" w:space="0"/>
              <w:right w:val="single" w:color="auto" w:sz="4" w:space="0"/>
            </w:tcBorders>
            <w:noWrap/>
            <w:vAlign w:val="center"/>
          </w:tcPr>
          <w:p w14:paraId="1B927B7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砷</w:t>
            </w:r>
          </w:p>
        </w:tc>
        <w:tc>
          <w:tcPr>
            <w:tcW w:w="463" w:type="pct"/>
            <w:tcBorders>
              <w:left w:val="single" w:color="auto" w:sz="4" w:space="0"/>
              <w:bottom w:val="single" w:color="auto" w:sz="4" w:space="0"/>
              <w:right w:val="single" w:color="auto" w:sz="4" w:space="0"/>
            </w:tcBorders>
            <w:noWrap/>
            <w:vAlign w:val="center"/>
          </w:tcPr>
          <w:p w14:paraId="660CEB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铅</w:t>
            </w:r>
          </w:p>
        </w:tc>
        <w:tc>
          <w:tcPr>
            <w:tcW w:w="463" w:type="pct"/>
            <w:tcBorders>
              <w:left w:val="single" w:color="auto" w:sz="4" w:space="0"/>
              <w:bottom w:val="single" w:color="auto" w:sz="4" w:space="0"/>
              <w:right w:val="single" w:color="auto" w:sz="4" w:space="0"/>
            </w:tcBorders>
            <w:noWrap/>
            <w:vAlign w:val="center"/>
          </w:tcPr>
          <w:p w14:paraId="6745F88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铬</w:t>
            </w:r>
          </w:p>
        </w:tc>
        <w:tc>
          <w:tcPr>
            <w:tcW w:w="464" w:type="pct"/>
            <w:tcBorders>
              <w:left w:val="single" w:color="auto" w:sz="4" w:space="0"/>
              <w:bottom w:val="single" w:color="auto" w:sz="4" w:space="0"/>
              <w:right w:val="single" w:color="auto" w:sz="4" w:space="0"/>
            </w:tcBorders>
            <w:noWrap w:val="0"/>
            <w:vAlign w:val="center"/>
          </w:tcPr>
          <w:p w14:paraId="0C40005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铜</w:t>
            </w:r>
          </w:p>
        </w:tc>
        <w:tc>
          <w:tcPr>
            <w:tcW w:w="464" w:type="pct"/>
            <w:tcBorders>
              <w:left w:val="single" w:color="auto" w:sz="4" w:space="0"/>
              <w:bottom w:val="single" w:color="auto" w:sz="4" w:space="0"/>
              <w:right w:val="single" w:color="auto" w:sz="4" w:space="0"/>
            </w:tcBorders>
            <w:noWrap w:val="0"/>
            <w:vAlign w:val="center"/>
          </w:tcPr>
          <w:p w14:paraId="189F242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锌</w:t>
            </w:r>
          </w:p>
        </w:tc>
        <w:tc>
          <w:tcPr>
            <w:tcW w:w="461" w:type="pct"/>
            <w:tcBorders>
              <w:left w:val="single" w:color="auto" w:sz="4" w:space="0"/>
              <w:bottom w:val="single" w:color="auto" w:sz="4" w:space="0"/>
            </w:tcBorders>
            <w:noWrap w:val="0"/>
            <w:vAlign w:val="center"/>
          </w:tcPr>
          <w:p w14:paraId="1077ABB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镍</w:t>
            </w:r>
          </w:p>
        </w:tc>
      </w:tr>
      <w:tr w14:paraId="0E6C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64" w:type="pct"/>
            <w:vMerge w:val="restart"/>
            <w:tcBorders>
              <w:top w:val="single" w:color="auto" w:sz="4" w:space="0"/>
              <w:right w:val="single" w:color="auto" w:sz="4" w:space="0"/>
            </w:tcBorders>
            <w:noWrap w:val="0"/>
            <w:vAlign w:val="center"/>
          </w:tcPr>
          <w:p w14:paraId="04F2096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筛选值</w:t>
            </w:r>
          </w:p>
        </w:tc>
        <w:tc>
          <w:tcPr>
            <w:tcW w:w="832" w:type="pct"/>
            <w:tcBorders>
              <w:top w:val="single" w:color="auto" w:sz="4" w:space="0"/>
              <w:left w:val="single" w:color="auto" w:sz="4" w:space="0"/>
              <w:bottom w:val="single" w:color="auto" w:sz="4" w:space="0"/>
              <w:right w:val="single" w:color="auto" w:sz="4" w:space="0"/>
            </w:tcBorders>
            <w:noWrap/>
            <w:vAlign w:val="center"/>
          </w:tcPr>
          <w:p w14:paraId="3A1F954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c>
          <w:tcPr>
            <w:tcW w:w="463" w:type="pct"/>
            <w:tcBorders>
              <w:top w:val="single" w:color="auto" w:sz="4" w:space="0"/>
              <w:left w:val="single" w:color="auto" w:sz="4" w:space="0"/>
              <w:bottom w:val="single" w:color="auto" w:sz="4" w:space="0"/>
              <w:right w:val="single" w:color="auto" w:sz="4" w:space="0"/>
            </w:tcBorders>
            <w:noWrap/>
            <w:vAlign w:val="center"/>
          </w:tcPr>
          <w:p w14:paraId="3E9ACB8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463" w:type="pct"/>
            <w:tcBorders>
              <w:top w:val="single" w:color="auto" w:sz="4" w:space="0"/>
              <w:left w:val="single" w:color="auto" w:sz="4" w:space="0"/>
              <w:bottom w:val="single" w:color="auto" w:sz="4" w:space="0"/>
              <w:right w:val="single" w:color="auto" w:sz="4" w:space="0"/>
            </w:tcBorders>
            <w:noWrap/>
            <w:vAlign w:val="center"/>
          </w:tcPr>
          <w:p w14:paraId="6AF6CDC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0.3</w:t>
            </w:r>
          </w:p>
        </w:tc>
        <w:tc>
          <w:tcPr>
            <w:tcW w:w="463" w:type="pct"/>
            <w:tcBorders>
              <w:top w:val="single" w:color="auto" w:sz="4" w:space="0"/>
              <w:left w:val="single" w:color="auto" w:sz="4" w:space="0"/>
              <w:bottom w:val="single" w:color="auto" w:sz="4" w:space="0"/>
              <w:right w:val="single" w:color="auto" w:sz="4" w:space="0"/>
            </w:tcBorders>
            <w:noWrap/>
            <w:vAlign w:val="center"/>
          </w:tcPr>
          <w:p w14:paraId="4F49FDA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463" w:type="pct"/>
            <w:tcBorders>
              <w:top w:val="single" w:color="auto" w:sz="4" w:space="0"/>
              <w:left w:val="single" w:color="auto" w:sz="4" w:space="0"/>
              <w:bottom w:val="single" w:color="auto" w:sz="4" w:space="0"/>
              <w:right w:val="single" w:color="auto" w:sz="4" w:space="0"/>
            </w:tcBorders>
            <w:noWrap/>
            <w:vAlign w:val="center"/>
          </w:tcPr>
          <w:p w14:paraId="1C7A053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463" w:type="pct"/>
            <w:tcBorders>
              <w:top w:val="single" w:color="auto" w:sz="4" w:space="0"/>
              <w:left w:val="single" w:color="auto" w:sz="4" w:space="0"/>
              <w:bottom w:val="single" w:color="auto" w:sz="4" w:space="0"/>
              <w:right w:val="single" w:color="auto" w:sz="4" w:space="0"/>
            </w:tcBorders>
            <w:noWrap/>
            <w:vAlign w:val="center"/>
          </w:tcPr>
          <w:p w14:paraId="326B114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150</w:t>
            </w:r>
          </w:p>
        </w:tc>
        <w:tc>
          <w:tcPr>
            <w:tcW w:w="464" w:type="pct"/>
            <w:tcBorders>
              <w:top w:val="single" w:color="auto" w:sz="4" w:space="0"/>
              <w:left w:val="single" w:color="auto" w:sz="4" w:space="0"/>
              <w:bottom w:val="single" w:color="auto" w:sz="4" w:space="0"/>
              <w:right w:val="single" w:color="auto" w:sz="4" w:space="0"/>
            </w:tcBorders>
            <w:noWrap w:val="0"/>
            <w:vAlign w:val="center"/>
          </w:tcPr>
          <w:p w14:paraId="38B61E4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464" w:type="pct"/>
            <w:tcBorders>
              <w:top w:val="single" w:color="auto" w:sz="4" w:space="0"/>
              <w:left w:val="single" w:color="auto" w:sz="4" w:space="0"/>
              <w:bottom w:val="single" w:color="auto" w:sz="4" w:space="0"/>
              <w:right w:val="single" w:color="auto" w:sz="4" w:space="0"/>
            </w:tcBorders>
            <w:noWrap w:val="0"/>
            <w:vAlign w:val="center"/>
          </w:tcPr>
          <w:p w14:paraId="2A9E7E1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c>
          <w:tcPr>
            <w:tcW w:w="461" w:type="pct"/>
            <w:tcBorders>
              <w:top w:val="single" w:color="auto" w:sz="4" w:space="0"/>
              <w:left w:val="single" w:color="auto" w:sz="4" w:space="0"/>
              <w:bottom w:val="single" w:color="auto" w:sz="4" w:space="0"/>
            </w:tcBorders>
            <w:noWrap w:val="0"/>
            <w:vAlign w:val="center"/>
          </w:tcPr>
          <w:p w14:paraId="369D1F0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r>
      <w:tr w14:paraId="2A6C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64" w:type="pct"/>
            <w:vMerge w:val="continue"/>
            <w:tcBorders>
              <w:right w:val="single" w:color="auto" w:sz="4" w:space="0"/>
            </w:tcBorders>
            <w:noWrap w:val="0"/>
            <w:vAlign w:val="center"/>
          </w:tcPr>
          <w:p w14:paraId="7C405224">
            <w:pPr>
              <w:pStyle w:val="41"/>
              <w:bidi w:val="0"/>
              <w:rPr>
                <w:rFonts w:hint="default" w:ascii="Times New Roman" w:hAnsi="Times New Roman" w:eastAsia="宋体" w:cs="Times New Roman"/>
                <w:color w:val="auto"/>
              </w:rPr>
            </w:pPr>
          </w:p>
        </w:tc>
        <w:tc>
          <w:tcPr>
            <w:tcW w:w="832" w:type="pct"/>
            <w:tcBorders>
              <w:top w:val="single" w:color="auto" w:sz="4" w:space="0"/>
              <w:left w:val="single" w:color="auto" w:sz="4" w:space="0"/>
              <w:bottom w:val="single" w:color="auto" w:sz="4" w:space="0"/>
              <w:right w:val="single" w:color="auto" w:sz="4" w:space="0"/>
            </w:tcBorders>
            <w:noWrap/>
            <w:vAlign w:val="center"/>
          </w:tcPr>
          <w:p w14:paraId="44F76ED1">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6.5＜pH≤7.5</w:t>
            </w:r>
          </w:p>
        </w:tc>
        <w:tc>
          <w:tcPr>
            <w:tcW w:w="463" w:type="pct"/>
            <w:tcBorders>
              <w:top w:val="single" w:color="auto" w:sz="4" w:space="0"/>
              <w:left w:val="single" w:color="auto" w:sz="4" w:space="0"/>
              <w:bottom w:val="single" w:color="auto" w:sz="4" w:space="0"/>
              <w:right w:val="single" w:color="auto" w:sz="4" w:space="0"/>
            </w:tcBorders>
            <w:noWrap/>
            <w:vAlign w:val="center"/>
          </w:tcPr>
          <w:p w14:paraId="7766ABF9">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2.4</w:t>
            </w:r>
          </w:p>
        </w:tc>
        <w:tc>
          <w:tcPr>
            <w:tcW w:w="463" w:type="pct"/>
            <w:tcBorders>
              <w:top w:val="single" w:color="auto" w:sz="4" w:space="0"/>
              <w:left w:val="single" w:color="auto" w:sz="4" w:space="0"/>
              <w:bottom w:val="single" w:color="auto" w:sz="4" w:space="0"/>
              <w:right w:val="single" w:color="auto" w:sz="4" w:space="0"/>
            </w:tcBorders>
            <w:noWrap/>
            <w:vAlign w:val="center"/>
          </w:tcPr>
          <w:p w14:paraId="73DD8C18">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0.3</w:t>
            </w:r>
          </w:p>
        </w:tc>
        <w:tc>
          <w:tcPr>
            <w:tcW w:w="463" w:type="pct"/>
            <w:tcBorders>
              <w:top w:val="single" w:color="auto" w:sz="4" w:space="0"/>
              <w:left w:val="single" w:color="auto" w:sz="4" w:space="0"/>
              <w:bottom w:val="single" w:color="auto" w:sz="4" w:space="0"/>
              <w:right w:val="single" w:color="auto" w:sz="4" w:space="0"/>
            </w:tcBorders>
            <w:noWrap/>
            <w:vAlign w:val="center"/>
          </w:tcPr>
          <w:p w14:paraId="430E3D81">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30</w:t>
            </w:r>
          </w:p>
        </w:tc>
        <w:tc>
          <w:tcPr>
            <w:tcW w:w="463" w:type="pct"/>
            <w:tcBorders>
              <w:top w:val="single" w:color="auto" w:sz="4" w:space="0"/>
              <w:left w:val="single" w:color="auto" w:sz="4" w:space="0"/>
              <w:bottom w:val="single" w:color="auto" w:sz="4" w:space="0"/>
              <w:right w:val="single" w:color="auto" w:sz="4" w:space="0"/>
            </w:tcBorders>
            <w:noWrap/>
            <w:vAlign w:val="center"/>
          </w:tcPr>
          <w:p w14:paraId="2E570AF6">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120</w:t>
            </w:r>
          </w:p>
        </w:tc>
        <w:tc>
          <w:tcPr>
            <w:tcW w:w="463" w:type="pct"/>
            <w:tcBorders>
              <w:top w:val="single" w:color="auto" w:sz="4" w:space="0"/>
              <w:left w:val="single" w:color="auto" w:sz="4" w:space="0"/>
              <w:bottom w:val="single" w:color="auto" w:sz="4" w:space="0"/>
              <w:right w:val="single" w:color="auto" w:sz="4" w:space="0"/>
            </w:tcBorders>
            <w:noWrap/>
            <w:vAlign w:val="center"/>
          </w:tcPr>
          <w:p w14:paraId="582E41E5">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200</w:t>
            </w:r>
          </w:p>
        </w:tc>
        <w:tc>
          <w:tcPr>
            <w:tcW w:w="464" w:type="pct"/>
            <w:tcBorders>
              <w:top w:val="single" w:color="auto" w:sz="4" w:space="0"/>
              <w:left w:val="single" w:color="auto" w:sz="4" w:space="0"/>
              <w:bottom w:val="single" w:color="auto" w:sz="4" w:space="0"/>
              <w:right w:val="single" w:color="auto" w:sz="4" w:space="0"/>
            </w:tcBorders>
            <w:noWrap w:val="0"/>
            <w:vAlign w:val="center"/>
          </w:tcPr>
          <w:p w14:paraId="77A19314">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100</w:t>
            </w:r>
          </w:p>
        </w:tc>
        <w:tc>
          <w:tcPr>
            <w:tcW w:w="464" w:type="pct"/>
            <w:tcBorders>
              <w:top w:val="single" w:color="auto" w:sz="4" w:space="0"/>
              <w:left w:val="single" w:color="auto" w:sz="4" w:space="0"/>
              <w:bottom w:val="single" w:color="auto" w:sz="4" w:space="0"/>
              <w:right w:val="single" w:color="auto" w:sz="4" w:space="0"/>
            </w:tcBorders>
            <w:noWrap w:val="0"/>
            <w:vAlign w:val="center"/>
          </w:tcPr>
          <w:p w14:paraId="5FEA2260">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250</w:t>
            </w:r>
          </w:p>
        </w:tc>
        <w:tc>
          <w:tcPr>
            <w:tcW w:w="461" w:type="pct"/>
            <w:tcBorders>
              <w:top w:val="single" w:color="auto" w:sz="4" w:space="0"/>
              <w:left w:val="single" w:color="auto" w:sz="4" w:space="0"/>
              <w:bottom w:val="single" w:color="auto" w:sz="4" w:space="0"/>
            </w:tcBorders>
            <w:noWrap w:val="0"/>
            <w:vAlign w:val="center"/>
          </w:tcPr>
          <w:p w14:paraId="45D4A233">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100</w:t>
            </w:r>
          </w:p>
        </w:tc>
      </w:tr>
      <w:tr w14:paraId="304B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64" w:type="pct"/>
            <w:vMerge w:val="continue"/>
            <w:tcBorders>
              <w:right w:val="single" w:color="auto" w:sz="4" w:space="0"/>
            </w:tcBorders>
            <w:noWrap w:val="0"/>
            <w:vAlign w:val="center"/>
          </w:tcPr>
          <w:p w14:paraId="07D63395">
            <w:pPr>
              <w:pStyle w:val="41"/>
              <w:bidi w:val="0"/>
              <w:rPr>
                <w:rFonts w:hint="default" w:ascii="Times New Roman" w:hAnsi="Times New Roman" w:eastAsia="宋体" w:cs="Times New Roman"/>
                <w:color w:val="auto"/>
              </w:rPr>
            </w:pPr>
          </w:p>
        </w:tc>
        <w:tc>
          <w:tcPr>
            <w:tcW w:w="832" w:type="pct"/>
            <w:tcBorders>
              <w:top w:val="single" w:color="auto" w:sz="4" w:space="0"/>
              <w:left w:val="single" w:color="auto" w:sz="4" w:space="0"/>
              <w:right w:val="single" w:color="auto" w:sz="4" w:space="0"/>
            </w:tcBorders>
            <w:noWrap/>
            <w:vAlign w:val="center"/>
          </w:tcPr>
          <w:p w14:paraId="6997D85A">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pH＞7.5</w:t>
            </w:r>
          </w:p>
        </w:tc>
        <w:tc>
          <w:tcPr>
            <w:tcW w:w="463" w:type="pct"/>
            <w:tcBorders>
              <w:top w:val="single" w:color="auto" w:sz="4" w:space="0"/>
              <w:left w:val="single" w:color="auto" w:sz="4" w:space="0"/>
              <w:right w:val="single" w:color="auto" w:sz="4" w:space="0"/>
            </w:tcBorders>
            <w:noWrap/>
            <w:vAlign w:val="center"/>
          </w:tcPr>
          <w:p w14:paraId="304E812F">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3.4</w:t>
            </w:r>
          </w:p>
        </w:tc>
        <w:tc>
          <w:tcPr>
            <w:tcW w:w="463" w:type="pct"/>
            <w:tcBorders>
              <w:top w:val="single" w:color="auto" w:sz="4" w:space="0"/>
              <w:left w:val="single" w:color="auto" w:sz="4" w:space="0"/>
              <w:right w:val="single" w:color="auto" w:sz="4" w:space="0"/>
            </w:tcBorders>
            <w:noWrap/>
            <w:vAlign w:val="center"/>
          </w:tcPr>
          <w:p w14:paraId="7A06BEE5">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0.6</w:t>
            </w:r>
          </w:p>
        </w:tc>
        <w:tc>
          <w:tcPr>
            <w:tcW w:w="463" w:type="pct"/>
            <w:tcBorders>
              <w:top w:val="single" w:color="auto" w:sz="4" w:space="0"/>
              <w:left w:val="single" w:color="auto" w:sz="4" w:space="0"/>
              <w:right w:val="single" w:color="auto" w:sz="4" w:space="0"/>
            </w:tcBorders>
            <w:noWrap/>
            <w:vAlign w:val="center"/>
          </w:tcPr>
          <w:p w14:paraId="0B3B6F28">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25</w:t>
            </w:r>
          </w:p>
        </w:tc>
        <w:tc>
          <w:tcPr>
            <w:tcW w:w="463" w:type="pct"/>
            <w:tcBorders>
              <w:top w:val="single" w:color="auto" w:sz="4" w:space="0"/>
              <w:left w:val="single" w:color="auto" w:sz="4" w:space="0"/>
              <w:right w:val="single" w:color="auto" w:sz="4" w:space="0"/>
            </w:tcBorders>
            <w:noWrap/>
            <w:vAlign w:val="center"/>
          </w:tcPr>
          <w:p w14:paraId="40E018C4">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170</w:t>
            </w:r>
          </w:p>
        </w:tc>
        <w:tc>
          <w:tcPr>
            <w:tcW w:w="463" w:type="pct"/>
            <w:tcBorders>
              <w:top w:val="single" w:color="auto" w:sz="4" w:space="0"/>
              <w:left w:val="single" w:color="auto" w:sz="4" w:space="0"/>
              <w:right w:val="single" w:color="auto" w:sz="4" w:space="0"/>
            </w:tcBorders>
            <w:noWrap/>
            <w:vAlign w:val="center"/>
          </w:tcPr>
          <w:p w14:paraId="3F221AF1">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250</w:t>
            </w:r>
          </w:p>
        </w:tc>
        <w:tc>
          <w:tcPr>
            <w:tcW w:w="464" w:type="pct"/>
            <w:tcBorders>
              <w:top w:val="single" w:color="auto" w:sz="4" w:space="0"/>
              <w:left w:val="single" w:color="auto" w:sz="4" w:space="0"/>
              <w:right w:val="single" w:color="auto" w:sz="4" w:space="0"/>
            </w:tcBorders>
            <w:noWrap w:val="0"/>
            <w:vAlign w:val="center"/>
          </w:tcPr>
          <w:p w14:paraId="7653770B">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100</w:t>
            </w:r>
          </w:p>
        </w:tc>
        <w:tc>
          <w:tcPr>
            <w:tcW w:w="464" w:type="pct"/>
            <w:tcBorders>
              <w:top w:val="single" w:color="auto" w:sz="4" w:space="0"/>
              <w:left w:val="single" w:color="auto" w:sz="4" w:space="0"/>
              <w:right w:val="single" w:color="auto" w:sz="4" w:space="0"/>
            </w:tcBorders>
            <w:noWrap w:val="0"/>
            <w:vAlign w:val="center"/>
          </w:tcPr>
          <w:p w14:paraId="16B3A675">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300</w:t>
            </w:r>
          </w:p>
        </w:tc>
        <w:tc>
          <w:tcPr>
            <w:tcW w:w="461" w:type="pct"/>
            <w:tcBorders>
              <w:top w:val="single" w:color="auto" w:sz="4" w:space="0"/>
              <w:left w:val="single" w:color="auto" w:sz="4" w:space="0"/>
            </w:tcBorders>
            <w:noWrap w:val="0"/>
            <w:vAlign w:val="center"/>
          </w:tcPr>
          <w:p w14:paraId="59879EF9">
            <w:pPr>
              <w:pStyle w:val="41"/>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190</w:t>
            </w:r>
          </w:p>
        </w:tc>
      </w:tr>
    </w:tbl>
    <w:p w14:paraId="5C46EBE0">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imes New Roman"/>
          <w:color w:val="auto"/>
          <w:sz w:val="24"/>
          <w:szCs w:val="24"/>
          <w:lang w:val="en-US" w:eastAsia="zh-CN"/>
        </w:rPr>
      </w:pPr>
      <w:bookmarkStart w:id="275" w:name="_Toc1472"/>
      <w:r>
        <w:rPr>
          <w:rFonts w:hint="eastAsia" w:cs="Times New Roman"/>
          <w:color w:val="auto"/>
          <w:sz w:val="24"/>
          <w:szCs w:val="24"/>
          <w:lang w:val="en-US" w:eastAsia="zh-CN"/>
        </w:rPr>
        <w:t>2.4.</w:t>
      </w:r>
      <w:r>
        <w:rPr>
          <w:rFonts w:hint="default" w:cs="Times New Roman"/>
          <w:color w:val="auto"/>
          <w:sz w:val="24"/>
          <w:szCs w:val="24"/>
          <w:lang w:val="en-US" w:eastAsia="zh-CN"/>
        </w:rPr>
        <w:t>2、污染物排放标准</w:t>
      </w:r>
      <w:bookmarkEnd w:id="273"/>
      <w:bookmarkEnd w:id="274"/>
      <w:bookmarkEnd w:id="275"/>
    </w:p>
    <w:p w14:paraId="121E097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（1）废气：施工期、营运期TSP执行《大气污染物综合排放标准》(GB16297-1996)中的无组织排放监控浓度限值，船舶尾气执行《船舶发动机排气污染物排放限值及测量方法（中国第一、二阶段）》（GB15097-2016）标准</w:t>
      </w:r>
      <w:r>
        <w:rPr>
          <w:rStyle w:val="42"/>
          <w:rFonts w:hint="default" w:ascii="Times New Roman" w:hAnsi="Times New Roman" w:eastAsia="宋体" w:cs="Times New Roman"/>
          <w:color w:val="auto"/>
          <w:sz w:val="24"/>
          <w:szCs w:val="24"/>
        </w:rPr>
        <w:t>。</w:t>
      </w:r>
    </w:p>
    <w:p w14:paraId="7766A90F">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rPr>
        <w:t>大气污染物综合排放标准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1"/>
        <w:gridCol w:w="2088"/>
        <w:gridCol w:w="5051"/>
      </w:tblGrid>
      <w:tr w14:paraId="6D87C0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3" w:type="dxa"/>
            <w:vMerge w:val="restart"/>
            <w:noWrap w:val="0"/>
            <w:vAlign w:val="center"/>
          </w:tcPr>
          <w:p w14:paraId="518E1DE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评价因子</w:t>
            </w:r>
          </w:p>
        </w:tc>
        <w:tc>
          <w:tcPr>
            <w:tcW w:w="2158" w:type="dxa"/>
            <w:noWrap w:val="0"/>
            <w:vAlign w:val="center"/>
          </w:tcPr>
          <w:p w14:paraId="1AA1D79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标准值</w:t>
            </w:r>
          </w:p>
        </w:tc>
        <w:tc>
          <w:tcPr>
            <w:tcW w:w="5233" w:type="dxa"/>
            <w:vMerge w:val="restart"/>
            <w:noWrap w:val="0"/>
            <w:vAlign w:val="center"/>
          </w:tcPr>
          <w:p w14:paraId="7E9283E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评价标准</w:t>
            </w:r>
          </w:p>
        </w:tc>
      </w:tr>
      <w:tr w14:paraId="156460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3" w:type="dxa"/>
            <w:vMerge w:val="continue"/>
            <w:noWrap w:val="0"/>
            <w:vAlign w:val="center"/>
          </w:tcPr>
          <w:p w14:paraId="6D441285">
            <w:pPr>
              <w:pStyle w:val="41"/>
              <w:rPr>
                <w:rFonts w:hint="default" w:ascii="Times New Roman" w:hAnsi="Times New Roman" w:eastAsia="宋体" w:cs="Times New Roman"/>
                <w:color w:val="auto"/>
                <w:kern w:val="2"/>
                <w:sz w:val="21"/>
                <w:szCs w:val="24"/>
                <w:lang w:val="en-US" w:eastAsia="zh-CN"/>
              </w:rPr>
            </w:pPr>
          </w:p>
        </w:tc>
        <w:tc>
          <w:tcPr>
            <w:tcW w:w="2158" w:type="dxa"/>
            <w:noWrap w:val="0"/>
            <w:vAlign w:val="center"/>
          </w:tcPr>
          <w:p w14:paraId="25BDF0B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无组织排放（mg/m</w:t>
            </w:r>
            <w:r>
              <w:rPr>
                <w:rFonts w:hint="default"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lang w:val="en-US" w:eastAsia="zh-CN"/>
              </w:rPr>
              <w:t>）</w:t>
            </w:r>
          </w:p>
        </w:tc>
        <w:tc>
          <w:tcPr>
            <w:tcW w:w="5233" w:type="dxa"/>
            <w:vMerge w:val="continue"/>
            <w:noWrap w:val="0"/>
            <w:vAlign w:val="center"/>
          </w:tcPr>
          <w:p w14:paraId="03B3CA50">
            <w:pPr>
              <w:pStyle w:val="41"/>
              <w:rPr>
                <w:rFonts w:hint="default" w:ascii="Times New Roman" w:hAnsi="Times New Roman" w:eastAsia="宋体" w:cs="Times New Roman"/>
                <w:color w:val="auto"/>
                <w:kern w:val="2"/>
                <w:sz w:val="21"/>
                <w:szCs w:val="24"/>
                <w:lang w:val="en-US" w:eastAsia="zh-CN"/>
              </w:rPr>
            </w:pPr>
          </w:p>
        </w:tc>
      </w:tr>
      <w:tr w14:paraId="51F4EC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3" w:type="dxa"/>
            <w:noWrap w:val="0"/>
            <w:vAlign w:val="center"/>
          </w:tcPr>
          <w:p w14:paraId="307C2BC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颗粒物</w:t>
            </w:r>
          </w:p>
        </w:tc>
        <w:tc>
          <w:tcPr>
            <w:tcW w:w="2158" w:type="dxa"/>
            <w:noWrap w:val="0"/>
            <w:vAlign w:val="center"/>
          </w:tcPr>
          <w:p w14:paraId="2249B86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1.0</w:t>
            </w:r>
          </w:p>
        </w:tc>
        <w:tc>
          <w:tcPr>
            <w:tcW w:w="5233" w:type="dxa"/>
            <w:noWrap w:val="0"/>
            <w:vAlign w:val="center"/>
          </w:tcPr>
          <w:p w14:paraId="671DBAA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《大气污染物综合排放标准》（GB16297-1996）</w:t>
            </w:r>
          </w:p>
        </w:tc>
      </w:tr>
    </w:tbl>
    <w:p w14:paraId="02FFFB4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eastAsia="宋体" w:cs="Times New Roman"/>
          <w:color w:val="auto"/>
        </w:rPr>
        <w:t>废水：</w:t>
      </w:r>
      <w:r>
        <w:rPr>
          <w:rFonts w:hint="default" w:ascii="Times New Roman" w:hAnsi="Times New Roman" w:eastAsia="宋体" w:cs="Times New Roman"/>
          <w:color w:val="auto"/>
          <w:spacing w:val="4"/>
        </w:rPr>
        <w:t>项目产生废水主要为</w:t>
      </w:r>
      <w:r>
        <w:rPr>
          <w:rFonts w:hint="default" w:ascii="Times New Roman" w:hAnsi="Times New Roman" w:eastAsia="宋体" w:cs="Times New Roman"/>
          <w:color w:val="auto"/>
          <w:spacing w:val="4"/>
          <w:lang w:eastAsia="zh-CN"/>
        </w:rPr>
        <w:t>营运期趸船</w:t>
      </w:r>
      <w:r>
        <w:rPr>
          <w:rFonts w:hint="default" w:ascii="Times New Roman" w:hAnsi="Times New Roman" w:eastAsia="宋体" w:cs="Times New Roman"/>
          <w:color w:val="auto"/>
          <w:spacing w:val="4"/>
          <w:lang w:val="en-US" w:eastAsia="zh-CN"/>
        </w:rPr>
        <w:t>办公</w:t>
      </w:r>
      <w:r>
        <w:rPr>
          <w:rFonts w:hint="default" w:ascii="Times New Roman" w:hAnsi="Times New Roman" w:eastAsia="宋体" w:cs="Times New Roman"/>
          <w:color w:val="auto"/>
          <w:spacing w:val="4"/>
          <w:lang w:eastAsia="zh-CN"/>
        </w:rPr>
        <w:t>产生的生活污水、趸船废水舱底油污水</w:t>
      </w:r>
      <w:r>
        <w:rPr>
          <w:rFonts w:hint="default" w:ascii="Times New Roman" w:hAnsi="Times New Roman" w:eastAsia="宋体" w:cs="Times New Roman"/>
          <w:color w:val="auto"/>
          <w:spacing w:val="4"/>
        </w:rPr>
        <w:t>，</w:t>
      </w:r>
      <w:r>
        <w:rPr>
          <w:rFonts w:hint="default" w:ascii="Times New Roman" w:hAnsi="Times New Roman" w:eastAsia="宋体" w:cs="Times New Roman"/>
          <w:color w:val="auto"/>
          <w:szCs w:val="21"/>
        </w:rPr>
        <w:t>到港船舶生活污水经</w:t>
      </w:r>
      <w:r>
        <w:rPr>
          <w:rFonts w:hint="default" w:ascii="Times New Roman" w:hAnsi="Times New Roman" w:eastAsia="宋体" w:cs="Times New Roman"/>
          <w:color w:val="auto"/>
          <w:szCs w:val="21"/>
          <w:lang w:eastAsia="zh-CN"/>
        </w:rPr>
        <w:t>斜坡道上生活污水箱</w:t>
      </w:r>
      <w:r>
        <w:rPr>
          <w:rFonts w:hint="default" w:ascii="Times New Roman" w:hAnsi="Times New Roman" w:eastAsia="宋体" w:cs="Times New Roman"/>
          <w:color w:val="auto"/>
          <w:szCs w:val="21"/>
        </w:rPr>
        <w:t>收集处理达《污水综合排放标准》（GB8978-1996）中表4三级标准后</w:t>
      </w:r>
      <w:r>
        <w:rPr>
          <w:rFonts w:hint="default" w:ascii="Times New Roman" w:hAnsi="Times New Roman" w:eastAsia="宋体" w:cs="Times New Roman"/>
          <w:color w:val="auto"/>
          <w:szCs w:val="21"/>
          <w:lang w:val="en-US" w:eastAsia="zh-CN"/>
        </w:rPr>
        <w:t>作为区域林地灌溉水回用</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船舶含油废水由</w:t>
      </w:r>
      <w:r>
        <w:rPr>
          <w:rFonts w:hint="default" w:ascii="Times New Roman" w:hAnsi="Times New Roman" w:eastAsia="宋体" w:cs="Times New Roman"/>
          <w:color w:val="auto"/>
          <w:szCs w:val="21"/>
          <w:lang w:eastAsia="zh-CN"/>
        </w:rPr>
        <w:t>含油污水箱</w:t>
      </w:r>
      <w:r>
        <w:rPr>
          <w:rFonts w:hint="default" w:ascii="Times New Roman" w:hAnsi="Times New Roman" w:eastAsia="宋体" w:cs="Times New Roman"/>
          <w:color w:val="auto"/>
          <w:szCs w:val="21"/>
        </w:rPr>
        <w:t>收集后由</w:t>
      </w:r>
      <w:r>
        <w:rPr>
          <w:rFonts w:hint="default" w:ascii="Times New Roman" w:hAnsi="Times New Roman" w:eastAsia="宋体" w:cs="Times New Roman"/>
          <w:color w:val="auto"/>
          <w:szCs w:val="21"/>
          <w:lang w:eastAsia="zh-CN"/>
        </w:rPr>
        <w:t>有资质单位接收处置</w:t>
      </w:r>
      <w:r>
        <w:rPr>
          <w:rFonts w:hint="default" w:ascii="Times New Roman" w:hAnsi="Times New Roman" w:eastAsia="宋体" w:cs="Times New Roman"/>
          <w:color w:val="auto"/>
          <w:spacing w:val="4"/>
          <w:lang w:val="en-US" w:eastAsia="zh-CN"/>
        </w:rPr>
        <w:t>。</w:t>
      </w:r>
      <w:r>
        <w:rPr>
          <w:rFonts w:hint="default" w:ascii="Times New Roman" w:hAnsi="Times New Roman" w:eastAsia="宋体" w:cs="Times New Roman"/>
          <w:color w:val="auto"/>
          <w:spacing w:val="4"/>
          <w:lang w:eastAsia="zh-CN"/>
        </w:rPr>
        <w:t>船舶废水执行《船舶水污染物排放标准》（GB3552-2018）。</w:t>
      </w:r>
    </w:p>
    <w:p w14:paraId="1B81377E">
      <w:pPr>
        <w:pStyle w:val="4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eastAsia="zh-CN"/>
        </w:rPr>
        <w:t>船舶水污染物排放控制标准（GB3552-2018）</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013"/>
        <w:gridCol w:w="6112"/>
      </w:tblGrid>
      <w:tr w14:paraId="00C7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gridSpan w:val="2"/>
            <w:noWrap w:val="0"/>
            <w:vAlign w:val="center"/>
          </w:tcPr>
          <w:p w14:paraId="2F89E32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污染物</w:t>
            </w:r>
          </w:p>
        </w:tc>
        <w:tc>
          <w:tcPr>
            <w:tcW w:w="3717" w:type="pct"/>
            <w:noWrap w:val="0"/>
            <w:vAlign w:val="center"/>
          </w:tcPr>
          <w:p w14:paraId="72EF745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标准值</w:t>
            </w:r>
          </w:p>
        </w:tc>
      </w:tr>
      <w:tr w14:paraId="526A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gridSpan w:val="2"/>
            <w:noWrap w:val="0"/>
            <w:vAlign w:val="center"/>
          </w:tcPr>
          <w:p w14:paraId="4028BFE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船舶含油污水</w:t>
            </w:r>
          </w:p>
        </w:tc>
        <w:tc>
          <w:tcPr>
            <w:tcW w:w="3717" w:type="pct"/>
            <w:noWrap w:val="0"/>
            <w:vAlign w:val="center"/>
          </w:tcPr>
          <w:p w14:paraId="76A6C5DD">
            <w:pPr>
              <w:pStyle w:val="41"/>
              <w:jc w:val="left"/>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内河，机器处所油污水，2021年1月1日之前建造的船舶执行石油类最高容许浓度≤15mg/L或收集并排入接收设施；2021年1月1日及以后建造的船舶收集并排入接收设施。</w:t>
            </w:r>
          </w:p>
        </w:tc>
      </w:tr>
      <w:tr w14:paraId="2AC1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gridSpan w:val="2"/>
            <w:noWrap w:val="0"/>
            <w:vAlign w:val="center"/>
          </w:tcPr>
          <w:p w14:paraId="7B3126E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船舶生活污水</w:t>
            </w:r>
          </w:p>
        </w:tc>
        <w:tc>
          <w:tcPr>
            <w:tcW w:w="3717" w:type="pct"/>
            <w:noWrap w:val="0"/>
            <w:vAlign w:val="center"/>
          </w:tcPr>
          <w:p w14:paraId="47CB41BD">
            <w:pPr>
              <w:pStyle w:val="41"/>
              <w:jc w:val="left"/>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内河，利用船载收集装置收集排入接收设施。或利用船载生活污水处理装置处理达到如下标准排放：</w:t>
            </w:r>
          </w:p>
          <w:p w14:paraId="69F73388">
            <w:pPr>
              <w:pStyle w:val="41"/>
              <w:jc w:val="left"/>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（1）2012年1月1日以前安装含更换生活污水处理装置的船舶执行BOD</w:t>
            </w:r>
            <w:r>
              <w:rPr>
                <w:rFonts w:hint="default" w:ascii="Times New Roman" w:hAnsi="Times New Roman" w:eastAsia="宋体" w:cs="Times New Roman"/>
                <w:color w:val="auto"/>
                <w:kern w:val="2"/>
                <w:sz w:val="21"/>
                <w:szCs w:val="24"/>
                <w:vertAlign w:val="subscript"/>
                <w:lang w:val="en-US" w:eastAsia="zh-CN"/>
              </w:rPr>
              <w:t>5</w:t>
            </w:r>
            <w:r>
              <w:rPr>
                <w:rFonts w:hint="default" w:ascii="Times New Roman" w:hAnsi="Times New Roman" w:eastAsia="宋体" w:cs="Times New Roman"/>
                <w:color w:val="auto"/>
                <w:kern w:val="2"/>
                <w:sz w:val="21"/>
                <w:szCs w:val="24"/>
                <w:lang w:val="en-US" w:eastAsia="zh-CN"/>
              </w:rPr>
              <w:t>最高容许浓度≤50mg/L；</w:t>
            </w:r>
          </w:p>
          <w:p w14:paraId="5A949B33">
            <w:pPr>
              <w:pStyle w:val="41"/>
              <w:jc w:val="left"/>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（2）2012年1月1日及以后安装含更换生活污水处理装置的船舶执行BOD</w:t>
            </w:r>
            <w:r>
              <w:rPr>
                <w:rFonts w:hint="default" w:ascii="Times New Roman" w:hAnsi="Times New Roman" w:eastAsia="宋体" w:cs="Times New Roman"/>
                <w:color w:val="auto"/>
                <w:kern w:val="2"/>
                <w:sz w:val="21"/>
                <w:szCs w:val="24"/>
                <w:vertAlign w:val="subscript"/>
                <w:lang w:val="en-US" w:eastAsia="zh-CN"/>
              </w:rPr>
              <w:t>5</w:t>
            </w:r>
            <w:r>
              <w:rPr>
                <w:rFonts w:hint="default" w:ascii="Times New Roman" w:hAnsi="Times New Roman" w:eastAsia="宋体" w:cs="Times New Roman"/>
                <w:color w:val="auto"/>
                <w:kern w:val="2"/>
                <w:sz w:val="21"/>
                <w:szCs w:val="24"/>
                <w:lang w:val="en-US" w:eastAsia="zh-CN"/>
              </w:rPr>
              <w:t>最高容许浓度≤25mg/L、COD</w:t>
            </w:r>
            <w:r>
              <w:rPr>
                <w:rFonts w:hint="default" w:ascii="Times New Roman" w:hAnsi="Times New Roman" w:eastAsia="宋体" w:cs="Times New Roman"/>
                <w:color w:val="auto"/>
                <w:kern w:val="2"/>
                <w:sz w:val="21"/>
                <w:szCs w:val="24"/>
                <w:vertAlign w:val="subscript"/>
                <w:lang w:val="en-US" w:eastAsia="zh-CN"/>
              </w:rPr>
              <w:t>Cr</w:t>
            </w:r>
            <w:r>
              <w:rPr>
                <w:rFonts w:hint="default" w:ascii="Times New Roman" w:hAnsi="Times New Roman" w:eastAsia="宋体" w:cs="Times New Roman"/>
                <w:color w:val="auto"/>
                <w:kern w:val="2"/>
                <w:sz w:val="21"/>
                <w:szCs w:val="24"/>
                <w:lang w:val="en-US" w:eastAsia="zh-CN"/>
              </w:rPr>
              <w:t>最高容许浓度≤125mg/L。</w:t>
            </w:r>
          </w:p>
        </w:tc>
      </w:tr>
      <w:tr w14:paraId="0A69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restart"/>
            <w:noWrap w:val="0"/>
            <w:vAlign w:val="center"/>
          </w:tcPr>
          <w:p w14:paraId="59090315">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《污水综合排放标准》（GB8978-1996）</w:t>
            </w:r>
            <w:r>
              <w:rPr>
                <w:rFonts w:hint="default" w:ascii="Times New Roman" w:hAnsi="Times New Roman" w:eastAsia="宋体" w:cs="Times New Roman"/>
                <w:color w:val="auto"/>
                <w:szCs w:val="21"/>
              </w:rPr>
              <w:t>三级标准</w:t>
            </w:r>
          </w:p>
        </w:tc>
        <w:tc>
          <w:tcPr>
            <w:tcW w:w="616" w:type="pct"/>
            <w:noWrap w:val="0"/>
            <w:vAlign w:val="center"/>
          </w:tcPr>
          <w:p w14:paraId="7D7CE28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3717" w:type="pct"/>
            <w:noWrap w:val="0"/>
            <w:vAlign w:val="center"/>
          </w:tcPr>
          <w:p w14:paraId="08E3679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Cs w:val="21"/>
                <w:lang w:eastAsia="zh-CN"/>
              </w:rPr>
              <w:t>三级标准</w:t>
            </w:r>
          </w:p>
        </w:tc>
      </w:tr>
      <w:tr w14:paraId="51DB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09EAD65D">
            <w:pPr>
              <w:pStyle w:val="41"/>
              <w:rPr>
                <w:rFonts w:hint="default" w:ascii="Times New Roman" w:hAnsi="Times New Roman" w:eastAsia="宋体" w:cs="Times New Roman"/>
                <w:color w:val="auto"/>
                <w:szCs w:val="21"/>
              </w:rPr>
            </w:pPr>
          </w:p>
        </w:tc>
        <w:tc>
          <w:tcPr>
            <w:tcW w:w="616" w:type="pct"/>
            <w:noWrap w:val="0"/>
            <w:vAlign w:val="center"/>
          </w:tcPr>
          <w:p w14:paraId="26CDC19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pH</w:t>
            </w:r>
          </w:p>
        </w:tc>
        <w:tc>
          <w:tcPr>
            <w:tcW w:w="3717" w:type="pct"/>
            <w:noWrap w:val="0"/>
            <w:vAlign w:val="center"/>
          </w:tcPr>
          <w:p w14:paraId="68A99F8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Cs w:val="21"/>
                <w:lang w:eastAsia="zh-CN"/>
              </w:rPr>
              <w:t>6-9</w:t>
            </w:r>
          </w:p>
        </w:tc>
      </w:tr>
      <w:tr w14:paraId="2761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01623904">
            <w:pPr>
              <w:pStyle w:val="41"/>
              <w:rPr>
                <w:rFonts w:hint="default" w:ascii="Times New Roman" w:hAnsi="Times New Roman" w:eastAsia="宋体" w:cs="Times New Roman"/>
                <w:color w:val="auto"/>
                <w:szCs w:val="21"/>
              </w:rPr>
            </w:pPr>
          </w:p>
        </w:tc>
        <w:tc>
          <w:tcPr>
            <w:tcW w:w="616" w:type="pct"/>
            <w:noWrap w:val="0"/>
            <w:vAlign w:val="center"/>
          </w:tcPr>
          <w:p w14:paraId="2DF4A27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COD</w:t>
            </w:r>
          </w:p>
        </w:tc>
        <w:tc>
          <w:tcPr>
            <w:tcW w:w="3717" w:type="pct"/>
            <w:noWrap w:val="0"/>
            <w:vAlign w:val="center"/>
          </w:tcPr>
          <w:p w14:paraId="6D8348C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500</w:t>
            </w:r>
          </w:p>
        </w:tc>
      </w:tr>
      <w:tr w14:paraId="6590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79C6B93D">
            <w:pPr>
              <w:pStyle w:val="41"/>
              <w:rPr>
                <w:rFonts w:hint="default" w:ascii="Times New Roman" w:hAnsi="Times New Roman" w:eastAsia="宋体" w:cs="Times New Roman"/>
                <w:color w:val="auto"/>
                <w:szCs w:val="21"/>
              </w:rPr>
            </w:pPr>
          </w:p>
        </w:tc>
        <w:tc>
          <w:tcPr>
            <w:tcW w:w="616" w:type="pct"/>
            <w:noWrap w:val="0"/>
            <w:vAlign w:val="center"/>
          </w:tcPr>
          <w:p w14:paraId="14397AD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BOD</w:t>
            </w:r>
          </w:p>
        </w:tc>
        <w:tc>
          <w:tcPr>
            <w:tcW w:w="3717" w:type="pct"/>
            <w:noWrap w:val="0"/>
            <w:vAlign w:val="center"/>
          </w:tcPr>
          <w:p w14:paraId="6CC00F5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300</w:t>
            </w:r>
          </w:p>
        </w:tc>
      </w:tr>
      <w:tr w14:paraId="116F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15008262">
            <w:pPr>
              <w:pStyle w:val="41"/>
              <w:rPr>
                <w:rFonts w:hint="default" w:ascii="Times New Roman" w:hAnsi="Times New Roman" w:eastAsia="宋体" w:cs="Times New Roman"/>
                <w:color w:val="auto"/>
                <w:szCs w:val="21"/>
              </w:rPr>
            </w:pPr>
          </w:p>
        </w:tc>
        <w:tc>
          <w:tcPr>
            <w:tcW w:w="616" w:type="pct"/>
            <w:noWrap w:val="0"/>
            <w:vAlign w:val="center"/>
          </w:tcPr>
          <w:p w14:paraId="5E8793D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石油类</w:t>
            </w:r>
          </w:p>
        </w:tc>
        <w:tc>
          <w:tcPr>
            <w:tcW w:w="3717" w:type="pct"/>
            <w:noWrap w:val="0"/>
            <w:vAlign w:val="center"/>
          </w:tcPr>
          <w:p w14:paraId="3D9DFDF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20</w:t>
            </w:r>
          </w:p>
        </w:tc>
      </w:tr>
      <w:tr w14:paraId="23B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0965BC80">
            <w:pPr>
              <w:pStyle w:val="41"/>
              <w:rPr>
                <w:rFonts w:hint="default" w:ascii="Times New Roman" w:hAnsi="Times New Roman" w:eastAsia="宋体" w:cs="Times New Roman"/>
                <w:color w:val="auto"/>
                <w:szCs w:val="21"/>
              </w:rPr>
            </w:pPr>
          </w:p>
        </w:tc>
        <w:tc>
          <w:tcPr>
            <w:tcW w:w="616" w:type="pct"/>
            <w:noWrap w:val="0"/>
            <w:vAlign w:val="center"/>
          </w:tcPr>
          <w:p w14:paraId="1AD6CAE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SS</w:t>
            </w:r>
          </w:p>
        </w:tc>
        <w:tc>
          <w:tcPr>
            <w:tcW w:w="3717" w:type="pct"/>
            <w:noWrap w:val="0"/>
            <w:vAlign w:val="center"/>
          </w:tcPr>
          <w:p w14:paraId="30D02F1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400</w:t>
            </w:r>
          </w:p>
        </w:tc>
      </w:tr>
      <w:tr w14:paraId="3AFC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Merge w:val="continue"/>
            <w:noWrap w:val="0"/>
            <w:vAlign w:val="center"/>
          </w:tcPr>
          <w:p w14:paraId="7B5B8D75">
            <w:pPr>
              <w:pStyle w:val="41"/>
              <w:rPr>
                <w:rFonts w:hint="default" w:ascii="Times New Roman" w:hAnsi="Times New Roman" w:eastAsia="宋体" w:cs="Times New Roman"/>
                <w:color w:val="auto"/>
                <w:szCs w:val="21"/>
              </w:rPr>
            </w:pPr>
          </w:p>
        </w:tc>
        <w:tc>
          <w:tcPr>
            <w:tcW w:w="616" w:type="pct"/>
            <w:noWrap w:val="0"/>
            <w:vAlign w:val="center"/>
          </w:tcPr>
          <w:p w14:paraId="34C6B42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氨氮</w:t>
            </w:r>
          </w:p>
        </w:tc>
        <w:tc>
          <w:tcPr>
            <w:tcW w:w="3717" w:type="pct"/>
            <w:noWrap w:val="0"/>
            <w:vAlign w:val="center"/>
          </w:tcPr>
          <w:p w14:paraId="73CEFA3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30</w:t>
            </w:r>
          </w:p>
        </w:tc>
      </w:tr>
    </w:tbl>
    <w:p w14:paraId="7AA15A32">
      <w:pPr>
        <w:pStyle w:val="38"/>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（3）噪声：</w:t>
      </w:r>
      <w:r>
        <w:rPr>
          <w:rFonts w:hint="default" w:ascii="Times New Roman" w:hAnsi="Times New Roman" w:eastAsia="宋体" w:cs="Times New Roman"/>
          <w:color w:val="auto"/>
          <w:lang w:eastAsia="zh-CN"/>
        </w:rPr>
        <w:t>项目施工期执行《建筑施工场界环境噪声排放标准》（GB12523-2011）的标准；</w:t>
      </w:r>
      <w:r>
        <w:rPr>
          <w:rFonts w:hint="default" w:ascii="Times New Roman" w:hAnsi="Times New Roman" w:eastAsia="宋体" w:cs="Times New Roman"/>
          <w:color w:val="auto"/>
        </w:rPr>
        <w:t>营运期噪声执行《工业企业厂界环境噪声排放标准》（GB12348-2008）4类</w:t>
      </w:r>
      <w:r>
        <w:rPr>
          <w:rFonts w:hint="default" w:ascii="Times New Roman" w:hAnsi="Times New Roman" w:eastAsia="宋体" w:cs="Times New Roman"/>
          <w:color w:val="auto"/>
          <w:lang w:val="en-US" w:eastAsia="zh-CN"/>
        </w:rPr>
        <w:t>及2类</w:t>
      </w:r>
      <w:r>
        <w:rPr>
          <w:rFonts w:hint="default" w:ascii="Times New Roman" w:hAnsi="Times New Roman" w:eastAsia="宋体" w:cs="Times New Roman"/>
          <w:color w:val="auto"/>
        </w:rPr>
        <w:t>标准。</w:t>
      </w:r>
    </w:p>
    <w:p w14:paraId="632F2366">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eastAsia="zh-CN"/>
        </w:rPr>
        <w:t xml:space="preserve">  建筑施工场界环境噪声排放标准</w:t>
      </w:r>
      <w:r>
        <w:rPr>
          <w:rFonts w:hint="default" w:ascii="Times New Roman" w:hAnsi="Times New Roman" w:eastAsia="宋体" w:cs="Times New Roman"/>
          <w:color w:val="auto"/>
          <w:sz w:val="24"/>
          <w:szCs w:val="24"/>
        </w:rPr>
        <w:t>单位：dB（A）</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2494"/>
        <w:gridCol w:w="3232"/>
      </w:tblGrid>
      <w:tr w14:paraId="2A5C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noWrap w:val="0"/>
            <w:vAlign w:val="center"/>
          </w:tcPr>
          <w:p w14:paraId="46A7E8C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时段</w:t>
            </w:r>
          </w:p>
        </w:tc>
        <w:tc>
          <w:tcPr>
            <w:tcW w:w="1517" w:type="pct"/>
            <w:noWrap w:val="0"/>
            <w:vAlign w:val="center"/>
          </w:tcPr>
          <w:p w14:paraId="7E804B5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昼间</w:t>
            </w:r>
          </w:p>
        </w:tc>
        <w:tc>
          <w:tcPr>
            <w:tcW w:w="1966" w:type="pct"/>
            <w:noWrap w:val="0"/>
            <w:vAlign w:val="center"/>
          </w:tcPr>
          <w:p w14:paraId="49FBC15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夜间</w:t>
            </w:r>
          </w:p>
        </w:tc>
      </w:tr>
      <w:tr w14:paraId="3A9D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noWrap w:val="0"/>
            <w:vAlign w:val="center"/>
          </w:tcPr>
          <w:p w14:paraId="5EADB4A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限值</w:t>
            </w:r>
          </w:p>
        </w:tc>
        <w:tc>
          <w:tcPr>
            <w:tcW w:w="1517" w:type="pct"/>
            <w:noWrap w:val="0"/>
            <w:vAlign w:val="center"/>
          </w:tcPr>
          <w:p w14:paraId="70FD044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70</w:t>
            </w:r>
          </w:p>
        </w:tc>
        <w:tc>
          <w:tcPr>
            <w:tcW w:w="1966" w:type="pct"/>
            <w:noWrap w:val="0"/>
            <w:vAlign w:val="center"/>
          </w:tcPr>
          <w:p w14:paraId="160B0CE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55</w:t>
            </w:r>
          </w:p>
        </w:tc>
      </w:tr>
    </w:tbl>
    <w:p w14:paraId="04F12577">
      <w:pPr>
        <w:pStyle w:val="40"/>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rPr>
        <w:t>工业企业厂界环境噪声排放标准单位：dB（A）</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2237"/>
        <w:gridCol w:w="2897"/>
      </w:tblGrid>
      <w:tr w14:paraId="4B39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9" w:type="dxa"/>
            <w:tcBorders>
              <w:tl2br w:val="single" w:color="auto" w:sz="12" w:space="0"/>
            </w:tcBorders>
            <w:noWrap w:val="0"/>
            <w:vAlign w:val="center"/>
          </w:tcPr>
          <w:p w14:paraId="1A73A0E6">
            <w:pPr>
              <w:pStyle w:val="41"/>
              <w:jc w:val="right"/>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时段</w:t>
            </w:r>
          </w:p>
          <w:p w14:paraId="656D840D">
            <w:pPr>
              <w:pStyle w:val="41"/>
              <w:jc w:val="both"/>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声环境功能类别</w:t>
            </w:r>
          </w:p>
        </w:tc>
        <w:tc>
          <w:tcPr>
            <w:tcW w:w="2317" w:type="dxa"/>
            <w:noWrap w:val="0"/>
            <w:vAlign w:val="center"/>
          </w:tcPr>
          <w:p w14:paraId="0D9B8E9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昼间</w:t>
            </w:r>
          </w:p>
        </w:tc>
        <w:tc>
          <w:tcPr>
            <w:tcW w:w="3002" w:type="dxa"/>
            <w:noWrap w:val="0"/>
            <w:vAlign w:val="center"/>
          </w:tcPr>
          <w:p w14:paraId="49C9A37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夜间</w:t>
            </w:r>
          </w:p>
        </w:tc>
      </w:tr>
      <w:tr w14:paraId="089F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9" w:type="dxa"/>
            <w:noWrap w:val="0"/>
            <w:vAlign w:val="center"/>
          </w:tcPr>
          <w:p w14:paraId="04451B5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4类</w:t>
            </w:r>
          </w:p>
        </w:tc>
        <w:tc>
          <w:tcPr>
            <w:tcW w:w="2317" w:type="dxa"/>
            <w:noWrap w:val="0"/>
            <w:vAlign w:val="center"/>
          </w:tcPr>
          <w:p w14:paraId="6BB181E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70</w:t>
            </w:r>
          </w:p>
        </w:tc>
        <w:tc>
          <w:tcPr>
            <w:tcW w:w="3002" w:type="dxa"/>
            <w:noWrap w:val="0"/>
            <w:vAlign w:val="center"/>
          </w:tcPr>
          <w:p w14:paraId="3AA0687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55</w:t>
            </w:r>
          </w:p>
        </w:tc>
      </w:tr>
      <w:tr w14:paraId="63E1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9" w:type="dxa"/>
            <w:noWrap w:val="0"/>
            <w:vAlign w:val="center"/>
          </w:tcPr>
          <w:p w14:paraId="430F5AE2">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2类</w:t>
            </w:r>
          </w:p>
        </w:tc>
        <w:tc>
          <w:tcPr>
            <w:tcW w:w="2317" w:type="dxa"/>
            <w:noWrap w:val="0"/>
            <w:vAlign w:val="center"/>
          </w:tcPr>
          <w:p w14:paraId="669FBF84">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60</w:t>
            </w:r>
          </w:p>
        </w:tc>
        <w:tc>
          <w:tcPr>
            <w:tcW w:w="3002" w:type="dxa"/>
            <w:noWrap w:val="0"/>
            <w:vAlign w:val="center"/>
          </w:tcPr>
          <w:p w14:paraId="298440BB">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50</w:t>
            </w:r>
          </w:p>
        </w:tc>
      </w:tr>
    </w:tbl>
    <w:p w14:paraId="542B9B5F">
      <w:pPr>
        <w:pStyle w:val="3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（4）固体废物：船舶</w:t>
      </w:r>
      <w:r>
        <w:rPr>
          <w:rFonts w:hint="default" w:ascii="Times New Roman" w:hAnsi="Times New Roman" w:eastAsia="宋体" w:cs="Times New Roman"/>
          <w:color w:val="auto"/>
          <w:lang w:eastAsia="zh-CN"/>
        </w:rPr>
        <w:t>垃圾执行《船舶水污染物排放标准》（GB3552-2018）中相应标准；危险废物执行《危险废物贮存污染控制标准》（GB18597－2023）；</w:t>
      </w:r>
      <w:r>
        <w:rPr>
          <w:rFonts w:hint="default" w:ascii="Times New Roman" w:hAnsi="Times New Roman" w:eastAsia="宋体" w:cs="Times New Roman"/>
          <w:color w:val="auto"/>
        </w:rPr>
        <w:t>生活垃圾执行《中华人民共和国固体废物污染环境防治法》（2020修订）第四章</w:t>
      </w:r>
      <w:r>
        <w:rPr>
          <w:rFonts w:hint="eastAsia" w:cs="Times New Roman"/>
          <w:color w:val="auto"/>
          <w:lang w:val="en-US" w:eastAsia="zh-CN"/>
        </w:rPr>
        <w:t>--</w:t>
      </w:r>
      <w:r>
        <w:rPr>
          <w:rFonts w:hint="default" w:ascii="Times New Roman" w:hAnsi="Times New Roman" w:eastAsia="宋体" w:cs="Times New Roman"/>
          <w:color w:val="auto"/>
        </w:rPr>
        <w:t>生活垃圾的相关规定。码头员工生活垃圾</w:t>
      </w:r>
      <w:r>
        <w:rPr>
          <w:rFonts w:hint="default" w:ascii="Times New Roman" w:hAnsi="Times New Roman" w:eastAsia="宋体" w:cs="Times New Roman"/>
          <w:color w:val="auto"/>
          <w:lang w:val="en-US"/>
        </w:rPr>
        <w:t>经码头场区生活垃圾收集箱收集后交环卫部门统一清运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船舶生活垃圾经</w:t>
      </w:r>
      <w:r>
        <w:rPr>
          <w:rFonts w:hint="default" w:ascii="Times New Roman" w:hAnsi="Times New Roman" w:eastAsia="宋体" w:cs="Times New Roman"/>
          <w:color w:val="auto"/>
          <w:lang w:eastAsia="zh-CN"/>
        </w:rPr>
        <w:t>趸船生活垃圾箱收集后交有资质单位接收处置。</w:t>
      </w:r>
    </w:p>
    <w:p w14:paraId="7EE85109">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eastAsia="zh-CN"/>
        </w:rPr>
        <w:t xml:space="preserve">  船舶水污染物排放标准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9"/>
        <w:gridCol w:w="4151"/>
      </w:tblGrid>
      <w:tr w14:paraId="3F8C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5" w:type="pct"/>
            <w:noWrap w:val="0"/>
            <w:vAlign w:val="center"/>
          </w:tcPr>
          <w:p w14:paraId="2E01834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排放物</w:t>
            </w:r>
          </w:p>
        </w:tc>
        <w:tc>
          <w:tcPr>
            <w:tcW w:w="2525" w:type="pct"/>
            <w:noWrap w:val="0"/>
            <w:vAlign w:val="center"/>
          </w:tcPr>
          <w:p w14:paraId="06D8884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内河</w:t>
            </w:r>
          </w:p>
        </w:tc>
      </w:tr>
      <w:tr w14:paraId="128C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5" w:type="pct"/>
            <w:noWrap w:val="0"/>
            <w:vAlign w:val="center"/>
          </w:tcPr>
          <w:p w14:paraId="4073687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塑料制品</w:t>
            </w:r>
          </w:p>
        </w:tc>
        <w:tc>
          <w:tcPr>
            <w:tcW w:w="2525" w:type="pct"/>
            <w:noWrap w:val="0"/>
            <w:vAlign w:val="center"/>
          </w:tcPr>
          <w:p w14:paraId="39391DD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禁止投入水域</w:t>
            </w:r>
          </w:p>
        </w:tc>
      </w:tr>
      <w:tr w14:paraId="726B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5" w:type="pct"/>
            <w:noWrap w:val="0"/>
            <w:vAlign w:val="center"/>
          </w:tcPr>
          <w:p w14:paraId="6E9E055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漂浮物</w:t>
            </w:r>
          </w:p>
        </w:tc>
        <w:tc>
          <w:tcPr>
            <w:tcW w:w="2525" w:type="pct"/>
            <w:noWrap w:val="0"/>
            <w:vAlign w:val="center"/>
          </w:tcPr>
          <w:p w14:paraId="7C94ED2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禁止投入水域</w:t>
            </w:r>
          </w:p>
        </w:tc>
      </w:tr>
      <w:tr w14:paraId="00D3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5" w:type="pct"/>
            <w:noWrap w:val="0"/>
            <w:vAlign w:val="center"/>
          </w:tcPr>
          <w:p w14:paraId="498A3DC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食品废物及其他垃圾</w:t>
            </w:r>
          </w:p>
        </w:tc>
        <w:tc>
          <w:tcPr>
            <w:tcW w:w="2525" w:type="pct"/>
            <w:noWrap w:val="0"/>
            <w:vAlign w:val="center"/>
          </w:tcPr>
          <w:p w14:paraId="107F801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禁止投入水域</w:t>
            </w:r>
          </w:p>
        </w:tc>
      </w:tr>
    </w:tbl>
    <w:p w14:paraId="6EF0424B">
      <w:pPr>
        <w:pStyle w:val="8"/>
        <w:keepNext/>
        <w:keepLines/>
        <w:pageBreakBefore w:val="0"/>
        <w:widowControl w:val="0"/>
        <w:kinsoku/>
        <w:wordWrap/>
        <w:overflowPunct/>
        <w:topLinePunct w:val="0"/>
        <w:autoSpaceDE/>
        <w:autoSpaceDN/>
        <w:bidi w:val="0"/>
        <w:adjustRightInd/>
        <w:snapToGrid/>
        <w:spacing w:before="157" w:beforeLines="50" w:after="0" w:line="360" w:lineRule="auto"/>
        <w:ind w:left="578" w:hanging="578"/>
        <w:textAlignment w:val="auto"/>
        <w:rPr>
          <w:rFonts w:hint="eastAsia" w:ascii="Times New Roman" w:hAnsi="Times New Roman" w:eastAsia="宋体" w:cs="Times New Roman"/>
          <w:color w:val="auto"/>
          <w:sz w:val="28"/>
          <w:szCs w:val="28"/>
          <w:lang w:eastAsia="zh-CN"/>
        </w:rPr>
      </w:pPr>
      <w:bookmarkStart w:id="276" w:name="_Toc25803_WPSOffice_Level2"/>
      <w:bookmarkStart w:id="277" w:name="_Toc372124931"/>
      <w:bookmarkStart w:id="278" w:name="_Toc11229"/>
      <w:bookmarkStart w:id="279" w:name="_Toc16483"/>
      <w:bookmarkStart w:id="280" w:name="_Toc32313"/>
      <w:bookmarkStart w:id="281" w:name="_Toc20110_WPSOffice_Level2"/>
      <w:bookmarkStart w:id="282" w:name="_Toc19608"/>
      <w:bookmarkStart w:id="283" w:name="_Toc324516205"/>
      <w:bookmarkStart w:id="284" w:name="_Toc26263_WPSOffice_Level2"/>
      <w:bookmarkStart w:id="285" w:name="_Toc28504_WPSOffice_Level2"/>
      <w:bookmarkStart w:id="286" w:name="_Toc331351314"/>
      <w:bookmarkStart w:id="287" w:name="_Toc22861_WPSOffice_Level2"/>
      <w:bookmarkStart w:id="288" w:name="_Toc24307"/>
      <w:bookmarkStart w:id="289" w:name="_Toc353549400"/>
      <w:bookmarkStart w:id="290" w:name="_Toc21924"/>
      <w:bookmarkStart w:id="291" w:name="_Toc21499_WPSOffice_Level2"/>
      <w:bookmarkStart w:id="292" w:name="_Toc17466_WPSOffice_Level2"/>
      <w:bookmarkStart w:id="293" w:name="_Toc336615587"/>
      <w:bookmarkStart w:id="294" w:name="_Toc324754189"/>
      <w:bookmarkStart w:id="295" w:name="_Toc16583"/>
      <w:bookmarkStart w:id="296" w:name="_Toc30208"/>
      <w:r>
        <w:rPr>
          <w:rFonts w:hint="default" w:ascii="Times New Roman" w:hAnsi="Times New Roman" w:eastAsia="宋体" w:cs="Times New Roman"/>
          <w:color w:val="auto"/>
          <w:sz w:val="28"/>
          <w:szCs w:val="28"/>
        </w:rPr>
        <w:t>2.</w:t>
      </w:r>
      <w:r>
        <w:rPr>
          <w:rFonts w:hint="eastAsia" w:cs="Times New Roman"/>
          <w:color w:val="auto"/>
          <w:sz w:val="28"/>
          <w:szCs w:val="28"/>
          <w:lang w:val="en-US" w:eastAsia="zh-CN"/>
        </w:rPr>
        <w:t>5</w:t>
      </w:r>
      <w:r>
        <w:rPr>
          <w:rFonts w:hint="default" w:ascii="Times New Roman" w:hAnsi="Times New Roman" w:eastAsia="宋体" w:cs="Times New Roman"/>
          <w:color w:val="auto"/>
          <w:sz w:val="28"/>
          <w:szCs w:val="28"/>
        </w:rPr>
        <w:t>评价工作等级</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Fonts w:hint="eastAsia" w:cs="Times New Roman"/>
          <w:color w:val="auto"/>
          <w:sz w:val="28"/>
          <w:szCs w:val="28"/>
          <w:lang w:val="en-US" w:eastAsia="zh-CN"/>
        </w:rPr>
        <w:t>及评价范围</w:t>
      </w:r>
      <w:bookmarkEnd w:id="295"/>
      <w:bookmarkEnd w:id="296"/>
    </w:p>
    <w:p w14:paraId="6CF3D673">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bookmarkStart w:id="297" w:name="_Toc5140"/>
      <w:bookmarkStart w:id="298" w:name="_Toc28368"/>
      <w:bookmarkStart w:id="299" w:name="_Toc7030"/>
      <w:bookmarkStart w:id="300" w:name="_Toc3671"/>
      <w:bookmarkStart w:id="301" w:name="_Toc11892"/>
      <w:bookmarkStart w:id="302" w:name="_Toc15666_WPSOffice_Level3"/>
      <w:bookmarkStart w:id="303" w:name="_Toc6766"/>
      <w:bookmarkStart w:id="304" w:name="_Toc19963"/>
      <w:bookmarkStart w:id="305" w:name="_Toc27776_WPSOffice_Level3"/>
      <w:bookmarkStart w:id="306" w:name="_Toc10181"/>
      <w:bookmarkStart w:id="307" w:name="_Toc18019"/>
      <w:bookmarkStart w:id="308" w:name="_Toc26107"/>
      <w:bookmarkStart w:id="309" w:name="_Toc17566"/>
      <w:bookmarkStart w:id="310" w:name="_Toc16906"/>
      <w:bookmarkStart w:id="311" w:name="_Toc26894"/>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.1评价工作等级</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63F8954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根据国家环保部颁布的相关《环境影响评价技术导则》</w:t>
      </w:r>
      <w:r>
        <w:rPr>
          <w:rFonts w:hint="default" w:ascii="Times New Roman" w:hAnsi="Times New Roman" w:eastAsia="宋体" w:cs="Times New Roman"/>
          <w:color w:val="auto"/>
          <w:sz w:val="24"/>
          <w:szCs w:val="24"/>
          <w:lang w:val="en-US" w:eastAsia="zh-CN"/>
        </w:rPr>
        <w:t>和《水运工程建设项目环境影响评价指南》(JTS-T105-2021)中要求，结合工程特征及所在地的环境特征，</w:t>
      </w:r>
      <w:r>
        <w:rPr>
          <w:rFonts w:hint="default" w:ascii="Times New Roman" w:hAnsi="Times New Roman" w:eastAsia="宋体" w:cs="Times New Roman"/>
          <w:color w:val="auto"/>
          <w:sz w:val="24"/>
          <w:szCs w:val="24"/>
        </w:rPr>
        <w:t>经分析而确定本项目大气、地</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rPr>
        <w:t>水、地下水、声环境</w:t>
      </w:r>
      <w:r>
        <w:rPr>
          <w:rFonts w:hint="default" w:ascii="Times New Roman" w:hAnsi="Times New Roman" w:eastAsia="宋体" w:cs="Times New Roman"/>
          <w:color w:val="auto"/>
          <w:sz w:val="24"/>
          <w:szCs w:val="24"/>
          <w:lang w:eastAsia="zh-CN"/>
        </w:rPr>
        <w:t>、土壤环境、</w:t>
      </w:r>
      <w:r>
        <w:rPr>
          <w:rFonts w:hint="default" w:ascii="Times New Roman" w:hAnsi="Times New Roman" w:eastAsia="宋体" w:cs="Times New Roman"/>
          <w:color w:val="auto"/>
          <w:sz w:val="24"/>
          <w:szCs w:val="24"/>
        </w:rPr>
        <w:t>环境风险影响和生态评价等级。</w:t>
      </w:r>
    </w:p>
    <w:p w14:paraId="42CCDBD5">
      <w:pPr>
        <w:pStyle w:val="38"/>
        <w:pageBreakBefore w:val="0"/>
        <w:widowControl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eastAsia="宋体" w:cs="Times New Roman"/>
          <w:b/>
          <w:bCs/>
          <w:color w:val="auto"/>
          <w:sz w:val="24"/>
          <w:szCs w:val="24"/>
        </w:rPr>
      </w:pPr>
      <w:bookmarkStart w:id="312" w:name="_Toc19487"/>
      <w:r>
        <w:rPr>
          <w:rFonts w:hint="default" w:ascii="Times New Roman" w:hAnsi="Times New Roman" w:eastAsia="宋体" w:cs="Times New Roman"/>
          <w:b/>
          <w:bCs/>
          <w:color w:val="auto"/>
          <w:sz w:val="24"/>
          <w:szCs w:val="24"/>
        </w:rPr>
        <w:t>1、大气环境影响评价等级</w:t>
      </w:r>
      <w:bookmarkEnd w:id="312"/>
    </w:p>
    <w:p w14:paraId="2C10DD0F">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根据《环境影响评价技术导则--大气环境》（HJ2.2-2018）规定，分别计算每一种污染物的最大地面浓度占标率Pi（第i个污染物</w:t>
      </w:r>
      <w:r>
        <w:rPr>
          <w:rFonts w:hint="default" w:ascii="Times New Roman" w:hAnsi="Times New Roman" w:eastAsia="宋体" w:cs="Times New Roman"/>
          <w:color w:val="auto"/>
          <w:sz w:val="24"/>
          <w:szCs w:val="24"/>
        </w:rPr>
        <w:t>，简称“最大浓度占标率”</w:t>
      </w:r>
      <w:r>
        <w:rPr>
          <w:rFonts w:hint="default" w:ascii="Times New Roman" w:hAnsi="Times New Roman" w:eastAsia="宋体" w:cs="Times New Roman"/>
          <w:color w:val="auto"/>
          <w:sz w:val="24"/>
          <w:szCs w:val="24"/>
          <w:lang w:val="en-US" w:eastAsia="zh-CN"/>
        </w:rPr>
        <w:t>），及第i个污染物的</w:t>
      </w:r>
      <w:r>
        <w:rPr>
          <w:rFonts w:hint="default" w:ascii="Times New Roman" w:hAnsi="Times New Roman" w:eastAsia="宋体" w:cs="Times New Roman"/>
          <w:color w:val="auto"/>
          <w:sz w:val="24"/>
          <w:szCs w:val="24"/>
        </w:rPr>
        <w:t>空气质量浓度达到标准值的10%时</w:t>
      </w:r>
      <w:r>
        <w:rPr>
          <w:rFonts w:hint="default" w:ascii="Times New Roman" w:hAnsi="Times New Roman" w:eastAsia="宋体" w:cs="Times New Roman"/>
          <w:color w:val="auto"/>
          <w:sz w:val="24"/>
          <w:szCs w:val="24"/>
          <w:lang w:eastAsia="zh-CN"/>
        </w:rPr>
        <w:t>所对应</w:t>
      </w:r>
      <w:r>
        <w:rPr>
          <w:rFonts w:hint="default" w:ascii="Times New Roman" w:hAnsi="Times New Roman" w:eastAsia="宋体" w:cs="Times New Roman"/>
          <w:color w:val="auto"/>
          <w:sz w:val="24"/>
          <w:szCs w:val="24"/>
          <w:lang w:val="en-US" w:eastAsia="zh-CN"/>
        </w:rPr>
        <w:t>的最远距离D10%来确定评价等级。</w:t>
      </w:r>
    </w:p>
    <w:p w14:paraId="2B7DC96C">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其中Pi定义为：</w:t>
      </w:r>
    </w:p>
    <w:p w14:paraId="0C5A48E8">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drawing>
          <wp:inline distT="0" distB="0" distL="114300" distR="114300">
            <wp:extent cx="1315085" cy="417195"/>
            <wp:effectExtent l="0" t="0" r="18415"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1315085" cy="417195"/>
                    </a:xfrm>
                    <a:prstGeom prst="rect">
                      <a:avLst/>
                    </a:prstGeom>
                    <a:noFill/>
                    <a:ln>
                      <a:noFill/>
                    </a:ln>
                  </pic:spPr>
                </pic:pic>
              </a:graphicData>
            </a:graphic>
          </wp:inline>
        </w:drawing>
      </w:r>
    </w:p>
    <w:p w14:paraId="512A88A7">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式中：Pi—第i个污染物的最大地面浓度占标率，%；</w:t>
      </w:r>
    </w:p>
    <w:p w14:paraId="3B53EA57">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Ci—采用估算模式计算出的第i个污染物的</w:t>
      </w:r>
      <w:r>
        <w:rPr>
          <w:rFonts w:hint="default" w:ascii="Times New Roman" w:hAnsi="Times New Roman" w:eastAsia="宋体" w:cs="Times New Roman"/>
          <w:color w:val="auto"/>
          <w:sz w:val="24"/>
          <w:szCs w:val="24"/>
        </w:rPr>
        <w:t>最大1h</w:t>
      </w:r>
      <w:r>
        <w:rPr>
          <w:rFonts w:hint="default" w:ascii="Times New Roman" w:hAnsi="Times New Roman" w:eastAsia="宋体" w:cs="Times New Roman"/>
          <w:color w:val="auto"/>
          <w:sz w:val="24"/>
          <w:szCs w:val="24"/>
          <w:lang w:val="en-US" w:eastAsia="zh-CN"/>
        </w:rPr>
        <w:t>地面浓度，ug/m3；</w:t>
      </w:r>
    </w:p>
    <w:p w14:paraId="205F4026">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C0i—第i个污染物的环境空气质量标准，ug/m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Coi一般选用《环境空气质量标准》（GB3095-2012）中1小时平均取样时间的二级浓度限值；如项目位于一类环境空气功能区，应选择相应的一级浓度限值；对该标准中未包含的污染物，可参照附录D附录中的浓度限值。对上述标准中都未包含的污染物，可参照选用其他国家、国际组织发布的环境质量浓度限值或基准值，但应作出说明，经生态环境主管部门同意后执行。对仅有8h平均质量浓度限值、日平均质量浓度限值或年平均质量浓度限值的，可分别按2倍、3倍、6倍折算为1h平均质量浓度限值。</w:t>
      </w:r>
    </w:p>
    <w:p w14:paraId="473DEBD7">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根据《环境影响评价技术导则 大气环境》（HJ2.2-2018）中规定的大气评价等级及推荐的估算模式计算P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，其计算依据见表2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14:paraId="1918D0E6">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-1 环境影响评价等级一览表</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8"/>
        <w:gridCol w:w="5482"/>
      </w:tblGrid>
      <w:tr w14:paraId="315F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840" w:type="dxa"/>
            <w:noWrap w:val="0"/>
            <w:vAlign w:val="top"/>
          </w:tcPr>
          <w:p w14:paraId="5026ED1C">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评价工作等级</w:t>
            </w:r>
          </w:p>
        </w:tc>
        <w:tc>
          <w:tcPr>
            <w:tcW w:w="5682" w:type="dxa"/>
            <w:noWrap w:val="0"/>
            <w:vAlign w:val="top"/>
          </w:tcPr>
          <w:p w14:paraId="27926D02">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评价工作分级判据</w:t>
            </w:r>
          </w:p>
        </w:tc>
      </w:tr>
      <w:tr w14:paraId="22DA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48AED986">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一级</w:t>
            </w:r>
          </w:p>
        </w:tc>
        <w:tc>
          <w:tcPr>
            <w:tcW w:w="5682" w:type="dxa"/>
            <w:noWrap w:val="0"/>
            <w:vAlign w:val="top"/>
          </w:tcPr>
          <w:p w14:paraId="346005B9">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P</w:t>
            </w:r>
            <w:r>
              <w:rPr>
                <w:rFonts w:hint="default" w:ascii="Times New Roman" w:hAnsi="Times New Roman" w:eastAsia="宋体" w:cs="Times New Roman"/>
                <w:color w:val="auto"/>
                <w:vertAlign w:val="subscript"/>
                <w:lang w:val="en-US" w:eastAsia="zh-CN"/>
              </w:rPr>
              <w:t xml:space="preserve">max </w:t>
            </w:r>
            <w:r>
              <w:rPr>
                <w:rFonts w:hint="default" w:ascii="Times New Roman" w:hAnsi="Times New Roman" w:eastAsia="宋体" w:cs="Times New Roman"/>
                <w:color w:val="auto"/>
                <w:vertAlign w:val="baseline"/>
                <w:lang w:val="en-US" w:eastAsia="zh-CN"/>
              </w:rPr>
              <w:t>≥10%</w:t>
            </w:r>
          </w:p>
        </w:tc>
      </w:tr>
      <w:tr w14:paraId="4FAC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437807C4">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二级</w:t>
            </w:r>
          </w:p>
        </w:tc>
        <w:tc>
          <w:tcPr>
            <w:tcW w:w="5682" w:type="dxa"/>
            <w:noWrap w:val="0"/>
            <w:vAlign w:val="top"/>
          </w:tcPr>
          <w:p w14:paraId="2D902D71">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1%≤P</w:t>
            </w:r>
            <w:r>
              <w:rPr>
                <w:rFonts w:hint="default" w:ascii="Times New Roman" w:hAnsi="Times New Roman" w:eastAsia="宋体" w:cs="Times New Roman"/>
                <w:color w:val="auto"/>
                <w:vertAlign w:val="subscript"/>
                <w:lang w:val="en-US" w:eastAsia="zh-CN"/>
              </w:rPr>
              <w:t xml:space="preserve">max </w:t>
            </w:r>
            <w:r>
              <w:rPr>
                <w:rFonts w:hint="default" w:ascii="Times New Roman" w:hAnsi="Times New Roman" w:eastAsia="宋体" w:cs="Times New Roman"/>
                <w:color w:val="auto"/>
                <w:vertAlign w:val="baseline"/>
                <w:lang w:val="en-US" w:eastAsia="zh-CN"/>
              </w:rPr>
              <w:t>＜10%</w:t>
            </w:r>
          </w:p>
        </w:tc>
      </w:tr>
      <w:tr w14:paraId="2652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288B5DDB">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三级</w:t>
            </w:r>
          </w:p>
        </w:tc>
        <w:tc>
          <w:tcPr>
            <w:tcW w:w="5682" w:type="dxa"/>
            <w:noWrap w:val="0"/>
            <w:vAlign w:val="top"/>
          </w:tcPr>
          <w:p w14:paraId="1058EFC0">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P</w:t>
            </w:r>
            <w:r>
              <w:rPr>
                <w:rFonts w:hint="default" w:ascii="Times New Roman" w:hAnsi="Times New Roman" w:eastAsia="宋体" w:cs="Times New Roman"/>
                <w:color w:val="auto"/>
                <w:vertAlign w:val="subscript"/>
                <w:lang w:val="en-US" w:eastAsia="zh-CN"/>
              </w:rPr>
              <w:t xml:space="preserve">max </w:t>
            </w:r>
            <w:r>
              <w:rPr>
                <w:rFonts w:hint="default" w:ascii="Times New Roman" w:hAnsi="Times New Roman" w:eastAsia="宋体" w:cs="Times New Roman"/>
                <w:color w:val="auto"/>
                <w:vertAlign w:val="baseline"/>
                <w:lang w:val="en-US" w:eastAsia="zh-CN"/>
              </w:rPr>
              <w:t>＜1%</w:t>
            </w:r>
          </w:p>
        </w:tc>
      </w:tr>
    </w:tbl>
    <w:p w14:paraId="200D62ED">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本项目运营期间外排尾气仅为公务船舶进出港是产生的尾气、趸船</w:t>
      </w:r>
      <w:r>
        <w:rPr>
          <w:rFonts w:hint="eastAsia" w:cs="Times New Roman"/>
          <w:color w:val="auto"/>
          <w:lang w:val="en-US" w:eastAsia="zh-CN"/>
        </w:rPr>
        <w:t>厨房</w:t>
      </w:r>
      <w:r>
        <w:rPr>
          <w:rFonts w:hint="default" w:ascii="Times New Roman" w:hAnsi="Times New Roman" w:eastAsia="宋体" w:cs="Times New Roman"/>
          <w:color w:val="auto"/>
          <w:lang w:val="en-US" w:eastAsia="zh-CN"/>
        </w:rPr>
        <w:t>产生的油烟废气，该部分排放源较小，呈无组织形式排放，无法进行定量分析。因此，报告书仅对本项目的大气环境影响进行简要分析。</w:t>
      </w:r>
    </w:p>
    <w:p w14:paraId="4EF0EC9B">
      <w:pPr>
        <w:pStyle w:val="38"/>
        <w:ind w:firstLine="482"/>
        <w:outlineLvl w:val="9"/>
        <w:rPr>
          <w:rFonts w:hint="default" w:ascii="Times New Roman" w:hAnsi="Times New Roman" w:eastAsia="宋体" w:cs="Times New Roman"/>
          <w:b/>
          <w:bCs/>
          <w:color w:val="auto"/>
        </w:rPr>
      </w:pPr>
      <w:bookmarkStart w:id="313" w:name="_Toc702"/>
      <w:r>
        <w:rPr>
          <w:rFonts w:hint="default" w:ascii="Times New Roman" w:hAnsi="Times New Roman" w:eastAsia="宋体" w:cs="Times New Roman"/>
          <w:b/>
          <w:bCs/>
          <w:color w:val="auto"/>
        </w:rPr>
        <w:t>2、地表水环境影响评价等级</w:t>
      </w:r>
      <w:bookmarkEnd w:id="313"/>
    </w:p>
    <w:p w14:paraId="7EDBFF9A">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根据《环境影响评价技术导则  地表水环境》（HJ2.3-2018）的规定</w:t>
      </w:r>
      <w:r>
        <w:rPr>
          <w:rFonts w:hint="default" w:ascii="Times New Roman" w:hAnsi="Times New Roman" w:eastAsia="宋体" w:cs="Times New Roman"/>
          <w:color w:val="auto"/>
          <w:lang w:eastAsia="zh-CN"/>
        </w:rPr>
        <w:t>，地表水环境影响评价划分为水污染影响型、水文要素型以及两者兼有的复合型。本项目的地表水环境影响评价属于水污染型影响和水文要素型兼有的复合型。</w:t>
      </w:r>
    </w:p>
    <w:p w14:paraId="706D2E7E">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）水污染影响型</w:t>
      </w:r>
    </w:p>
    <w:p w14:paraId="2D1BF794">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水污染影响型评价等级按照影响类型、排放方式、排放量或影响情况、受纳水体环境质量现状、水环境保护目标等综合确定，具体判定依据见表</w:t>
      </w:r>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lang w:eastAsia="zh-CN"/>
        </w:rPr>
        <w:t>。</w:t>
      </w:r>
    </w:p>
    <w:p w14:paraId="7CD8D51A">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水污染影响型建设项目评价等级判定表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28"/>
        <w:gridCol w:w="1644"/>
        <w:gridCol w:w="5248"/>
      </w:tblGrid>
      <w:tr w14:paraId="342EA9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370" w:type="dxa"/>
            <w:vMerge w:val="restart"/>
            <w:noWrap w:val="0"/>
            <w:vAlign w:val="center"/>
          </w:tcPr>
          <w:p w14:paraId="33D38393">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评价等级</w:t>
            </w:r>
          </w:p>
        </w:tc>
        <w:tc>
          <w:tcPr>
            <w:tcW w:w="7134" w:type="dxa"/>
            <w:gridSpan w:val="2"/>
            <w:noWrap w:val="0"/>
            <w:vAlign w:val="center"/>
          </w:tcPr>
          <w:p w14:paraId="17A2B3C2">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受纳水体情况</w:t>
            </w:r>
          </w:p>
        </w:tc>
      </w:tr>
      <w:tr w14:paraId="7CEC2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Merge w:val="continue"/>
            <w:noWrap w:val="0"/>
            <w:vAlign w:val="center"/>
          </w:tcPr>
          <w:p w14:paraId="67FD1FA6">
            <w:pPr>
              <w:pStyle w:val="41"/>
              <w:rPr>
                <w:rFonts w:hint="default" w:ascii="Times New Roman" w:hAnsi="Times New Roman" w:eastAsia="宋体" w:cs="Times New Roman"/>
                <w:color w:val="auto"/>
                <w:kern w:val="2"/>
                <w:sz w:val="21"/>
                <w:szCs w:val="24"/>
              </w:rPr>
            </w:pPr>
          </w:p>
        </w:tc>
        <w:tc>
          <w:tcPr>
            <w:tcW w:w="1697" w:type="dxa"/>
            <w:noWrap w:val="0"/>
            <w:vAlign w:val="center"/>
          </w:tcPr>
          <w:p w14:paraId="1840B75E">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排放方式</w:t>
            </w:r>
          </w:p>
        </w:tc>
        <w:tc>
          <w:tcPr>
            <w:tcW w:w="5437" w:type="dxa"/>
            <w:noWrap w:val="0"/>
            <w:vAlign w:val="center"/>
          </w:tcPr>
          <w:p w14:paraId="5F8CFEB3">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废水排放量Q/（m</w:t>
            </w:r>
            <w:r>
              <w:rPr>
                <w:rFonts w:hint="default" w:ascii="Times New Roman" w:hAnsi="Times New Roman" w:eastAsia="宋体" w:cs="Times New Roman"/>
                <w:color w:val="auto"/>
                <w:kern w:val="2"/>
                <w:sz w:val="21"/>
                <w:szCs w:val="24"/>
                <w:vertAlign w:val="superscript"/>
              </w:rPr>
              <w:t>3</w:t>
            </w:r>
            <w:r>
              <w:rPr>
                <w:rFonts w:hint="default" w:ascii="Times New Roman" w:hAnsi="Times New Roman" w:eastAsia="宋体" w:cs="Times New Roman"/>
                <w:color w:val="auto"/>
                <w:kern w:val="2"/>
                <w:sz w:val="21"/>
                <w:szCs w:val="24"/>
              </w:rPr>
              <w:t>/d）水污染物当量数W/（无量纲）</w:t>
            </w:r>
          </w:p>
        </w:tc>
      </w:tr>
      <w:tr w14:paraId="47C38D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7E84DEF2">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一级</w:t>
            </w:r>
          </w:p>
        </w:tc>
        <w:tc>
          <w:tcPr>
            <w:tcW w:w="1697" w:type="dxa"/>
            <w:noWrap w:val="0"/>
            <w:vAlign w:val="center"/>
          </w:tcPr>
          <w:p w14:paraId="30F121CA">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直接排放</w:t>
            </w:r>
          </w:p>
        </w:tc>
        <w:tc>
          <w:tcPr>
            <w:tcW w:w="5437" w:type="dxa"/>
            <w:noWrap w:val="0"/>
            <w:vAlign w:val="center"/>
          </w:tcPr>
          <w:p w14:paraId="7B77CD6A">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Q≥20000或W≥600000</w:t>
            </w:r>
          </w:p>
        </w:tc>
      </w:tr>
      <w:tr w14:paraId="6966AA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4C0302F1">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二级</w:t>
            </w:r>
          </w:p>
        </w:tc>
        <w:tc>
          <w:tcPr>
            <w:tcW w:w="1697" w:type="dxa"/>
            <w:noWrap w:val="0"/>
            <w:vAlign w:val="center"/>
          </w:tcPr>
          <w:p w14:paraId="7C77A328">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直接排放</w:t>
            </w:r>
          </w:p>
        </w:tc>
        <w:tc>
          <w:tcPr>
            <w:tcW w:w="5437" w:type="dxa"/>
            <w:noWrap w:val="0"/>
            <w:vAlign w:val="center"/>
          </w:tcPr>
          <w:p w14:paraId="37FEF314">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其他</w:t>
            </w:r>
          </w:p>
        </w:tc>
      </w:tr>
      <w:tr w14:paraId="6B6FC7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594428E2">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三级A</w:t>
            </w:r>
          </w:p>
        </w:tc>
        <w:tc>
          <w:tcPr>
            <w:tcW w:w="1697" w:type="dxa"/>
            <w:noWrap w:val="0"/>
            <w:vAlign w:val="center"/>
          </w:tcPr>
          <w:p w14:paraId="26E487F7">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直接排放</w:t>
            </w:r>
          </w:p>
        </w:tc>
        <w:tc>
          <w:tcPr>
            <w:tcW w:w="5437" w:type="dxa"/>
            <w:noWrap w:val="0"/>
            <w:vAlign w:val="center"/>
          </w:tcPr>
          <w:p w14:paraId="51EC9D4B">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Q&lt;200且W&lt;6000</w:t>
            </w:r>
          </w:p>
        </w:tc>
      </w:tr>
      <w:tr w14:paraId="320CE4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shd w:val="clear" w:color="auto" w:fill="BEBEBE"/>
            <w:noWrap w:val="0"/>
            <w:vAlign w:val="center"/>
          </w:tcPr>
          <w:p w14:paraId="1336EC62">
            <w:pPr>
              <w:pStyle w:val="41"/>
              <w:rPr>
                <w:rFonts w:hint="default" w:ascii="Times New Roman" w:hAnsi="Times New Roman" w:eastAsia="宋体" w:cs="Times New Roman"/>
                <w:color w:val="auto"/>
                <w:kern w:val="2"/>
                <w:sz w:val="21"/>
                <w:szCs w:val="24"/>
                <w:highlight w:val="none"/>
              </w:rPr>
            </w:pPr>
            <w:r>
              <w:rPr>
                <w:rFonts w:hint="default" w:ascii="Times New Roman" w:hAnsi="Times New Roman" w:eastAsia="宋体" w:cs="Times New Roman"/>
                <w:color w:val="auto"/>
                <w:kern w:val="2"/>
                <w:sz w:val="21"/>
                <w:szCs w:val="24"/>
                <w:highlight w:val="none"/>
              </w:rPr>
              <w:t>三级B</w:t>
            </w:r>
          </w:p>
        </w:tc>
        <w:tc>
          <w:tcPr>
            <w:tcW w:w="1697" w:type="dxa"/>
            <w:noWrap w:val="0"/>
            <w:vAlign w:val="center"/>
          </w:tcPr>
          <w:p w14:paraId="11DDE0DA">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间接排放</w:t>
            </w:r>
          </w:p>
        </w:tc>
        <w:tc>
          <w:tcPr>
            <w:tcW w:w="5437" w:type="dxa"/>
            <w:noWrap w:val="0"/>
            <w:vAlign w:val="center"/>
          </w:tcPr>
          <w:p w14:paraId="76012D00">
            <w:pPr>
              <w:pStyle w:val="41"/>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w:t>
            </w:r>
          </w:p>
        </w:tc>
      </w:tr>
      <w:tr w14:paraId="69F35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04" w:type="dxa"/>
            <w:gridSpan w:val="3"/>
            <w:noWrap w:val="0"/>
            <w:vAlign w:val="center"/>
          </w:tcPr>
          <w:p w14:paraId="3F023F14">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1：水污染当量数等于该污染物的年排放量除以该污染物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6731A484">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2：废水排放量按行业排放标准中规定的废水种类统计，没有相关行业排放标准要求的通过工程分析合理确定，应统计含热量大的冷却水的排放量，可不统计间接冷却水、循环水以及其他污染物极少的清净下水的排放量。</w:t>
            </w:r>
          </w:p>
          <w:p w14:paraId="3B0F68DF">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注3：厂区存在堆积物（露天堆放的原料、燃料、废渣等以及垃圾堆放场）、降尘污染的，应将初期雨污水纳入废水排放量，相应的主要污染物纳入水污染当量计算。</w:t>
            </w:r>
          </w:p>
          <w:p w14:paraId="786FD4C8">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注4：建设项目直接排放第一类污染物的，其评价等级为一级；建设项目直接排放的污染物为受纳水体超标因子的，评价等级不低于二级。</w:t>
            </w:r>
          </w:p>
          <w:p w14:paraId="7C99B94B">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注5：直接排放受纳水体影响范围涉及饮用水水源保护区、饮用水取水口、重点保护与珍稀水生生物的栖息地、重要水生生物的自然产卵场等保护目标时，等价等级不低于二级。</w:t>
            </w:r>
          </w:p>
          <w:p w14:paraId="0DF8192B">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注6：建设项目向河流、湖泊排放温排水引起受纳水体水温变化超过水环境质量标准要求，且评价范围有水温敏感目标时，评价等级为一级。</w:t>
            </w:r>
          </w:p>
          <w:p w14:paraId="69EF6254">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注7：建设项目利用海水作为调节温度介质，排水量≥500万m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/d，评价等级为一级；排水量&lt;500万m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/d，评价等级为二级。</w:t>
            </w:r>
          </w:p>
          <w:p w14:paraId="4A2CB512">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注8：仅涉及清净下水排放的，如其排放水质满足受纳水体水环境质量标准要求的，评价等级为三级A。</w:t>
            </w:r>
          </w:p>
          <w:p w14:paraId="0C7323B8">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注9：依托现有排放口，且对外环境未新增排放污染物的直接排放建设项目，评价等级参照间接排放，定为三级B。</w:t>
            </w:r>
          </w:p>
          <w:p w14:paraId="13C86A5E">
            <w:pPr>
              <w:pStyle w:val="41"/>
              <w:jc w:val="both"/>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sz w:val="18"/>
                <w:szCs w:val="18"/>
              </w:rPr>
              <w:t>注10：建设项目生产工艺中有废水产生，但作为回水利用，不排放到外环境的，按三级B评价。</w:t>
            </w:r>
          </w:p>
        </w:tc>
      </w:tr>
    </w:tbl>
    <w:p w14:paraId="0F7E52AC">
      <w:pPr>
        <w:pStyle w:val="3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w:t>
      </w:r>
      <w:r>
        <w:rPr>
          <w:rFonts w:hint="default" w:ascii="Times New Roman" w:hAnsi="Times New Roman" w:eastAsia="宋体" w:cs="Times New Roman"/>
          <w:color w:val="auto"/>
          <w:spacing w:val="4"/>
        </w:rPr>
        <w:t>项目产生废水主要为</w:t>
      </w:r>
      <w:r>
        <w:rPr>
          <w:rFonts w:hint="default" w:ascii="Times New Roman" w:hAnsi="Times New Roman" w:eastAsia="宋体" w:cs="Times New Roman"/>
          <w:color w:val="auto"/>
          <w:spacing w:val="4"/>
          <w:lang w:eastAsia="zh-CN"/>
        </w:rPr>
        <w:t>营运期</w:t>
      </w:r>
      <w:r>
        <w:rPr>
          <w:rFonts w:hint="default" w:ascii="Times New Roman" w:hAnsi="Times New Roman" w:eastAsia="宋体" w:cs="Times New Roman"/>
          <w:color w:val="auto"/>
          <w:spacing w:val="4"/>
          <w:lang w:val="en-US" w:eastAsia="zh-CN"/>
        </w:rPr>
        <w:t>码头人员</w:t>
      </w:r>
      <w:r>
        <w:rPr>
          <w:rFonts w:hint="default" w:ascii="Times New Roman" w:hAnsi="Times New Roman" w:eastAsia="宋体" w:cs="Times New Roman"/>
          <w:color w:val="auto"/>
          <w:spacing w:val="4"/>
          <w:lang w:eastAsia="zh-CN"/>
        </w:rPr>
        <w:t>产生的生活污水、船舶废水（舱底油污水、生活污水）</w:t>
      </w:r>
      <w:r>
        <w:rPr>
          <w:rFonts w:hint="default" w:ascii="Times New Roman" w:hAnsi="Times New Roman" w:eastAsia="宋体" w:cs="Times New Roman"/>
          <w:color w:val="auto"/>
          <w:spacing w:val="4"/>
        </w:rPr>
        <w:t>，</w:t>
      </w:r>
      <w:r>
        <w:rPr>
          <w:rFonts w:hint="default" w:ascii="Times New Roman" w:hAnsi="Times New Roman" w:eastAsia="宋体" w:cs="Times New Roman"/>
          <w:color w:val="auto"/>
          <w:spacing w:val="4"/>
          <w:lang w:val="en-US" w:eastAsia="zh-CN"/>
        </w:rPr>
        <w:t>码头人员产生的生活污水</w:t>
      </w:r>
      <w:r>
        <w:rPr>
          <w:rFonts w:hint="eastAsia" w:cs="Times New Roman"/>
          <w:color w:val="auto"/>
          <w:spacing w:val="4"/>
          <w:lang w:val="en-US" w:eastAsia="zh-CN"/>
        </w:rPr>
        <w:t>，</w:t>
      </w:r>
      <w:r>
        <w:rPr>
          <w:rFonts w:hint="default" w:ascii="Times New Roman" w:hAnsi="Times New Roman" w:eastAsia="宋体" w:cs="Times New Roman"/>
          <w:color w:val="auto"/>
          <w:spacing w:val="4"/>
          <w:lang w:eastAsia="zh-CN"/>
        </w:rPr>
        <w:t>到港船舶生活污水</w:t>
      </w:r>
      <w:r>
        <w:rPr>
          <w:rFonts w:hint="default" w:ascii="Times New Roman" w:hAnsi="Times New Roman" w:eastAsia="宋体" w:cs="Times New Roman"/>
          <w:color w:val="auto"/>
          <w:spacing w:val="4"/>
          <w:lang w:val="en-US" w:eastAsia="zh-CN"/>
        </w:rPr>
        <w:t>经趸船污水处理设施处理后作为区域林地灌溉水回用</w:t>
      </w:r>
      <w:r>
        <w:rPr>
          <w:rFonts w:hint="default" w:ascii="Times New Roman" w:hAnsi="Times New Roman" w:eastAsia="宋体" w:cs="Times New Roman"/>
          <w:color w:val="auto"/>
          <w:spacing w:val="4"/>
          <w:lang w:eastAsia="zh-CN"/>
        </w:rPr>
        <w:t>；船舶含油废水由斜坡道上含油污水箱收集后由有资质单位接收处置；初期雨水经初期雨水收集池沉淀后排至后方市政污水管网。</w:t>
      </w:r>
      <w:r>
        <w:rPr>
          <w:rFonts w:hint="default" w:ascii="Times New Roman" w:hAnsi="Times New Roman" w:eastAsia="宋体" w:cs="Times New Roman"/>
          <w:color w:val="auto"/>
          <w:lang w:val="en-US" w:eastAsia="zh-CN"/>
        </w:rPr>
        <w:t>项目无外排废水，根据表2.3-5，本项目水污染评价工作等级为三级B评价。</w:t>
      </w:r>
    </w:p>
    <w:p w14:paraId="13BF9E55">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）水文要素影响型</w:t>
      </w:r>
    </w:p>
    <w:p w14:paraId="0F9DA607">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水文要素影响型评价等级按照水温、径流与受影响地表水域等三类水文要素的影响程度进行判定，具体判定依据见表</w:t>
      </w:r>
      <w:r>
        <w:rPr>
          <w:rFonts w:hint="default" w:ascii="Times New Roman" w:hAnsi="Times New Roman" w:eastAsia="宋体" w:cs="Times New Roman"/>
          <w:color w:val="auto"/>
          <w:lang w:val="en-US" w:eastAsia="zh-CN"/>
        </w:rPr>
        <w:t>2.</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lang w:eastAsia="zh-CN"/>
        </w:rPr>
        <w:t>。根据</w:t>
      </w:r>
      <w:r>
        <w:rPr>
          <w:rFonts w:hint="default" w:ascii="Times New Roman" w:hAnsi="Times New Roman" w:eastAsia="宋体" w:cs="Times New Roman"/>
          <w:color w:val="auto"/>
          <w:lang w:val="en-US" w:eastAsia="zh-CN"/>
        </w:rPr>
        <w:t>《水运工程建设项目环境影响评价指南》(JTS-T105-2021)，河港建设项目中水环境影响评价等级按照水文动力环境、冲淤环境、水质和沉积物环境等进行判定，判定依据见表2.</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4</w:t>
      </w:r>
      <w:r>
        <w:rPr>
          <w:rFonts w:hint="default" w:ascii="Times New Roman" w:hAnsi="Times New Roman" w:eastAsia="宋体" w:cs="Times New Roman"/>
          <w:color w:val="auto"/>
          <w:lang w:val="en-US" w:eastAsia="zh-CN"/>
        </w:rPr>
        <w:t>。</w:t>
      </w:r>
    </w:p>
    <w:p w14:paraId="0DBD90A6">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水文要素影响型建设项目评价工作等级判定表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1092"/>
        <w:gridCol w:w="1093"/>
        <w:gridCol w:w="1111"/>
        <w:gridCol w:w="1526"/>
        <w:gridCol w:w="1194"/>
        <w:gridCol w:w="1279"/>
      </w:tblGrid>
      <w:tr w14:paraId="6CBC60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vMerge w:val="restart"/>
            <w:noWrap w:val="0"/>
            <w:vAlign w:val="center"/>
          </w:tcPr>
          <w:p w14:paraId="1C40EEE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评价等级</w:t>
            </w:r>
          </w:p>
        </w:tc>
        <w:tc>
          <w:tcPr>
            <w:tcW w:w="664" w:type="pct"/>
            <w:noWrap w:val="0"/>
            <w:vAlign w:val="center"/>
          </w:tcPr>
          <w:p w14:paraId="003D4E7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水温</w:t>
            </w:r>
          </w:p>
        </w:tc>
        <w:tc>
          <w:tcPr>
            <w:tcW w:w="1341" w:type="pct"/>
            <w:gridSpan w:val="2"/>
            <w:noWrap w:val="0"/>
            <w:vAlign w:val="center"/>
          </w:tcPr>
          <w:p w14:paraId="773D3291">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径流</w:t>
            </w:r>
          </w:p>
        </w:tc>
        <w:tc>
          <w:tcPr>
            <w:tcW w:w="2430" w:type="pct"/>
            <w:gridSpan w:val="3"/>
            <w:noWrap w:val="0"/>
            <w:vAlign w:val="center"/>
          </w:tcPr>
          <w:p w14:paraId="03F3B1D3">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受影响地表水域</w:t>
            </w:r>
          </w:p>
        </w:tc>
      </w:tr>
      <w:tr w14:paraId="4EF1D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vMerge w:val="continue"/>
            <w:noWrap w:val="0"/>
            <w:vAlign w:val="center"/>
          </w:tcPr>
          <w:p w14:paraId="4789231A">
            <w:pPr>
              <w:pStyle w:val="38"/>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664" w:type="pct"/>
            <w:vMerge w:val="restart"/>
            <w:noWrap w:val="0"/>
            <w:vAlign w:val="center"/>
          </w:tcPr>
          <w:p w14:paraId="398A74B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年径流量与总库容百分百α/%</w:t>
            </w:r>
          </w:p>
        </w:tc>
        <w:tc>
          <w:tcPr>
            <w:tcW w:w="665" w:type="pct"/>
            <w:vMerge w:val="restart"/>
            <w:noWrap w:val="0"/>
            <w:vAlign w:val="center"/>
          </w:tcPr>
          <w:p w14:paraId="0226A5CD">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兴利库容与年径流量百分比</w:t>
            </w:r>
          </w:p>
          <w:p w14:paraId="1A30D7E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β/%</w:t>
            </w:r>
          </w:p>
        </w:tc>
        <w:tc>
          <w:tcPr>
            <w:tcW w:w="676" w:type="pct"/>
            <w:vMerge w:val="restart"/>
            <w:noWrap w:val="0"/>
            <w:vAlign w:val="center"/>
          </w:tcPr>
          <w:p w14:paraId="21601360">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取水量占</w:t>
            </w:r>
          </w:p>
          <w:p w14:paraId="44476929">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多年平均</w:t>
            </w:r>
          </w:p>
          <w:p w14:paraId="3FC50A7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径流量百</w:t>
            </w:r>
          </w:p>
          <w:p w14:paraId="32A7C08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分比γ/%</w:t>
            </w:r>
          </w:p>
        </w:tc>
        <w:tc>
          <w:tcPr>
            <w:tcW w:w="1654" w:type="pct"/>
            <w:gridSpan w:val="2"/>
            <w:noWrap w:val="0"/>
            <w:vAlign w:val="center"/>
          </w:tcPr>
          <w:p w14:paraId="7660F7F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工程垂直投影面积及外扩范围A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/km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工程扰动水底面积A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/km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过水断面宽度占用比例或占用水域面积比例R/%</w:t>
            </w:r>
          </w:p>
        </w:tc>
        <w:tc>
          <w:tcPr>
            <w:tcW w:w="776" w:type="pct"/>
            <w:noWrap w:val="0"/>
            <w:vAlign w:val="center"/>
          </w:tcPr>
          <w:p w14:paraId="72F4B40C">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工程垂直投影面积及外扩范围A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/km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工程扰动水底面积A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/km</w:t>
            </w:r>
            <w:r>
              <w:rPr>
                <w:rFonts w:hint="default" w:ascii="Times New Roman" w:hAnsi="Times New Roman" w:eastAsia="宋体" w:cs="Times New Roman"/>
                <w:color w:val="auto"/>
                <w:sz w:val="21"/>
                <w:szCs w:val="21"/>
                <w:vertAlign w:val="superscript"/>
                <w:lang w:eastAsia="zh-CN"/>
              </w:rPr>
              <w:t>2</w:t>
            </w:r>
          </w:p>
        </w:tc>
      </w:tr>
      <w:tr w14:paraId="7FDBED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vMerge w:val="continue"/>
            <w:noWrap w:val="0"/>
            <w:vAlign w:val="center"/>
          </w:tcPr>
          <w:p w14:paraId="58D36E73">
            <w:pPr>
              <w:pStyle w:val="38"/>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664" w:type="pct"/>
            <w:vMerge w:val="continue"/>
            <w:noWrap w:val="0"/>
            <w:vAlign w:val="center"/>
          </w:tcPr>
          <w:p w14:paraId="2D9192B1">
            <w:pPr>
              <w:pStyle w:val="38"/>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665" w:type="pct"/>
            <w:vMerge w:val="continue"/>
            <w:noWrap w:val="0"/>
            <w:vAlign w:val="center"/>
          </w:tcPr>
          <w:p w14:paraId="1E94184C">
            <w:pPr>
              <w:pStyle w:val="38"/>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676" w:type="pct"/>
            <w:vMerge w:val="continue"/>
            <w:noWrap w:val="0"/>
            <w:vAlign w:val="center"/>
          </w:tcPr>
          <w:p w14:paraId="3BFB582B">
            <w:pPr>
              <w:pStyle w:val="38"/>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928" w:type="pct"/>
            <w:noWrap w:val="0"/>
            <w:vAlign w:val="center"/>
          </w:tcPr>
          <w:p w14:paraId="3AA7FA9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河流</w:t>
            </w:r>
          </w:p>
        </w:tc>
        <w:tc>
          <w:tcPr>
            <w:tcW w:w="726" w:type="pct"/>
            <w:noWrap w:val="0"/>
            <w:vAlign w:val="center"/>
          </w:tcPr>
          <w:p w14:paraId="53E5FDA1">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湖库</w:t>
            </w:r>
          </w:p>
        </w:tc>
        <w:tc>
          <w:tcPr>
            <w:tcW w:w="776" w:type="pct"/>
            <w:noWrap w:val="0"/>
            <w:vAlign w:val="center"/>
          </w:tcPr>
          <w:p w14:paraId="01F3EEE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入海河口、近岸海域</w:t>
            </w:r>
          </w:p>
        </w:tc>
      </w:tr>
      <w:tr w14:paraId="55C9D5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noWrap w:val="0"/>
            <w:vAlign w:val="center"/>
          </w:tcPr>
          <w:p w14:paraId="631EAC70">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一级</w:t>
            </w:r>
          </w:p>
        </w:tc>
        <w:tc>
          <w:tcPr>
            <w:tcW w:w="664" w:type="pct"/>
            <w:noWrap w:val="0"/>
            <w:vAlign w:val="center"/>
          </w:tcPr>
          <w:p w14:paraId="3ABD4FF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α≤10；或稳定分层</w:t>
            </w:r>
          </w:p>
        </w:tc>
        <w:tc>
          <w:tcPr>
            <w:tcW w:w="665" w:type="pct"/>
            <w:noWrap w:val="0"/>
            <w:vAlign w:val="center"/>
          </w:tcPr>
          <w:p w14:paraId="5796B0D2">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β≥20；或完全年调节或多年调节</w:t>
            </w:r>
          </w:p>
        </w:tc>
        <w:tc>
          <w:tcPr>
            <w:tcW w:w="676" w:type="pct"/>
            <w:noWrap w:val="0"/>
            <w:vAlign w:val="center"/>
          </w:tcPr>
          <w:p w14:paraId="529B3E3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γ≥3</w:t>
            </w:r>
          </w:p>
        </w:tc>
        <w:tc>
          <w:tcPr>
            <w:tcW w:w="928" w:type="pct"/>
            <w:noWrap w:val="0"/>
            <w:vAlign w:val="center"/>
          </w:tcPr>
          <w:p w14:paraId="56D4839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≥0.3；或A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≥1.5；或R≥10</w:t>
            </w:r>
          </w:p>
        </w:tc>
        <w:tc>
          <w:tcPr>
            <w:tcW w:w="726" w:type="pct"/>
            <w:noWrap w:val="0"/>
            <w:vAlign w:val="center"/>
          </w:tcPr>
          <w:p w14:paraId="7207FBEC">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≥0.3；或A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≥1.5；或R≥20</w:t>
            </w:r>
          </w:p>
        </w:tc>
        <w:tc>
          <w:tcPr>
            <w:tcW w:w="776" w:type="pct"/>
            <w:noWrap w:val="0"/>
            <w:vAlign w:val="center"/>
          </w:tcPr>
          <w:p w14:paraId="0AEB2849">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≥0.5；或A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≥3</w:t>
            </w:r>
          </w:p>
        </w:tc>
      </w:tr>
      <w:tr w14:paraId="2982C6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noWrap w:val="0"/>
            <w:vAlign w:val="center"/>
          </w:tcPr>
          <w:p w14:paraId="7F1A92C3">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二级</w:t>
            </w:r>
          </w:p>
        </w:tc>
        <w:tc>
          <w:tcPr>
            <w:tcW w:w="664" w:type="pct"/>
            <w:noWrap w:val="0"/>
            <w:vAlign w:val="center"/>
          </w:tcPr>
          <w:p w14:paraId="32847DA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20＞α＞10；或不稳定分层</w:t>
            </w:r>
          </w:p>
        </w:tc>
        <w:tc>
          <w:tcPr>
            <w:tcW w:w="665" w:type="pct"/>
            <w:noWrap w:val="0"/>
            <w:vAlign w:val="center"/>
          </w:tcPr>
          <w:p w14:paraId="652EBBD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20＞β＞2；或季调节与不完全年调节</w:t>
            </w:r>
          </w:p>
        </w:tc>
        <w:tc>
          <w:tcPr>
            <w:tcW w:w="676" w:type="pct"/>
            <w:noWrap w:val="0"/>
            <w:vAlign w:val="center"/>
          </w:tcPr>
          <w:p w14:paraId="3A8ADC33">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30＞γ＞10</w:t>
            </w:r>
          </w:p>
        </w:tc>
        <w:tc>
          <w:tcPr>
            <w:tcW w:w="928" w:type="pct"/>
            <w:noWrap w:val="0"/>
            <w:vAlign w:val="center"/>
          </w:tcPr>
          <w:p w14:paraId="2F1452C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0.3＞A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＞0.05；1.5＞A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＞0.2；或10＞R＞5</w:t>
            </w:r>
          </w:p>
        </w:tc>
        <w:tc>
          <w:tcPr>
            <w:tcW w:w="726" w:type="pct"/>
            <w:noWrap w:val="0"/>
            <w:vAlign w:val="center"/>
          </w:tcPr>
          <w:p w14:paraId="77BF09C3">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0.3＞A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＞0.05；1.5＞A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＞0.2；或20＞R＞5</w:t>
            </w:r>
          </w:p>
        </w:tc>
        <w:tc>
          <w:tcPr>
            <w:tcW w:w="776" w:type="pct"/>
            <w:noWrap w:val="0"/>
            <w:vAlign w:val="center"/>
          </w:tcPr>
          <w:p w14:paraId="0A55376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0.5＞A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＞0.15；3＞A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＞0.5</w:t>
            </w:r>
          </w:p>
        </w:tc>
      </w:tr>
      <w:tr w14:paraId="76D5F6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63" w:type="pct"/>
            <w:shd w:val="clear" w:color="auto" w:fill="auto"/>
            <w:noWrap w:val="0"/>
            <w:vAlign w:val="center"/>
          </w:tcPr>
          <w:p w14:paraId="2C88B95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三级</w:t>
            </w:r>
          </w:p>
        </w:tc>
        <w:tc>
          <w:tcPr>
            <w:tcW w:w="664" w:type="pct"/>
            <w:shd w:val="clear" w:color="auto" w:fill="auto"/>
            <w:noWrap w:val="0"/>
            <w:vAlign w:val="center"/>
          </w:tcPr>
          <w:p w14:paraId="1170056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α≥20；或混合型</w:t>
            </w:r>
          </w:p>
        </w:tc>
        <w:tc>
          <w:tcPr>
            <w:tcW w:w="665" w:type="pct"/>
            <w:shd w:val="clear" w:color="auto" w:fill="auto"/>
            <w:noWrap w:val="0"/>
            <w:vAlign w:val="center"/>
          </w:tcPr>
          <w:p w14:paraId="598AECA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β≤2；或无调节</w:t>
            </w:r>
          </w:p>
        </w:tc>
        <w:tc>
          <w:tcPr>
            <w:tcW w:w="676" w:type="pct"/>
            <w:shd w:val="clear" w:color="auto" w:fill="auto"/>
            <w:noWrap w:val="0"/>
            <w:vAlign w:val="center"/>
          </w:tcPr>
          <w:p w14:paraId="0B70C37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γ≤10</w:t>
            </w:r>
          </w:p>
        </w:tc>
        <w:tc>
          <w:tcPr>
            <w:tcW w:w="928" w:type="pct"/>
            <w:shd w:val="clear" w:color="auto" w:fill="BEBEBE"/>
            <w:noWrap w:val="0"/>
            <w:vAlign w:val="center"/>
          </w:tcPr>
          <w:p w14:paraId="3271D26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shd w:val="clear" w:color="auto" w:fill="BEBEBE"/>
                <w:lang w:eastAsia="zh-CN"/>
              </w:rPr>
              <w:t>A</w:t>
            </w:r>
            <w:r>
              <w:rPr>
                <w:rFonts w:hint="default" w:ascii="Times New Roman" w:hAnsi="Times New Roman" w:eastAsia="宋体" w:cs="Times New Roman"/>
                <w:color w:val="auto"/>
                <w:sz w:val="21"/>
                <w:szCs w:val="21"/>
                <w:highlight w:val="none"/>
                <w:shd w:val="clear" w:color="auto" w:fill="BEBEBE"/>
                <w:vertAlign w:val="subscript"/>
                <w:lang w:eastAsia="zh-CN"/>
              </w:rPr>
              <w:t>1</w:t>
            </w:r>
            <w:r>
              <w:rPr>
                <w:rFonts w:hint="default" w:ascii="Times New Roman" w:hAnsi="Times New Roman" w:eastAsia="宋体" w:cs="Times New Roman"/>
                <w:color w:val="auto"/>
                <w:sz w:val="21"/>
                <w:szCs w:val="21"/>
                <w:highlight w:val="none"/>
                <w:shd w:val="clear" w:color="auto" w:fill="BEBEBE"/>
                <w:lang w:eastAsia="zh-CN"/>
              </w:rPr>
              <w:t>≤0.05；或A</w:t>
            </w:r>
            <w:r>
              <w:rPr>
                <w:rFonts w:hint="default" w:ascii="Times New Roman" w:hAnsi="Times New Roman" w:eastAsia="宋体" w:cs="Times New Roman"/>
                <w:color w:val="auto"/>
                <w:sz w:val="21"/>
                <w:szCs w:val="21"/>
                <w:highlight w:val="none"/>
                <w:shd w:val="clear" w:color="auto" w:fill="BEBEBE"/>
                <w:vertAlign w:val="subscript"/>
                <w:lang w:eastAsia="zh-CN"/>
              </w:rPr>
              <w:t>2</w:t>
            </w:r>
            <w:r>
              <w:rPr>
                <w:rFonts w:hint="default" w:ascii="Times New Roman" w:hAnsi="Times New Roman" w:eastAsia="宋体" w:cs="Times New Roman"/>
                <w:color w:val="auto"/>
                <w:sz w:val="21"/>
                <w:szCs w:val="21"/>
                <w:highlight w:val="none"/>
                <w:shd w:val="clear" w:color="auto" w:fill="BEBEBE"/>
                <w:lang w:eastAsia="zh-CN"/>
              </w:rPr>
              <w:t>≤0.2；或R≤5</w:t>
            </w:r>
          </w:p>
        </w:tc>
        <w:tc>
          <w:tcPr>
            <w:tcW w:w="726" w:type="pct"/>
            <w:noWrap w:val="0"/>
            <w:vAlign w:val="center"/>
          </w:tcPr>
          <w:p w14:paraId="7FE25DF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≤0.05；或A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≤0.2；或R≤5</w:t>
            </w:r>
          </w:p>
        </w:tc>
        <w:tc>
          <w:tcPr>
            <w:tcW w:w="776" w:type="pct"/>
            <w:noWrap w:val="0"/>
            <w:vAlign w:val="center"/>
          </w:tcPr>
          <w:p w14:paraId="4D31907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w:t>
            </w:r>
            <w:r>
              <w:rPr>
                <w:rFonts w:hint="default" w:ascii="Times New Roman" w:hAnsi="Times New Roman" w:eastAsia="宋体" w:cs="Times New Roman"/>
                <w:color w:val="auto"/>
                <w:sz w:val="21"/>
                <w:szCs w:val="21"/>
                <w:vertAlign w:val="subscript"/>
                <w:lang w:eastAsia="zh-CN"/>
              </w:rPr>
              <w:t>1</w:t>
            </w:r>
            <w:r>
              <w:rPr>
                <w:rFonts w:hint="default" w:ascii="Times New Roman" w:hAnsi="Times New Roman" w:eastAsia="宋体" w:cs="Times New Roman"/>
                <w:color w:val="auto"/>
                <w:sz w:val="21"/>
                <w:szCs w:val="21"/>
                <w:lang w:eastAsia="zh-CN"/>
              </w:rPr>
              <w:t>≤0.15；或A</w:t>
            </w:r>
            <w:r>
              <w:rPr>
                <w:rFonts w:hint="default"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lang w:eastAsia="zh-CN"/>
              </w:rPr>
              <w:t>≤0.5</w:t>
            </w:r>
          </w:p>
        </w:tc>
      </w:tr>
      <w:tr w14:paraId="091369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7"/>
            <w:noWrap w:val="0"/>
            <w:vAlign w:val="center"/>
          </w:tcPr>
          <w:p w14:paraId="127C74FE">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注1：</w:t>
            </w:r>
            <w:r>
              <w:rPr>
                <w:rFonts w:hint="default" w:ascii="Times New Roman" w:hAnsi="Times New Roman" w:eastAsia="宋体" w:cs="Times New Roman"/>
                <w:color w:val="auto"/>
                <w:sz w:val="21"/>
                <w:szCs w:val="21"/>
                <w:shd w:val="clear" w:color="auto" w:fill="BEBEBE"/>
                <w:lang w:val="en-US" w:eastAsia="zh-CN"/>
              </w:rPr>
              <w:t>影响范围涉及饮用水水源保护区、重点保护与珍稀水生生物的栖息地、重要水生生物的自然产卵场、自然保护区等保护目标，评价等级应不低于二级</w:t>
            </w:r>
            <w:r>
              <w:rPr>
                <w:rFonts w:hint="default" w:ascii="Times New Roman" w:hAnsi="Times New Roman" w:eastAsia="宋体" w:cs="Times New Roman"/>
                <w:color w:val="auto"/>
                <w:sz w:val="21"/>
                <w:szCs w:val="21"/>
                <w:lang w:val="en-US" w:eastAsia="zh-CN"/>
              </w:rPr>
              <w:t>。</w:t>
            </w:r>
          </w:p>
          <w:p w14:paraId="08E36E74">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注2：跨流域调水、引水式电站、可能受到河流感潮河段影响，评价等级不低于二级。</w:t>
            </w:r>
          </w:p>
          <w:p w14:paraId="4594C05F">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注3：造成入海河口（湾口）宽度束窄(束窄尺度达到原宽度的5%以上，评价等级应不低于二级。</w:t>
            </w:r>
          </w:p>
          <w:p w14:paraId="2BC5F0FD">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注4：对不透水的单方向建筑尺度较长的水工建筑物（如防波堤、导流堤等），其与潮流或</w:t>
            </w:r>
            <w:r>
              <w:rPr>
                <w:rFonts w:hint="eastAsia" w:cs="Times New Roman"/>
                <w:color w:val="auto"/>
                <w:sz w:val="21"/>
                <w:szCs w:val="21"/>
                <w:lang w:val="en-US" w:eastAsia="zh-CN"/>
              </w:rPr>
              <w:t>。</w:t>
            </w:r>
          </w:p>
          <w:p w14:paraId="26BBF526">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水流主流向切线垂直方向投影长度大于2km时，评价等级应不低于二级。</w:t>
            </w:r>
          </w:p>
          <w:p w14:paraId="7EEACDF2">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注5：允许在一类海域建设的项目，评价等级为一级。</w:t>
            </w:r>
          </w:p>
          <w:p w14:paraId="3E911DD1">
            <w:pPr>
              <w:pStyle w:val="38"/>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注6：同时存在多个水温要素影响的建设项目，分别判断个水文要素影响评价等级，并取其中最高等级作为水文要素影响型建设项目评价等级。</w:t>
            </w:r>
          </w:p>
        </w:tc>
      </w:tr>
    </w:tbl>
    <w:p w14:paraId="53D9E357">
      <w:pPr>
        <w:pStyle w:val="40"/>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JTS-T105-2021建设项目评价等级判定表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1035"/>
        <w:gridCol w:w="1125"/>
        <w:gridCol w:w="1620"/>
        <w:gridCol w:w="1165"/>
        <w:gridCol w:w="1962"/>
      </w:tblGrid>
      <w:tr w14:paraId="51318F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restart"/>
            <w:noWrap w:val="0"/>
            <w:vAlign w:val="center"/>
          </w:tcPr>
          <w:p w14:paraId="057F5ED7">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评价等级</w:t>
            </w:r>
          </w:p>
        </w:tc>
        <w:tc>
          <w:tcPr>
            <w:tcW w:w="1035" w:type="dxa"/>
            <w:vMerge w:val="restart"/>
            <w:noWrap w:val="0"/>
            <w:vAlign w:val="center"/>
          </w:tcPr>
          <w:p w14:paraId="796DD61A">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工程特性</w:t>
            </w:r>
          </w:p>
        </w:tc>
        <w:tc>
          <w:tcPr>
            <w:tcW w:w="1125" w:type="dxa"/>
            <w:vMerge w:val="restart"/>
            <w:noWrap w:val="0"/>
            <w:vAlign w:val="center"/>
          </w:tcPr>
          <w:p w14:paraId="72A87869">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影响区域</w:t>
            </w:r>
          </w:p>
        </w:tc>
        <w:tc>
          <w:tcPr>
            <w:tcW w:w="4747" w:type="dxa"/>
            <w:gridSpan w:val="3"/>
            <w:noWrap w:val="0"/>
            <w:vAlign w:val="center"/>
          </w:tcPr>
          <w:p w14:paraId="3F34FA7B">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水环境影响评价等级</w:t>
            </w:r>
          </w:p>
        </w:tc>
      </w:tr>
      <w:tr w14:paraId="7F939D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continue"/>
            <w:noWrap w:val="0"/>
            <w:vAlign w:val="center"/>
          </w:tcPr>
          <w:p w14:paraId="51623708">
            <w:pPr>
              <w:pStyle w:val="41"/>
              <w:rPr>
                <w:rFonts w:hint="default" w:ascii="Times New Roman" w:hAnsi="Times New Roman" w:eastAsia="宋体" w:cs="Times New Roman"/>
                <w:color w:val="auto"/>
                <w:kern w:val="2"/>
                <w:sz w:val="21"/>
                <w:szCs w:val="24"/>
                <w:lang w:eastAsia="zh-CN"/>
              </w:rPr>
            </w:pPr>
          </w:p>
        </w:tc>
        <w:tc>
          <w:tcPr>
            <w:tcW w:w="1035" w:type="dxa"/>
            <w:vMerge w:val="continue"/>
            <w:noWrap w:val="0"/>
            <w:vAlign w:val="center"/>
          </w:tcPr>
          <w:p w14:paraId="65C12AEF">
            <w:pPr>
              <w:pStyle w:val="41"/>
              <w:rPr>
                <w:rFonts w:hint="default" w:ascii="Times New Roman" w:hAnsi="Times New Roman" w:eastAsia="宋体" w:cs="Times New Roman"/>
                <w:color w:val="auto"/>
                <w:kern w:val="2"/>
                <w:sz w:val="21"/>
                <w:szCs w:val="24"/>
                <w:lang w:eastAsia="zh-CN"/>
              </w:rPr>
            </w:pPr>
          </w:p>
        </w:tc>
        <w:tc>
          <w:tcPr>
            <w:tcW w:w="1125" w:type="dxa"/>
            <w:vMerge w:val="continue"/>
            <w:noWrap w:val="0"/>
            <w:vAlign w:val="center"/>
          </w:tcPr>
          <w:p w14:paraId="22396FD7">
            <w:pPr>
              <w:pStyle w:val="41"/>
              <w:rPr>
                <w:rFonts w:hint="default" w:ascii="Times New Roman" w:hAnsi="Times New Roman" w:eastAsia="宋体" w:cs="Times New Roman"/>
                <w:color w:val="auto"/>
                <w:kern w:val="2"/>
                <w:sz w:val="21"/>
                <w:szCs w:val="24"/>
                <w:lang w:eastAsia="zh-CN"/>
              </w:rPr>
            </w:pPr>
          </w:p>
        </w:tc>
        <w:tc>
          <w:tcPr>
            <w:tcW w:w="1620" w:type="dxa"/>
            <w:noWrap w:val="0"/>
            <w:vAlign w:val="center"/>
          </w:tcPr>
          <w:p w14:paraId="13D791D7">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水文动力环境</w:t>
            </w:r>
          </w:p>
        </w:tc>
        <w:tc>
          <w:tcPr>
            <w:tcW w:w="1165" w:type="dxa"/>
            <w:noWrap w:val="0"/>
            <w:vAlign w:val="center"/>
          </w:tcPr>
          <w:p w14:paraId="549E14BB">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冲淤环境</w:t>
            </w:r>
          </w:p>
        </w:tc>
        <w:tc>
          <w:tcPr>
            <w:tcW w:w="1962" w:type="dxa"/>
            <w:noWrap w:val="0"/>
            <w:vAlign w:val="center"/>
          </w:tcPr>
          <w:p w14:paraId="093CA5EF">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水质和沉积物环境</w:t>
            </w:r>
          </w:p>
        </w:tc>
      </w:tr>
      <w:tr w14:paraId="171F32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restart"/>
            <w:noWrap w:val="0"/>
            <w:vAlign w:val="center"/>
          </w:tcPr>
          <w:p w14:paraId="0AF2306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集装箱、多用途、通用和件杂货码头工程</w:t>
            </w:r>
          </w:p>
        </w:tc>
        <w:tc>
          <w:tcPr>
            <w:tcW w:w="1035" w:type="dxa"/>
            <w:vMerge w:val="restart"/>
            <w:noWrap w:val="0"/>
            <w:vAlign w:val="center"/>
          </w:tcPr>
          <w:p w14:paraId="56AA7B8A">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新开港区</w:t>
            </w:r>
          </w:p>
        </w:tc>
        <w:tc>
          <w:tcPr>
            <w:tcW w:w="1125" w:type="dxa"/>
            <w:noWrap w:val="0"/>
            <w:vAlign w:val="center"/>
          </w:tcPr>
          <w:p w14:paraId="4D9BC385">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重要生境</w:t>
            </w:r>
          </w:p>
        </w:tc>
        <w:tc>
          <w:tcPr>
            <w:tcW w:w="1620" w:type="dxa"/>
            <w:noWrap w:val="0"/>
            <w:vAlign w:val="center"/>
          </w:tcPr>
          <w:p w14:paraId="7C00D29E">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一</w:t>
            </w:r>
          </w:p>
        </w:tc>
        <w:tc>
          <w:tcPr>
            <w:tcW w:w="1165" w:type="dxa"/>
            <w:noWrap w:val="0"/>
            <w:vAlign w:val="center"/>
          </w:tcPr>
          <w:p w14:paraId="14B12979">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一</w:t>
            </w:r>
          </w:p>
        </w:tc>
        <w:tc>
          <w:tcPr>
            <w:tcW w:w="1962" w:type="dxa"/>
            <w:noWrap w:val="0"/>
            <w:vAlign w:val="center"/>
          </w:tcPr>
          <w:p w14:paraId="0684EC3E">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一</w:t>
            </w:r>
          </w:p>
        </w:tc>
      </w:tr>
      <w:tr w14:paraId="444493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continue"/>
            <w:noWrap w:val="0"/>
            <w:vAlign w:val="center"/>
          </w:tcPr>
          <w:p w14:paraId="1A68AB04">
            <w:pPr>
              <w:pStyle w:val="41"/>
              <w:rPr>
                <w:rFonts w:hint="default" w:ascii="Times New Roman" w:hAnsi="Times New Roman" w:eastAsia="宋体" w:cs="Times New Roman"/>
                <w:color w:val="auto"/>
                <w:kern w:val="2"/>
                <w:sz w:val="21"/>
                <w:szCs w:val="24"/>
                <w:lang w:eastAsia="zh-CN"/>
              </w:rPr>
            </w:pPr>
          </w:p>
        </w:tc>
        <w:tc>
          <w:tcPr>
            <w:tcW w:w="1035" w:type="dxa"/>
            <w:vMerge w:val="continue"/>
            <w:noWrap w:val="0"/>
            <w:vAlign w:val="center"/>
          </w:tcPr>
          <w:p w14:paraId="7A0B230B">
            <w:pPr>
              <w:pStyle w:val="41"/>
              <w:rPr>
                <w:rFonts w:hint="default" w:ascii="Times New Roman" w:hAnsi="Times New Roman" w:eastAsia="宋体" w:cs="Times New Roman"/>
                <w:color w:val="auto"/>
                <w:kern w:val="2"/>
                <w:sz w:val="21"/>
                <w:szCs w:val="24"/>
                <w:lang w:eastAsia="zh-CN"/>
              </w:rPr>
            </w:pPr>
          </w:p>
        </w:tc>
        <w:tc>
          <w:tcPr>
            <w:tcW w:w="1125" w:type="dxa"/>
            <w:noWrap w:val="0"/>
            <w:vAlign w:val="center"/>
          </w:tcPr>
          <w:p w14:paraId="01A23868">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一般区域</w:t>
            </w:r>
          </w:p>
        </w:tc>
        <w:tc>
          <w:tcPr>
            <w:tcW w:w="1620" w:type="dxa"/>
            <w:noWrap w:val="0"/>
            <w:vAlign w:val="center"/>
          </w:tcPr>
          <w:p w14:paraId="7D8D2B1D">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c>
          <w:tcPr>
            <w:tcW w:w="1165" w:type="dxa"/>
            <w:noWrap w:val="0"/>
            <w:vAlign w:val="center"/>
          </w:tcPr>
          <w:p w14:paraId="392E2A74">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c>
          <w:tcPr>
            <w:tcW w:w="1962" w:type="dxa"/>
            <w:noWrap w:val="0"/>
            <w:vAlign w:val="center"/>
          </w:tcPr>
          <w:p w14:paraId="01EE03E4">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r>
      <w:tr w14:paraId="290B4E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continue"/>
            <w:shd w:val="clear" w:color="auto" w:fill="auto"/>
            <w:noWrap w:val="0"/>
            <w:vAlign w:val="center"/>
          </w:tcPr>
          <w:p w14:paraId="2D1C998E">
            <w:pPr>
              <w:pStyle w:val="41"/>
              <w:rPr>
                <w:rFonts w:hint="default" w:ascii="Times New Roman" w:hAnsi="Times New Roman" w:eastAsia="宋体" w:cs="Times New Roman"/>
                <w:color w:val="auto"/>
                <w:kern w:val="2"/>
                <w:sz w:val="21"/>
                <w:szCs w:val="24"/>
                <w:lang w:eastAsia="zh-CN"/>
              </w:rPr>
            </w:pPr>
          </w:p>
        </w:tc>
        <w:tc>
          <w:tcPr>
            <w:tcW w:w="1035" w:type="dxa"/>
            <w:vMerge w:val="restart"/>
            <w:shd w:val="clear" w:color="auto" w:fill="auto"/>
            <w:noWrap w:val="0"/>
            <w:vAlign w:val="center"/>
          </w:tcPr>
          <w:p w14:paraId="299DB324">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现有港区</w:t>
            </w:r>
          </w:p>
        </w:tc>
        <w:tc>
          <w:tcPr>
            <w:tcW w:w="1125" w:type="dxa"/>
            <w:shd w:val="clear" w:color="auto" w:fill="auto"/>
            <w:noWrap w:val="0"/>
            <w:vAlign w:val="center"/>
          </w:tcPr>
          <w:p w14:paraId="1336C6A4">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重要生境</w:t>
            </w:r>
          </w:p>
        </w:tc>
        <w:tc>
          <w:tcPr>
            <w:tcW w:w="1620" w:type="dxa"/>
            <w:shd w:val="clear" w:color="auto" w:fill="BEBEBE"/>
            <w:noWrap w:val="0"/>
            <w:vAlign w:val="center"/>
          </w:tcPr>
          <w:p w14:paraId="584E85D2">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c>
          <w:tcPr>
            <w:tcW w:w="1165" w:type="dxa"/>
            <w:shd w:val="clear" w:color="auto" w:fill="BEBEBE"/>
            <w:noWrap w:val="0"/>
            <w:vAlign w:val="center"/>
          </w:tcPr>
          <w:p w14:paraId="65F08B0C">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c>
          <w:tcPr>
            <w:tcW w:w="1962" w:type="dxa"/>
            <w:shd w:val="clear" w:color="auto" w:fill="BEBEBE"/>
            <w:noWrap w:val="0"/>
            <w:vAlign w:val="center"/>
          </w:tcPr>
          <w:p w14:paraId="67F5AC3F">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二</w:t>
            </w:r>
          </w:p>
        </w:tc>
      </w:tr>
      <w:tr w14:paraId="477D1F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13" w:type="dxa"/>
            <w:vMerge w:val="continue"/>
            <w:noWrap w:val="0"/>
            <w:vAlign w:val="center"/>
          </w:tcPr>
          <w:p w14:paraId="0B17DEC1">
            <w:pPr>
              <w:pStyle w:val="41"/>
              <w:rPr>
                <w:rFonts w:hint="default" w:ascii="Times New Roman" w:hAnsi="Times New Roman" w:eastAsia="宋体" w:cs="Times New Roman"/>
                <w:color w:val="auto"/>
                <w:kern w:val="2"/>
                <w:sz w:val="21"/>
                <w:szCs w:val="24"/>
                <w:lang w:eastAsia="zh-CN"/>
              </w:rPr>
            </w:pPr>
          </w:p>
        </w:tc>
        <w:tc>
          <w:tcPr>
            <w:tcW w:w="1035" w:type="dxa"/>
            <w:vMerge w:val="continue"/>
            <w:noWrap w:val="0"/>
            <w:vAlign w:val="center"/>
          </w:tcPr>
          <w:p w14:paraId="663CABE2">
            <w:pPr>
              <w:pStyle w:val="41"/>
              <w:rPr>
                <w:rFonts w:hint="default" w:ascii="Times New Roman" w:hAnsi="Times New Roman" w:eastAsia="宋体" w:cs="Times New Roman"/>
                <w:color w:val="auto"/>
                <w:kern w:val="2"/>
                <w:sz w:val="21"/>
                <w:szCs w:val="24"/>
                <w:lang w:eastAsia="zh-CN"/>
              </w:rPr>
            </w:pPr>
          </w:p>
        </w:tc>
        <w:tc>
          <w:tcPr>
            <w:tcW w:w="1125" w:type="dxa"/>
            <w:noWrap w:val="0"/>
            <w:vAlign w:val="center"/>
          </w:tcPr>
          <w:p w14:paraId="7C953DAD">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一般区域</w:t>
            </w:r>
          </w:p>
        </w:tc>
        <w:tc>
          <w:tcPr>
            <w:tcW w:w="1620" w:type="dxa"/>
            <w:noWrap w:val="0"/>
            <w:vAlign w:val="center"/>
          </w:tcPr>
          <w:p w14:paraId="065D1813">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三</w:t>
            </w:r>
          </w:p>
        </w:tc>
        <w:tc>
          <w:tcPr>
            <w:tcW w:w="1165" w:type="dxa"/>
            <w:noWrap w:val="0"/>
            <w:vAlign w:val="center"/>
          </w:tcPr>
          <w:p w14:paraId="6C549EC7">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三</w:t>
            </w:r>
          </w:p>
        </w:tc>
        <w:tc>
          <w:tcPr>
            <w:tcW w:w="1962" w:type="dxa"/>
            <w:noWrap w:val="0"/>
            <w:vAlign w:val="center"/>
          </w:tcPr>
          <w:p w14:paraId="67419BC5">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三</w:t>
            </w:r>
          </w:p>
        </w:tc>
      </w:tr>
    </w:tbl>
    <w:p w14:paraId="18AEBACA">
      <w:pPr>
        <w:pStyle w:val="3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本项目水文影响工程主要为趸船定位安装，工程垂直投影面积A</w:t>
      </w:r>
      <w:r>
        <w:rPr>
          <w:rFonts w:hint="default" w:ascii="Times New Roman" w:hAnsi="Times New Roman" w:eastAsia="宋体" w:cs="Times New Roman"/>
          <w:color w:val="auto"/>
          <w:vertAlign w:val="subscript"/>
          <w:lang w:val="en-US" w:eastAsia="zh-CN"/>
        </w:rPr>
        <w:t>1</w:t>
      </w:r>
      <w:r>
        <w:rPr>
          <w:rFonts w:hint="default" w:ascii="Times New Roman" w:hAnsi="Times New Roman" w:eastAsia="宋体" w:cs="Times New Roman"/>
          <w:color w:val="auto"/>
          <w:lang w:val="en-US" w:eastAsia="zh-CN"/>
        </w:rPr>
        <w:t>为200m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≤0.05km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。本项目涉及重要生境重要生境东洞庭湖国家自然保护区实验区及东洞庭湖江豚自然保护区</w:t>
      </w:r>
      <w:r>
        <w:rPr>
          <w:rFonts w:hint="eastAsia" w:cs="Times New Roman"/>
          <w:color w:val="auto"/>
          <w:lang w:val="en-US" w:eastAsia="zh-CN"/>
        </w:rPr>
        <w:t>缓冲区</w:t>
      </w:r>
      <w:r>
        <w:rPr>
          <w:rFonts w:hint="default" w:ascii="Times New Roman" w:hAnsi="Times New Roman" w:eastAsia="宋体" w:cs="Times New Roman"/>
          <w:color w:val="auto"/>
          <w:lang w:val="en-US" w:eastAsia="zh-CN"/>
        </w:rPr>
        <w:t>，根据注1评价等级不低于二级。同时根据《水运工程建设项目环境影响评价指南》（JTS-T 105-2021）规定（表2.3-</w:t>
      </w:r>
      <w:r>
        <w:rPr>
          <w:rFonts w:hint="eastAsia" w:cs="Times New Roman"/>
          <w:color w:val="auto"/>
          <w:lang w:val="en-US" w:eastAsia="zh-CN"/>
        </w:rPr>
        <w:t>6</w:t>
      </w:r>
      <w:r>
        <w:rPr>
          <w:rFonts w:hint="default" w:ascii="Times New Roman" w:hAnsi="Times New Roman" w:eastAsia="宋体" w:cs="Times New Roman"/>
          <w:color w:val="auto"/>
          <w:lang w:val="en-US" w:eastAsia="zh-CN"/>
        </w:rPr>
        <w:t>），本项目为码头改造工程，为现有港区，涉及重要生境东洞庭湖国家自然保护区实验区及东洞庭湖江豚自然保护区</w:t>
      </w:r>
      <w:r>
        <w:rPr>
          <w:rFonts w:hint="eastAsia" w:cs="Times New Roman"/>
          <w:color w:val="auto"/>
          <w:lang w:val="en-US" w:eastAsia="zh-CN"/>
        </w:rPr>
        <w:t>缓冲区</w:t>
      </w:r>
      <w:r>
        <w:rPr>
          <w:rFonts w:hint="default" w:ascii="Times New Roman" w:hAnsi="Times New Roman" w:eastAsia="宋体" w:cs="Times New Roman"/>
          <w:color w:val="auto"/>
          <w:lang w:val="en-US" w:eastAsia="zh-CN"/>
        </w:rPr>
        <w:t>，根据注1，评价等级不低于二级。</w:t>
      </w:r>
    </w:p>
    <w:p w14:paraId="3E07C844">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综上所述，本项目地表水评价为二级评价。</w:t>
      </w:r>
    </w:p>
    <w:p w14:paraId="1236B8A7">
      <w:pPr>
        <w:pStyle w:val="38"/>
        <w:ind w:firstLine="482"/>
        <w:outlineLvl w:val="9"/>
        <w:rPr>
          <w:rFonts w:hint="default" w:ascii="Times New Roman" w:hAnsi="Times New Roman" w:eastAsia="宋体" w:cs="Times New Roman"/>
          <w:b/>
          <w:bCs/>
          <w:color w:val="auto"/>
        </w:rPr>
      </w:pPr>
      <w:bookmarkStart w:id="314" w:name="_Toc27420"/>
      <w:r>
        <w:rPr>
          <w:rFonts w:hint="default" w:ascii="Times New Roman" w:hAnsi="Times New Roman" w:eastAsia="宋体" w:cs="Times New Roman"/>
          <w:b/>
          <w:bCs/>
          <w:color w:val="auto"/>
        </w:rPr>
        <w:t>3、地下水环境影响评价等级</w:t>
      </w:r>
      <w:bookmarkEnd w:id="314"/>
    </w:p>
    <w:p w14:paraId="482EDD28">
      <w:pPr>
        <w:pStyle w:val="38"/>
        <w:ind w:firstLine="480"/>
        <w:rPr>
          <w:rFonts w:hint="default" w:ascii="Times New Roman" w:hAnsi="Times New Roman" w:eastAsia="宋体" w:cs="Times New Roman"/>
          <w:color w:val="auto"/>
        </w:rPr>
      </w:pPr>
      <w:bookmarkStart w:id="315" w:name="OLE_LINK73"/>
      <w:bookmarkStart w:id="316" w:name="_Toc269630364"/>
      <w:bookmarkStart w:id="317" w:name="_Toc274984434"/>
      <w:bookmarkStart w:id="318" w:name="_Toc458169526"/>
      <w:bookmarkStart w:id="319" w:name="_Toc302936688"/>
      <w:bookmarkStart w:id="320" w:name="_Toc269630446"/>
      <w:bookmarkStart w:id="321" w:name="_Toc273462037"/>
      <w:bookmarkStart w:id="322" w:name="_Toc270622559"/>
      <w:bookmarkStart w:id="323" w:name="_Toc6240"/>
      <w:r>
        <w:rPr>
          <w:rFonts w:hint="default" w:ascii="Times New Roman" w:hAnsi="Times New Roman" w:eastAsia="宋体" w:cs="Times New Roman"/>
          <w:color w:val="auto"/>
        </w:rPr>
        <w:t>项目属于码头建设项目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环评报告类别为报告书。</w:t>
      </w:r>
      <w:r>
        <w:rPr>
          <w:rFonts w:hint="default" w:ascii="Times New Roman" w:hAnsi="Times New Roman" w:eastAsia="宋体" w:cs="Times New Roman"/>
          <w:color w:val="auto"/>
          <w:lang w:eastAsia="zh-CN"/>
        </w:rPr>
        <w:t>经对照</w:t>
      </w:r>
      <w:r>
        <w:rPr>
          <w:rFonts w:hint="default" w:ascii="Times New Roman" w:hAnsi="Times New Roman" w:eastAsia="宋体" w:cs="Times New Roman"/>
          <w:color w:val="auto"/>
        </w:rPr>
        <w:t>《环境影响评价技术导则 地下水环境》（HJ 610-2016）附录A，地下水环境影响评价项目类别为Ⅳ类</w:t>
      </w:r>
      <w:r>
        <w:rPr>
          <w:rFonts w:hint="default" w:ascii="Times New Roman" w:hAnsi="Times New Roman" w:eastAsia="宋体" w:cs="Times New Roman"/>
          <w:color w:val="auto"/>
          <w:lang w:eastAsia="zh-CN"/>
        </w:rPr>
        <w:t>，根据</w:t>
      </w:r>
      <w:r>
        <w:rPr>
          <w:rFonts w:hint="default" w:ascii="Times New Roman" w:hAnsi="Times New Roman" w:eastAsia="宋体" w:cs="Times New Roman"/>
          <w:color w:val="auto"/>
        </w:rPr>
        <w:t>HJ 610-2016</w:t>
      </w:r>
      <w:r>
        <w:rPr>
          <w:rFonts w:hint="default" w:ascii="Times New Roman" w:hAnsi="Times New Roman" w:eastAsia="宋体" w:cs="Times New Roman"/>
          <w:color w:val="auto"/>
          <w:lang w:eastAsia="zh-CN"/>
        </w:rPr>
        <w:t>中4.1</w:t>
      </w:r>
      <w:r>
        <w:rPr>
          <w:rFonts w:hint="default" w:ascii="Times New Roman" w:hAnsi="Times New Roman" w:eastAsia="宋体" w:cs="Times New Roman"/>
          <w:color w:val="auto"/>
        </w:rPr>
        <w:t>Ⅳ类建设项目不</w:t>
      </w:r>
      <w:r>
        <w:rPr>
          <w:rFonts w:hint="default" w:ascii="Times New Roman" w:hAnsi="Times New Roman" w:eastAsia="宋体" w:cs="Times New Roman"/>
          <w:color w:val="auto"/>
          <w:lang w:eastAsia="zh-CN"/>
        </w:rPr>
        <w:t>开展</w:t>
      </w:r>
      <w:r>
        <w:rPr>
          <w:rFonts w:hint="default" w:ascii="Times New Roman" w:hAnsi="Times New Roman" w:eastAsia="宋体" w:cs="Times New Roman"/>
          <w:color w:val="auto"/>
        </w:rPr>
        <w:t>地下水环境影响评价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故本项目不开展地下水环境影响评价。</w:t>
      </w:r>
    </w:p>
    <w:p w14:paraId="3CA88092">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5 </w:t>
      </w:r>
      <w:r>
        <w:rPr>
          <w:rFonts w:hint="default" w:ascii="Times New Roman" w:hAnsi="Times New Roman" w:eastAsia="宋体" w:cs="Times New Roman"/>
          <w:color w:val="auto"/>
          <w:sz w:val="24"/>
          <w:szCs w:val="24"/>
          <w:lang w:val="en-US" w:eastAsia="zh-CN"/>
        </w:rPr>
        <w:t>地下水环境影响评价项目类别</w:t>
      </w:r>
    </w:p>
    <w:tbl>
      <w:tblPr>
        <w:tblStyle w:val="4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2052"/>
        <w:gridCol w:w="758"/>
        <w:gridCol w:w="1573"/>
        <w:gridCol w:w="1404"/>
      </w:tblGrid>
      <w:tr w14:paraId="779B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3" w:type="dxa"/>
            <w:vMerge w:val="restart"/>
            <w:vAlign w:val="center"/>
          </w:tcPr>
          <w:p w14:paraId="3B4A5C8B">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行业类别</w:t>
            </w:r>
          </w:p>
          <w:p w14:paraId="297CC931">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环评类别</w:t>
            </w:r>
          </w:p>
        </w:tc>
        <w:tc>
          <w:tcPr>
            <w:tcW w:w="2052" w:type="dxa"/>
            <w:vMerge w:val="restart"/>
            <w:vAlign w:val="center"/>
          </w:tcPr>
          <w:p w14:paraId="7FB21B20">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报告书</w:t>
            </w:r>
          </w:p>
        </w:tc>
        <w:tc>
          <w:tcPr>
            <w:tcW w:w="758" w:type="dxa"/>
            <w:vMerge w:val="restart"/>
            <w:vAlign w:val="center"/>
          </w:tcPr>
          <w:p w14:paraId="00D365AB">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报告表</w:t>
            </w:r>
          </w:p>
        </w:tc>
        <w:tc>
          <w:tcPr>
            <w:tcW w:w="2977" w:type="dxa"/>
            <w:gridSpan w:val="2"/>
            <w:vAlign w:val="center"/>
          </w:tcPr>
          <w:p w14:paraId="315E048A">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地下水环境影响评价项目类别</w:t>
            </w:r>
          </w:p>
        </w:tc>
      </w:tr>
      <w:tr w14:paraId="2EF4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3" w:type="dxa"/>
            <w:vMerge w:val="continue"/>
            <w:vAlign w:val="center"/>
          </w:tcPr>
          <w:p w14:paraId="113FD5AE">
            <w:pPr>
              <w:pStyle w:val="41"/>
              <w:rPr>
                <w:rFonts w:hint="default" w:ascii="Times New Roman" w:hAnsi="Times New Roman" w:eastAsia="宋体" w:cs="Times New Roman"/>
                <w:color w:val="auto"/>
                <w:kern w:val="2"/>
                <w:sz w:val="21"/>
                <w:szCs w:val="24"/>
                <w:lang w:eastAsia="zh-CN"/>
              </w:rPr>
            </w:pPr>
          </w:p>
        </w:tc>
        <w:tc>
          <w:tcPr>
            <w:tcW w:w="2052" w:type="dxa"/>
            <w:vMerge w:val="continue"/>
            <w:vAlign w:val="center"/>
          </w:tcPr>
          <w:p w14:paraId="403247B5">
            <w:pPr>
              <w:pStyle w:val="41"/>
              <w:rPr>
                <w:rFonts w:hint="default" w:ascii="Times New Roman" w:hAnsi="Times New Roman" w:eastAsia="宋体" w:cs="Times New Roman"/>
                <w:color w:val="auto"/>
                <w:kern w:val="2"/>
                <w:sz w:val="21"/>
                <w:szCs w:val="24"/>
                <w:lang w:eastAsia="zh-CN"/>
              </w:rPr>
            </w:pPr>
          </w:p>
        </w:tc>
        <w:tc>
          <w:tcPr>
            <w:tcW w:w="758" w:type="dxa"/>
            <w:vMerge w:val="continue"/>
            <w:vAlign w:val="center"/>
          </w:tcPr>
          <w:p w14:paraId="120A1CF0">
            <w:pPr>
              <w:pStyle w:val="41"/>
              <w:rPr>
                <w:rFonts w:hint="default" w:ascii="Times New Roman" w:hAnsi="Times New Roman" w:eastAsia="宋体" w:cs="Times New Roman"/>
                <w:color w:val="auto"/>
                <w:kern w:val="2"/>
                <w:sz w:val="21"/>
                <w:szCs w:val="24"/>
                <w:lang w:eastAsia="zh-CN"/>
              </w:rPr>
            </w:pPr>
          </w:p>
        </w:tc>
        <w:tc>
          <w:tcPr>
            <w:tcW w:w="1573" w:type="dxa"/>
            <w:vAlign w:val="center"/>
          </w:tcPr>
          <w:p w14:paraId="0BB3DEEC">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报告书</w:t>
            </w:r>
          </w:p>
        </w:tc>
        <w:tc>
          <w:tcPr>
            <w:tcW w:w="1404" w:type="dxa"/>
            <w:vAlign w:val="center"/>
          </w:tcPr>
          <w:p w14:paraId="6A53AF7E">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报告表</w:t>
            </w:r>
          </w:p>
        </w:tc>
      </w:tr>
      <w:tr w14:paraId="4D75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3" w:type="dxa"/>
            <w:vAlign w:val="center"/>
          </w:tcPr>
          <w:p w14:paraId="77C35BCE">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130、干散货（含煤炭、矿石）、件杂、多用途、通用码头</w:t>
            </w:r>
          </w:p>
        </w:tc>
        <w:tc>
          <w:tcPr>
            <w:tcW w:w="2052" w:type="dxa"/>
            <w:vAlign w:val="center"/>
          </w:tcPr>
          <w:p w14:paraId="08AD50BC">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单个泊位1000吨级及以上的内河港口；单个泊位1万吨级及以上的沿海港口；涉及环境敏感区的</w:t>
            </w:r>
          </w:p>
        </w:tc>
        <w:tc>
          <w:tcPr>
            <w:tcW w:w="758" w:type="dxa"/>
            <w:vAlign w:val="center"/>
          </w:tcPr>
          <w:p w14:paraId="096F7B29">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其他</w:t>
            </w:r>
          </w:p>
        </w:tc>
        <w:tc>
          <w:tcPr>
            <w:tcW w:w="1573" w:type="dxa"/>
            <w:vAlign w:val="center"/>
          </w:tcPr>
          <w:p w14:paraId="50F0C796">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Ⅳ类</w:t>
            </w:r>
          </w:p>
        </w:tc>
        <w:tc>
          <w:tcPr>
            <w:tcW w:w="1404" w:type="dxa"/>
            <w:vAlign w:val="center"/>
          </w:tcPr>
          <w:p w14:paraId="58439B7C">
            <w:pPr>
              <w:pStyle w:val="41"/>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kern w:val="2"/>
                <w:sz w:val="21"/>
                <w:szCs w:val="24"/>
                <w:lang w:eastAsia="zh-CN"/>
              </w:rPr>
              <w:t>Ⅳ类</w:t>
            </w:r>
          </w:p>
        </w:tc>
      </w:tr>
    </w:tbl>
    <w:p w14:paraId="5A98388C">
      <w:pPr>
        <w:pStyle w:val="38"/>
        <w:keepNext w:val="0"/>
        <w:keepLines w:val="0"/>
        <w:pageBreakBefore w:val="0"/>
        <w:widowControl w:val="0"/>
        <w:kinsoku/>
        <w:wordWrap/>
        <w:overflowPunct/>
        <w:topLinePunct w:val="0"/>
        <w:autoSpaceDE/>
        <w:autoSpaceDN/>
        <w:bidi w:val="0"/>
        <w:adjustRightInd/>
        <w:snapToGrid/>
        <w:spacing w:before="157" w:beforeLines="50"/>
        <w:ind w:firstLine="482"/>
        <w:textAlignment w:val="auto"/>
        <w:outlineLvl w:val="9"/>
        <w:rPr>
          <w:rFonts w:hint="default" w:ascii="Times New Roman" w:hAnsi="Times New Roman" w:eastAsia="宋体" w:cs="Times New Roman"/>
          <w:b/>
          <w:bCs/>
          <w:color w:val="auto"/>
        </w:rPr>
      </w:pPr>
      <w:bookmarkStart w:id="324" w:name="_Toc20731"/>
      <w:r>
        <w:rPr>
          <w:rFonts w:hint="default" w:ascii="Times New Roman" w:hAnsi="Times New Roman" w:eastAsia="宋体" w:cs="Times New Roman"/>
          <w:b/>
          <w:bCs/>
          <w:color w:val="auto"/>
        </w:rPr>
        <w:t>4</w:t>
      </w:r>
      <w:bookmarkEnd w:id="315"/>
      <w:r>
        <w:rPr>
          <w:rFonts w:hint="default" w:ascii="Times New Roman" w:hAnsi="Times New Roman" w:eastAsia="宋体" w:cs="Times New Roman"/>
          <w:b/>
          <w:bCs/>
          <w:color w:val="auto"/>
        </w:rPr>
        <w:t>、声环境评价</w:t>
      </w:r>
      <w:bookmarkEnd w:id="316"/>
      <w:bookmarkEnd w:id="317"/>
      <w:bookmarkEnd w:id="318"/>
      <w:bookmarkEnd w:id="319"/>
      <w:bookmarkEnd w:id="320"/>
      <w:bookmarkEnd w:id="321"/>
      <w:bookmarkEnd w:id="322"/>
      <w:r>
        <w:rPr>
          <w:rFonts w:hint="default" w:ascii="Times New Roman" w:hAnsi="Times New Roman" w:eastAsia="宋体" w:cs="Times New Roman"/>
          <w:b/>
          <w:bCs/>
          <w:color w:val="auto"/>
        </w:rPr>
        <w:t>等级</w:t>
      </w:r>
      <w:bookmarkEnd w:id="323"/>
      <w:bookmarkEnd w:id="324"/>
    </w:p>
    <w:p w14:paraId="3950BA4E">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本项目为码头建设项目</w:t>
      </w:r>
      <w:r>
        <w:rPr>
          <w:rFonts w:hint="default" w:ascii="Times New Roman" w:hAnsi="Times New Roman" w:eastAsia="宋体" w:cs="Times New Roman"/>
          <w:color w:val="auto"/>
          <w:lang w:eastAsia="zh-CN"/>
        </w:rPr>
        <w:t>，位于湘江主航道右岸，根据</w:t>
      </w:r>
      <w:r>
        <w:rPr>
          <w:rFonts w:hint="default" w:ascii="Times New Roman" w:hAnsi="Times New Roman" w:eastAsia="宋体" w:cs="Times New Roman"/>
          <w:color w:val="auto"/>
        </w:rPr>
        <w:t>《声环境质量标准》（GB3096-2008）</w:t>
      </w:r>
      <w:r>
        <w:rPr>
          <w:rFonts w:hint="default" w:ascii="Times New Roman" w:hAnsi="Times New Roman" w:eastAsia="宋体" w:cs="Times New Roman"/>
          <w:color w:val="auto"/>
          <w:lang w:eastAsia="zh-CN"/>
        </w:rPr>
        <w:t>，项目东、南、西、北侧为4类声环境功能区</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本项目为现有渔政码头提质改造</w:t>
      </w:r>
      <w:r>
        <w:rPr>
          <w:rFonts w:hint="default" w:ascii="Times New Roman" w:hAnsi="Times New Roman" w:eastAsia="宋体" w:cs="Times New Roman"/>
          <w:color w:val="auto"/>
          <w:lang w:eastAsia="zh-CN"/>
        </w:rPr>
        <w:t>，建设前后</w:t>
      </w:r>
      <w:r>
        <w:rPr>
          <w:rFonts w:hint="default" w:ascii="Times New Roman" w:hAnsi="Times New Roman" w:eastAsia="宋体" w:cs="Times New Roman"/>
          <w:color w:val="auto"/>
        </w:rPr>
        <w:t>噪声增量较小</w:t>
      </w:r>
      <w:r>
        <w:rPr>
          <w:rFonts w:hint="eastAsia" w:cs="Times New Roman"/>
          <w:color w:val="auto"/>
          <w:lang w:eastAsia="zh-CN"/>
        </w:rPr>
        <w:t>（3dB(A)以下）</w:t>
      </w:r>
      <w:r>
        <w:rPr>
          <w:rFonts w:hint="default" w:ascii="Times New Roman" w:hAnsi="Times New Roman" w:eastAsia="宋体" w:cs="Times New Roman"/>
          <w:color w:val="auto"/>
        </w:rPr>
        <w:t>，根据《环境影响评价技术导则·声环境》（HJ2.4-20</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）中</w:t>
      </w:r>
      <w:r>
        <w:rPr>
          <w:rFonts w:hint="default" w:ascii="Times New Roman" w:hAnsi="Times New Roman" w:eastAsia="宋体" w:cs="Times New Roman"/>
          <w:color w:val="auto"/>
          <w:lang w:eastAsia="zh-CN"/>
        </w:rPr>
        <w:t>5.2.4：</w:t>
      </w:r>
    </w:p>
    <w:p w14:paraId="00B7B84D">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（1）评价范围内有适用于GB3096规定的0类声环境功能区域，或建设项目建设前后评价范围内声环境保护目标噪声级增量达5dB(A)以上（不含5dB(A)），或受影响人口数量显著增加时，按一级评价。</w:t>
      </w:r>
    </w:p>
    <w:p w14:paraId="12A58207">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（2）建设项目所处的声环境功能区为GB3096规定的1类、2类地区，或建设项目建设前后评价范围内声环境保护目标噪声级增量达3dB(A)～5dB(A)，或受噪声影响人口数量增加较多时，按二级评价。</w:t>
      </w:r>
    </w:p>
    <w:p w14:paraId="12A256F3">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（3）建设项目所处的声环境功能区为GB3096规定的3类、4类地区，或建设项目建设前后评价范围内声环境保护目标噪声级增量在3dB(A)以下（不含3dB(A)），且受影响人口数量变化不大时，按三级评价。</w:t>
      </w:r>
    </w:p>
    <w:p w14:paraId="5F6E8299">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（4）在确定评价等级时，如果建设项目符合两个等级的划分原则，按较高等级评价。</w:t>
      </w:r>
    </w:p>
    <w:p w14:paraId="5DF0DB6D">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由上述可知，本次评价对声环境影响评价定为三级。</w:t>
      </w:r>
    </w:p>
    <w:p w14:paraId="07DB5F99">
      <w:pPr>
        <w:pStyle w:val="38"/>
        <w:ind w:firstLine="482"/>
        <w:outlineLvl w:val="9"/>
        <w:rPr>
          <w:rFonts w:hint="default" w:ascii="Times New Roman" w:hAnsi="Times New Roman" w:eastAsia="宋体" w:cs="Times New Roman"/>
          <w:b/>
          <w:bCs/>
          <w:color w:val="auto"/>
        </w:rPr>
      </w:pPr>
      <w:bookmarkStart w:id="325" w:name="_Toc14182"/>
      <w:r>
        <w:rPr>
          <w:rFonts w:hint="default" w:ascii="Times New Roman" w:hAnsi="Times New Roman" w:eastAsia="宋体" w:cs="Times New Roman"/>
          <w:b/>
          <w:bCs/>
          <w:color w:val="auto"/>
        </w:rPr>
        <w:t>5、土壤环境影响评价等级</w:t>
      </w:r>
      <w:bookmarkEnd w:id="325"/>
    </w:p>
    <w:p w14:paraId="56F44216">
      <w:pPr>
        <w:pStyle w:val="38"/>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为</w:t>
      </w:r>
      <w:r>
        <w:rPr>
          <w:rFonts w:hint="default" w:ascii="Times New Roman" w:hAnsi="Times New Roman" w:eastAsia="宋体" w:cs="Times New Roman"/>
          <w:color w:val="auto"/>
        </w:rPr>
        <w:t>码头建设项目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属于《环境影响评价技术导则 土壤环境（试行）》（HJ964-2018）附录A</w:t>
      </w:r>
      <w:r>
        <w:rPr>
          <w:rFonts w:hint="eastAsia" w:cs="Times New Roman"/>
          <w:color w:val="auto"/>
          <w:lang w:eastAsia="zh-CN"/>
        </w:rPr>
        <w:t>“交通运输仓储邮政业”</w:t>
      </w:r>
      <w:r>
        <w:rPr>
          <w:rFonts w:hint="default" w:ascii="Times New Roman" w:hAnsi="Times New Roman" w:eastAsia="宋体" w:cs="Times New Roman"/>
          <w:color w:val="auto"/>
        </w:rPr>
        <w:t>中</w:t>
      </w:r>
      <w:r>
        <w:rPr>
          <w:rFonts w:hint="eastAsia" w:cs="Times New Roman"/>
          <w:color w:val="auto"/>
          <w:lang w:eastAsia="zh-CN"/>
        </w:rPr>
        <w:t>“</w:t>
      </w:r>
      <w:r>
        <w:rPr>
          <w:rFonts w:hint="eastAsia" w:cs="Times New Roman"/>
          <w:color w:val="auto"/>
          <w:lang w:val="en-US" w:eastAsia="zh-CN"/>
        </w:rPr>
        <w:t>其他</w:t>
      </w:r>
      <w:r>
        <w:rPr>
          <w:rFonts w:hint="eastAsia" w:cs="Times New Roman"/>
          <w:color w:val="auto"/>
          <w:lang w:eastAsia="zh-CN"/>
        </w:rPr>
        <w:t>”</w:t>
      </w:r>
      <w:r>
        <w:rPr>
          <w:rFonts w:hint="eastAsia" w:cs="Times New Roman"/>
          <w:color w:val="auto"/>
          <w:lang w:val="en-US" w:eastAsia="zh-CN"/>
        </w:rPr>
        <w:t>类</w:t>
      </w:r>
      <w:r>
        <w:rPr>
          <w:rFonts w:hint="default" w:ascii="Times New Roman" w:hAnsi="Times New Roman" w:eastAsia="宋体" w:cs="Times New Roman"/>
          <w:color w:val="auto"/>
          <w:lang w:eastAsia="zh-CN"/>
        </w:rPr>
        <w:t>，为Ⅳ类建设项目</w:t>
      </w:r>
      <w:r>
        <w:rPr>
          <w:rFonts w:hint="default" w:ascii="Times New Roman" w:hAnsi="Times New Roman" w:eastAsia="宋体" w:cs="Times New Roman"/>
          <w:color w:val="auto"/>
        </w:rPr>
        <w:t>，根据HJ964-2018</w:t>
      </w:r>
      <w:r>
        <w:rPr>
          <w:rFonts w:hint="default" w:ascii="Times New Roman" w:hAnsi="Times New Roman" w:eastAsia="宋体" w:cs="Times New Roman"/>
          <w:color w:val="auto"/>
          <w:lang w:eastAsia="zh-CN"/>
        </w:rPr>
        <w:t>中4.2.2</w:t>
      </w:r>
      <w:r>
        <w:rPr>
          <w:rFonts w:hint="default" w:ascii="Times New Roman" w:hAnsi="Times New Roman" w:eastAsia="宋体" w:cs="Times New Roman"/>
          <w:color w:val="auto"/>
        </w:rPr>
        <w:t>可知，</w:t>
      </w:r>
      <w:r>
        <w:rPr>
          <w:rFonts w:hint="default" w:ascii="Times New Roman" w:hAnsi="Times New Roman" w:eastAsia="宋体" w:cs="Times New Roman"/>
          <w:color w:val="auto"/>
          <w:lang w:eastAsia="zh-CN"/>
        </w:rPr>
        <w:t>Ⅳ类建设项目可不开展土壤环境影响评价，故</w:t>
      </w:r>
      <w:r>
        <w:rPr>
          <w:rFonts w:hint="default" w:ascii="Times New Roman" w:hAnsi="Times New Roman" w:eastAsia="宋体" w:cs="Times New Roman"/>
          <w:color w:val="auto"/>
        </w:rPr>
        <w:t>本项目不开展土壤环境影响评价。</w:t>
      </w:r>
    </w:p>
    <w:p w14:paraId="01DD7BDB">
      <w:pPr>
        <w:pStyle w:val="38"/>
        <w:ind w:firstLine="482"/>
        <w:outlineLvl w:val="9"/>
        <w:rPr>
          <w:rFonts w:hint="default" w:ascii="Times New Roman" w:hAnsi="Times New Roman" w:eastAsia="宋体" w:cs="Times New Roman"/>
          <w:b/>
          <w:bCs/>
          <w:color w:val="auto"/>
        </w:rPr>
      </w:pPr>
      <w:bookmarkStart w:id="326" w:name="_Toc7488"/>
      <w:r>
        <w:rPr>
          <w:rFonts w:hint="default"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、生态环境影响评价等级</w:t>
      </w:r>
      <w:bookmarkEnd w:id="326"/>
    </w:p>
    <w:p w14:paraId="0577DBB3">
      <w:pPr>
        <w:pStyle w:val="38"/>
        <w:ind w:firstLine="48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rPr>
        <w:t>本项目</w:t>
      </w:r>
      <w:r>
        <w:rPr>
          <w:rFonts w:hint="eastAsia" w:cs="Times New Roman"/>
          <w:color w:val="auto"/>
          <w:lang w:val="en-US" w:eastAsia="zh-CN"/>
        </w:rPr>
        <w:t>为码头项目</w:t>
      </w:r>
      <w:r>
        <w:rPr>
          <w:rFonts w:hint="default" w:ascii="Times New Roman" w:hAnsi="Times New Roman" w:eastAsia="宋体" w:cs="Times New Roman"/>
          <w:color w:val="auto"/>
          <w:szCs w:val="24"/>
          <w:lang w:eastAsia="zh-CN"/>
        </w:rPr>
        <w:t>，不涉及风景名胜区，</w:t>
      </w:r>
      <w:r>
        <w:rPr>
          <w:rFonts w:hint="default" w:ascii="Times New Roman" w:hAnsi="Times New Roman" w:eastAsia="宋体" w:cs="Times New Roman"/>
          <w:color w:val="auto"/>
          <w:szCs w:val="24"/>
          <w:lang w:val="en-US" w:eastAsia="zh-CN"/>
        </w:rPr>
        <w:t>涉及自然保护区</w:t>
      </w:r>
      <w:r>
        <w:rPr>
          <w:rFonts w:hint="eastAsia" w:cs="Times New Roman"/>
          <w:color w:val="auto"/>
          <w:szCs w:val="24"/>
          <w:lang w:val="en-US" w:eastAsia="zh-CN"/>
        </w:rPr>
        <w:t>及重要生境</w:t>
      </w:r>
      <w:r>
        <w:rPr>
          <w:rFonts w:hint="default" w:ascii="Times New Roman" w:hAnsi="Times New Roman" w:eastAsia="宋体" w:cs="Times New Roman"/>
          <w:color w:val="auto"/>
          <w:szCs w:val="24"/>
          <w:lang w:eastAsia="zh-CN"/>
        </w:rPr>
        <w:t>，为特殊生态敏感区；工程占地（水域）范围远小于2</w:t>
      </w:r>
      <w:r>
        <w:rPr>
          <w:rFonts w:hint="default" w:ascii="Times New Roman" w:hAnsi="Times New Roman" w:eastAsia="宋体" w:cs="Times New Roman"/>
          <w:color w:val="auto"/>
          <w:szCs w:val="24"/>
          <w:lang w:val="en-US" w:eastAsia="zh-CN"/>
        </w:rPr>
        <w:t>0</w:t>
      </w:r>
      <w:r>
        <w:rPr>
          <w:rFonts w:hint="default" w:ascii="Times New Roman" w:hAnsi="Times New Roman" w:eastAsia="宋体" w:cs="Times New Roman"/>
          <w:color w:val="auto"/>
          <w:szCs w:val="24"/>
          <w:lang w:eastAsia="zh-CN"/>
        </w:rPr>
        <w:t>km</w:t>
      </w:r>
      <w:r>
        <w:rPr>
          <w:rFonts w:hint="default" w:ascii="Times New Roman" w:hAnsi="Times New Roman" w:eastAsia="宋体" w:cs="Times New Roman"/>
          <w:color w:val="auto"/>
          <w:szCs w:val="24"/>
          <w:vertAlign w:val="superscript"/>
          <w:lang w:eastAsia="zh-CN"/>
        </w:rPr>
        <w:t>2</w:t>
      </w:r>
      <w:r>
        <w:rPr>
          <w:rFonts w:hint="default" w:ascii="Times New Roman" w:hAnsi="Times New Roman" w:eastAsia="宋体" w:cs="Times New Roman"/>
          <w:color w:val="auto"/>
          <w:lang w:val="en-US"/>
        </w:rPr>
        <w:t>。根据《环境影响评价技术导则 生态影响》（HJ19-</w:t>
      </w:r>
      <w:r>
        <w:rPr>
          <w:rFonts w:hint="default" w:ascii="Times New Roman" w:hAnsi="Times New Roman" w:eastAsia="宋体" w:cs="Times New Roman"/>
          <w:color w:val="auto"/>
          <w:lang w:val="en-US" w:eastAsia="zh-CN"/>
        </w:rPr>
        <w:t>2022</w:t>
      </w:r>
      <w:r>
        <w:rPr>
          <w:rFonts w:hint="default" w:ascii="Times New Roman" w:hAnsi="Times New Roman" w:eastAsia="宋体" w:cs="Times New Roman"/>
          <w:color w:val="auto"/>
          <w:lang w:val="en-US"/>
        </w:rPr>
        <w:t>）</w:t>
      </w:r>
      <w:r>
        <w:rPr>
          <w:rFonts w:hint="default" w:ascii="Times New Roman" w:hAnsi="Times New Roman" w:eastAsia="宋体" w:cs="Times New Roman"/>
          <w:color w:val="auto"/>
          <w:lang w:val="en-US" w:eastAsia="zh-CN"/>
        </w:rPr>
        <w:t>中评价工作等级的划分原则，本项目涉及自然保护区，属于水文要素影响型且地表水评价等级为二级，生态评价等级分布为一级和不低于二级；同时根据《水运工程建设项目环境影响评价指南》（JTS-T 105-2021）规定影响区域涉及到自然保护地或生态保护红线的建设项目生态影响评价等级均应为一级。故本项</w:t>
      </w:r>
      <w:r>
        <w:rPr>
          <w:rFonts w:hint="default" w:ascii="Times New Roman" w:hAnsi="Times New Roman" w:eastAsia="宋体" w:cs="Times New Roman"/>
          <w:color w:val="auto"/>
          <w:lang w:val="en-US"/>
        </w:rPr>
        <w:t>目生态环境评价工作等级</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lang w:val="en-US"/>
        </w:rPr>
        <w:t>级。</w:t>
      </w:r>
    </w:p>
    <w:p w14:paraId="3241B09D">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项目生态环境影响评价工作等级划分表（HJ19-2022）</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3858"/>
        <w:gridCol w:w="3233"/>
        <w:gridCol w:w="749"/>
      </w:tblGrid>
      <w:tr w14:paraId="3BC9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8" w:type="dxa"/>
            <w:gridSpan w:val="2"/>
            <w:shd w:val="clear" w:color="auto" w:fill="auto"/>
            <w:noWrap w:val="0"/>
            <w:vAlign w:val="center"/>
          </w:tcPr>
          <w:p w14:paraId="49ED3EB6">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划分原则</w:t>
            </w:r>
          </w:p>
        </w:tc>
        <w:tc>
          <w:tcPr>
            <w:tcW w:w="3233" w:type="dxa"/>
            <w:shd w:val="clear" w:color="auto" w:fill="auto"/>
            <w:noWrap w:val="0"/>
            <w:vAlign w:val="center"/>
          </w:tcPr>
          <w:p w14:paraId="35DF7A2C">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本项目情况</w:t>
            </w:r>
          </w:p>
        </w:tc>
        <w:tc>
          <w:tcPr>
            <w:tcW w:w="749" w:type="dxa"/>
            <w:shd w:val="clear" w:color="auto" w:fill="auto"/>
            <w:noWrap w:val="0"/>
            <w:vAlign w:val="center"/>
          </w:tcPr>
          <w:p w14:paraId="3675C318">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评价等级</w:t>
            </w:r>
          </w:p>
        </w:tc>
      </w:tr>
      <w:tr w14:paraId="272A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noWrap w:val="0"/>
            <w:vAlign w:val="center"/>
          </w:tcPr>
          <w:p w14:paraId="1362BF9B">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eastAsia="zh-CN"/>
              </w:rPr>
              <w:t>一级</w:t>
            </w:r>
          </w:p>
        </w:tc>
        <w:tc>
          <w:tcPr>
            <w:tcW w:w="3858" w:type="dxa"/>
            <w:noWrap w:val="0"/>
            <w:vAlign w:val="center"/>
          </w:tcPr>
          <w:p w14:paraId="4E222882">
            <w:pPr>
              <w:pStyle w:val="4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rPr>
              <w:t>涉及国家公园、自然保护区、世界自然遗产、重要生境</w:t>
            </w:r>
          </w:p>
        </w:tc>
        <w:tc>
          <w:tcPr>
            <w:tcW w:w="3233" w:type="dxa"/>
            <w:noWrap w:val="0"/>
            <w:vAlign w:val="center"/>
          </w:tcPr>
          <w:p w14:paraId="0D118998">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本项目</w:t>
            </w:r>
            <w:r>
              <w:rPr>
                <w:rFonts w:hint="default" w:ascii="Times New Roman" w:hAnsi="Times New Roman" w:eastAsia="宋体" w:cs="Times New Roman"/>
                <w:color w:val="auto"/>
                <w:kern w:val="2"/>
                <w:sz w:val="21"/>
                <w:szCs w:val="21"/>
                <w:lang w:val="en-US" w:eastAsia="zh-CN"/>
              </w:rPr>
              <w:t>东洞庭湖国家级自然保护区</w:t>
            </w:r>
            <w:r>
              <w:rPr>
                <w:rFonts w:hint="eastAsia" w:cs="Times New Roman"/>
                <w:color w:val="auto"/>
                <w:kern w:val="2"/>
                <w:sz w:val="21"/>
                <w:szCs w:val="21"/>
                <w:lang w:val="en-US" w:eastAsia="zh-CN"/>
              </w:rPr>
              <w:t>实验区</w:t>
            </w:r>
            <w:r>
              <w:rPr>
                <w:rFonts w:hint="default" w:ascii="Times New Roman" w:hAnsi="Times New Roman" w:eastAsia="宋体" w:cs="Times New Roman"/>
                <w:color w:val="auto"/>
                <w:kern w:val="2"/>
                <w:sz w:val="21"/>
                <w:szCs w:val="21"/>
                <w:lang w:val="en-US" w:eastAsia="zh-CN"/>
              </w:rPr>
              <w:t>、岳阳市东洞庭湖江豚自然保护区</w:t>
            </w:r>
            <w:r>
              <w:rPr>
                <w:rFonts w:hint="eastAsia" w:cs="Times New Roman"/>
                <w:color w:val="auto"/>
                <w:kern w:val="2"/>
                <w:sz w:val="21"/>
                <w:szCs w:val="21"/>
                <w:lang w:val="en-US" w:eastAsia="zh-CN"/>
              </w:rPr>
              <w:t>缓冲区</w:t>
            </w:r>
          </w:p>
        </w:tc>
        <w:tc>
          <w:tcPr>
            <w:tcW w:w="749" w:type="dxa"/>
            <w:noWrap w:val="0"/>
            <w:vAlign w:val="center"/>
          </w:tcPr>
          <w:p w14:paraId="4CD2C48B">
            <w:pPr>
              <w:pStyle w:val="41"/>
              <w:jc w:val="both"/>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一级</w:t>
            </w:r>
          </w:p>
        </w:tc>
      </w:tr>
      <w:tr w14:paraId="7DBB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restart"/>
            <w:noWrap w:val="0"/>
            <w:vAlign w:val="center"/>
          </w:tcPr>
          <w:p w14:paraId="7658E718">
            <w:pPr>
              <w:pStyle w:val="4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二级</w:t>
            </w:r>
          </w:p>
        </w:tc>
        <w:tc>
          <w:tcPr>
            <w:tcW w:w="3858" w:type="dxa"/>
            <w:noWrap w:val="0"/>
            <w:vAlign w:val="center"/>
          </w:tcPr>
          <w:p w14:paraId="5DF1DFA5">
            <w:pPr>
              <w:pStyle w:val="41"/>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涉及生态保护红线</w:t>
            </w:r>
            <w:r>
              <w:rPr>
                <w:rFonts w:hint="eastAsia"/>
                <w:color w:val="auto"/>
                <w:sz w:val="21"/>
              </w:rPr>
              <w:t>，评价等级不低于二级</w:t>
            </w:r>
          </w:p>
        </w:tc>
        <w:tc>
          <w:tcPr>
            <w:tcW w:w="3233" w:type="dxa"/>
            <w:noWrap w:val="0"/>
            <w:vAlign w:val="center"/>
          </w:tcPr>
          <w:p w14:paraId="722161B6">
            <w:pPr>
              <w:pStyle w:val="41"/>
              <w:rPr>
                <w:rFonts w:hint="default" w:cs="Times New Roman"/>
                <w:color w:val="auto"/>
                <w:kern w:val="2"/>
                <w:sz w:val="21"/>
                <w:szCs w:val="21"/>
                <w:lang w:val="en-US" w:eastAsia="zh-CN"/>
              </w:rPr>
            </w:pPr>
            <w:r>
              <w:rPr>
                <w:rFonts w:hint="eastAsia" w:cs="Times New Roman"/>
                <w:color w:val="auto"/>
                <w:kern w:val="2"/>
                <w:sz w:val="21"/>
                <w:szCs w:val="21"/>
                <w:lang w:val="en-US" w:eastAsia="zh-CN"/>
              </w:rPr>
              <w:t>/</w:t>
            </w:r>
          </w:p>
        </w:tc>
        <w:tc>
          <w:tcPr>
            <w:tcW w:w="749" w:type="dxa"/>
            <w:vMerge w:val="restart"/>
            <w:noWrap w:val="0"/>
            <w:vAlign w:val="center"/>
          </w:tcPr>
          <w:p w14:paraId="12697174">
            <w:pPr>
              <w:pStyle w:val="41"/>
              <w:jc w:val="both"/>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二级</w:t>
            </w:r>
          </w:p>
        </w:tc>
      </w:tr>
      <w:tr w14:paraId="20CA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noWrap w:val="0"/>
            <w:vAlign w:val="center"/>
          </w:tcPr>
          <w:p w14:paraId="544A66FE">
            <w:pPr>
              <w:pStyle w:val="41"/>
              <w:rPr>
                <w:rFonts w:hint="default" w:ascii="Times New Roman" w:hAnsi="Times New Roman" w:eastAsia="宋体" w:cs="Times New Roman"/>
                <w:color w:val="auto"/>
                <w:sz w:val="21"/>
                <w:szCs w:val="21"/>
                <w:lang w:eastAsia="zh-CN"/>
              </w:rPr>
            </w:pPr>
          </w:p>
        </w:tc>
        <w:tc>
          <w:tcPr>
            <w:tcW w:w="3858" w:type="dxa"/>
            <w:noWrap w:val="0"/>
            <w:vAlign w:val="center"/>
          </w:tcPr>
          <w:p w14:paraId="7012964D">
            <w:pPr>
              <w:pStyle w:val="41"/>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根据HJ2.3判断属于水文要素影响型且地表水评价等级不低于二级</w:t>
            </w:r>
          </w:p>
        </w:tc>
        <w:tc>
          <w:tcPr>
            <w:tcW w:w="3233" w:type="dxa"/>
            <w:noWrap w:val="0"/>
            <w:vAlign w:val="center"/>
          </w:tcPr>
          <w:p w14:paraId="26FE2038">
            <w:pPr>
              <w:pStyle w:val="41"/>
              <w:rPr>
                <w:rFonts w:hint="eastAsia"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东洞庭湖国家级自然保护区、岳阳市东洞庭湖江豚自然保护区</w:t>
            </w:r>
          </w:p>
        </w:tc>
        <w:tc>
          <w:tcPr>
            <w:tcW w:w="749" w:type="dxa"/>
            <w:vMerge w:val="continue"/>
            <w:noWrap w:val="0"/>
            <w:vAlign w:val="center"/>
          </w:tcPr>
          <w:p w14:paraId="21F6217E">
            <w:pPr>
              <w:pStyle w:val="41"/>
              <w:jc w:val="both"/>
              <w:rPr>
                <w:rFonts w:hint="default" w:ascii="Times New Roman" w:hAnsi="Times New Roman" w:eastAsia="宋体" w:cs="Times New Roman"/>
                <w:color w:val="auto"/>
                <w:kern w:val="2"/>
                <w:sz w:val="21"/>
                <w:szCs w:val="21"/>
                <w:lang w:val="en-US" w:eastAsia="zh-CN"/>
              </w:rPr>
            </w:pPr>
          </w:p>
        </w:tc>
      </w:tr>
      <w:tr w14:paraId="77A7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noWrap w:val="0"/>
            <w:vAlign w:val="center"/>
          </w:tcPr>
          <w:p w14:paraId="4A9C635D">
            <w:pPr>
              <w:pStyle w:val="41"/>
              <w:rPr>
                <w:rFonts w:hint="default" w:ascii="Times New Roman" w:hAnsi="Times New Roman" w:eastAsia="宋体" w:cs="Times New Roman"/>
                <w:color w:val="auto"/>
                <w:sz w:val="21"/>
                <w:szCs w:val="21"/>
                <w:lang w:eastAsia="zh-CN"/>
              </w:rPr>
            </w:pPr>
          </w:p>
        </w:tc>
        <w:tc>
          <w:tcPr>
            <w:tcW w:w="3858" w:type="dxa"/>
            <w:noWrap w:val="0"/>
            <w:vAlign w:val="center"/>
          </w:tcPr>
          <w:p w14:paraId="2318F81A">
            <w:pPr>
              <w:pStyle w:val="41"/>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当工程占地规模大于20km</w:t>
            </w:r>
            <w:r>
              <w:rPr>
                <w:rFonts w:hint="default" w:ascii="Times New Roman" w:hAnsi="Times New Roman" w:eastAsia="宋体" w:cs="Times New Roman"/>
                <w:color w:val="auto"/>
                <w:kern w:val="2"/>
                <w:sz w:val="21"/>
                <w:szCs w:val="21"/>
                <w:vertAlign w:val="superscript"/>
                <w:lang w:val="en-US" w:eastAsia="zh-CN"/>
              </w:rPr>
              <w:t>2</w:t>
            </w:r>
            <w:r>
              <w:rPr>
                <w:rFonts w:hint="default" w:ascii="Times New Roman" w:hAnsi="Times New Roman" w:eastAsia="宋体" w:cs="Times New Roman"/>
                <w:color w:val="auto"/>
                <w:kern w:val="2"/>
                <w:sz w:val="21"/>
                <w:szCs w:val="21"/>
                <w:lang w:val="en-US" w:eastAsia="zh-CN"/>
              </w:rPr>
              <w:t>（包括永久和临时占用陆域和水域），改扩建项目的占地范围以新增占地（包括陆域和水域）确定。</w:t>
            </w:r>
          </w:p>
        </w:tc>
        <w:tc>
          <w:tcPr>
            <w:tcW w:w="3233" w:type="dxa"/>
            <w:noWrap w:val="0"/>
            <w:vAlign w:val="center"/>
          </w:tcPr>
          <w:p w14:paraId="20F2BFFA">
            <w:pPr>
              <w:pStyle w:val="41"/>
              <w:rPr>
                <w:rFonts w:hint="default" w:cs="Times New Roman"/>
                <w:color w:val="auto"/>
                <w:kern w:val="2"/>
                <w:sz w:val="21"/>
                <w:szCs w:val="21"/>
                <w:lang w:val="en-US" w:eastAsia="zh-CN"/>
              </w:rPr>
            </w:pPr>
            <w:r>
              <w:rPr>
                <w:rFonts w:hint="eastAsia" w:cs="Times New Roman"/>
                <w:color w:val="auto"/>
                <w:kern w:val="2"/>
                <w:sz w:val="21"/>
                <w:szCs w:val="21"/>
                <w:lang w:val="en-US" w:eastAsia="zh-CN"/>
              </w:rPr>
              <w:t>/</w:t>
            </w:r>
          </w:p>
        </w:tc>
        <w:tc>
          <w:tcPr>
            <w:tcW w:w="749" w:type="dxa"/>
            <w:vMerge w:val="continue"/>
            <w:noWrap w:val="0"/>
            <w:vAlign w:val="center"/>
          </w:tcPr>
          <w:p w14:paraId="6039F467">
            <w:pPr>
              <w:pStyle w:val="41"/>
              <w:jc w:val="both"/>
              <w:rPr>
                <w:rFonts w:hint="default" w:ascii="Times New Roman" w:hAnsi="Times New Roman" w:eastAsia="宋体" w:cs="Times New Roman"/>
                <w:color w:val="auto"/>
                <w:kern w:val="2"/>
                <w:sz w:val="21"/>
                <w:szCs w:val="21"/>
                <w:lang w:val="en-US" w:eastAsia="zh-CN"/>
              </w:rPr>
            </w:pPr>
          </w:p>
        </w:tc>
      </w:tr>
      <w:tr w14:paraId="5D49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noWrap w:val="0"/>
            <w:vAlign w:val="center"/>
          </w:tcPr>
          <w:p w14:paraId="7148D79B">
            <w:pPr>
              <w:pStyle w:val="4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三级</w:t>
            </w:r>
          </w:p>
        </w:tc>
        <w:tc>
          <w:tcPr>
            <w:tcW w:w="3858" w:type="dxa"/>
            <w:noWrap w:val="0"/>
            <w:vAlign w:val="center"/>
          </w:tcPr>
          <w:p w14:paraId="2C9ADB22">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除上述以外的情况 </w:t>
            </w:r>
          </w:p>
        </w:tc>
        <w:tc>
          <w:tcPr>
            <w:tcW w:w="3233" w:type="dxa"/>
            <w:noWrap w:val="0"/>
            <w:vAlign w:val="center"/>
          </w:tcPr>
          <w:p w14:paraId="44D79E64">
            <w:pPr>
              <w:pStyle w:val="41"/>
              <w:rPr>
                <w:rFonts w:hint="default" w:cs="Times New Roman"/>
                <w:color w:val="auto"/>
                <w:kern w:val="2"/>
                <w:sz w:val="21"/>
                <w:szCs w:val="21"/>
                <w:lang w:val="en-US" w:eastAsia="zh-CN"/>
              </w:rPr>
            </w:pPr>
            <w:r>
              <w:rPr>
                <w:rFonts w:hint="eastAsia" w:cs="Times New Roman"/>
                <w:color w:val="auto"/>
                <w:kern w:val="2"/>
                <w:sz w:val="21"/>
                <w:szCs w:val="21"/>
                <w:lang w:val="en-US" w:eastAsia="zh-CN"/>
              </w:rPr>
              <w:t>/</w:t>
            </w:r>
          </w:p>
        </w:tc>
        <w:tc>
          <w:tcPr>
            <w:tcW w:w="749" w:type="dxa"/>
            <w:noWrap w:val="0"/>
            <w:vAlign w:val="center"/>
          </w:tcPr>
          <w:p w14:paraId="3EFCE0CD">
            <w:pPr>
              <w:pStyle w:val="41"/>
              <w:jc w:val="both"/>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r>
    </w:tbl>
    <w:p w14:paraId="0B50216C">
      <w:pPr>
        <w:pStyle w:val="40"/>
        <w:keepNext w:val="0"/>
        <w:keepLines w:val="0"/>
        <w:pageBreakBefore w:val="0"/>
        <w:widowControl/>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7 </w:t>
      </w:r>
      <w:r>
        <w:rPr>
          <w:rFonts w:hint="default" w:ascii="Times New Roman" w:hAnsi="Times New Roman" w:eastAsia="宋体" w:cs="Times New Roman"/>
          <w:color w:val="auto"/>
          <w:sz w:val="24"/>
          <w:szCs w:val="24"/>
          <w:lang w:val="en-US" w:eastAsia="zh-CN"/>
        </w:rPr>
        <w:t>河港建设项目评价等级划分表</w:t>
      </w:r>
    </w:p>
    <w:tbl>
      <w:tblPr>
        <w:tblStyle w:val="4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2055"/>
        <w:gridCol w:w="2057"/>
        <w:gridCol w:w="2053"/>
      </w:tblGrid>
      <w:tr w14:paraId="37D3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50" w:type="pct"/>
            <w:shd w:val="clear" w:color="auto" w:fill="auto"/>
            <w:noWrap w:val="0"/>
            <w:vAlign w:val="center"/>
          </w:tcPr>
          <w:p w14:paraId="615D8DB7">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港口性质</w:t>
            </w:r>
          </w:p>
        </w:tc>
        <w:tc>
          <w:tcPr>
            <w:tcW w:w="1250" w:type="pct"/>
            <w:shd w:val="clear" w:color="auto" w:fill="auto"/>
            <w:noWrap w:val="0"/>
            <w:vAlign w:val="center"/>
          </w:tcPr>
          <w:p w14:paraId="13B695D5">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工程特性</w:t>
            </w:r>
          </w:p>
        </w:tc>
        <w:tc>
          <w:tcPr>
            <w:tcW w:w="1251" w:type="pct"/>
            <w:shd w:val="clear" w:color="auto" w:fill="auto"/>
            <w:noWrap w:val="0"/>
            <w:vAlign w:val="center"/>
          </w:tcPr>
          <w:p w14:paraId="59A2D427">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影响区域</w:t>
            </w:r>
          </w:p>
        </w:tc>
        <w:tc>
          <w:tcPr>
            <w:tcW w:w="1249" w:type="pct"/>
            <w:shd w:val="clear" w:color="auto" w:fill="auto"/>
            <w:noWrap w:val="0"/>
            <w:vAlign w:val="center"/>
          </w:tcPr>
          <w:p w14:paraId="50DE691F">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生态影响评价等级</w:t>
            </w:r>
          </w:p>
        </w:tc>
      </w:tr>
      <w:tr w14:paraId="268F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14:paraId="4A48AC15">
            <w:pPr>
              <w:pStyle w:val="43"/>
              <w:spacing w:afterLines="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干散货、集装箱、多用途、通用和件杂货码头等工程</w:t>
            </w:r>
          </w:p>
        </w:tc>
        <w:tc>
          <w:tcPr>
            <w:tcW w:w="1250" w:type="pct"/>
            <w:vMerge w:val="restart"/>
            <w:noWrap w:val="0"/>
            <w:vAlign w:val="center"/>
          </w:tcPr>
          <w:p w14:paraId="64DBA726">
            <w:pPr>
              <w:pStyle w:val="43"/>
              <w:spacing w:afterLines="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新开港区</w:t>
            </w:r>
          </w:p>
        </w:tc>
        <w:tc>
          <w:tcPr>
            <w:tcW w:w="1251" w:type="pct"/>
            <w:noWrap w:val="0"/>
            <w:vAlign w:val="center"/>
          </w:tcPr>
          <w:p w14:paraId="2BC3C520">
            <w:pPr>
              <w:pStyle w:val="43"/>
              <w:spacing w:afterLines="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重要生境</w:t>
            </w:r>
          </w:p>
        </w:tc>
        <w:tc>
          <w:tcPr>
            <w:tcW w:w="1249" w:type="pct"/>
            <w:noWrap w:val="0"/>
            <w:vAlign w:val="center"/>
          </w:tcPr>
          <w:p w14:paraId="2468B9E7">
            <w:pPr>
              <w:pStyle w:val="43"/>
              <w:spacing w:afterLines="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r>
      <w:tr w14:paraId="2F98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14:paraId="1AF88C0B">
            <w:pPr>
              <w:pStyle w:val="43"/>
              <w:spacing w:afterLines="0" w:line="240" w:lineRule="atLeast"/>
              <w:ind w:firstLine="0" w:firstLineChars="0"/>
              <w:rPr>
                <w:rFonts w:hint="default" w:ascii="Times New Roman" w:hAnsi="Times New Roman" w:eastAsia="宋体" w:cs="Times New Roman"/>
                <w:color w:val="auto"/>
                <w:sz w:val="21"/>
                <w:szCs w:val="21"/>
              </w:rPr>
            </w:pPr>
          </w:p>
        </w:tc>
        <w:tc>
          <w:tcPr>
            <w:tcW w:w="1250" w:type="pct"/>
            <w:vMerge w:val="continue"/>
            <w:noWrap w:val="0"/>
            <w:vAlign w:val="center"/>
          </w:tcPr>
          <w:p w14:paraId="2DAD5EDB">
            <w:pPr>
              <w:pStyle w:val="43"/>
              <w:spacing w:afterLines="0" w:line="240" w:lineRule="atLeast"/>
              <w:ind w:firstLine="0" w:firstLineChars="0"/>
              <w:rPr>
                <w:rFonts w:hint="default" w:ascii="Times New Roman" w:hAnsi="Times New Roman" w:eastAsia="宋体" w:cs="Times New Roman"/>
                <w:color w:val="auto"/>
                <w:sz w:val="21"/>
                <w:szCs w:val="21"/>
              </w:rPr>
            </w:pPr>
          </w:p>
        </w:tc>
        <w:tc>
          <w:tcPr>
            <w:tcW w:w="1251" w:type="pct"/>
            <w:noWrap w:val="0"/>
            <w:vAlign w:val="center"/>
          </w:tcPr>
          <w:p w14:paraId="0E8C5963">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一般区域</w:t>
            </w:r>
          </w:p>
        </w:tc>
        <w:tc>
          <w:tcPr>
            <w:tcW w:w="1249" w:type="pct"/>
            <w:noWrap w:val="0"/>
            <w:vAlign w:val="center"/>
          </w:tcPr>
          <w:p w14:paraId="5E8C343B">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r>
      <w:tr w14:paraId="6487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14:paraId="339AA02E">
            <w:pPr>
              <w:pStyle w:val="43"/>
              <w:spacing w:afterLines="0" w:line="240" w:lineRule="atLeast"/>
              <w:ind w:firstLine="0" w:firstLineChars="0"/>
              <w:rPr>
                <w:rFonts w:hint="default" w:ascii="Times New Roman" w:hAnsi="Times New Roman" w:eastAsia="宋体" w:cs="Times New Roman"/>
                <w:color w:val="auto"/>
                <w:sz w:val="21"/>
                <w:szCs w:val="21"/>
              </w:rPr>
            </w:pPr>
          </w:p>
        </w:tc>
        <w:tc>
          <w:tcPr>
            <w:tcW w:w="1250" w:type="pct"/>
            <w:vMerge w:val="restart"/>
            <w:noWrap w:val="0"/>
            <w:vAlign w:val="center"/>
          </w:tcPr>
          <w:p w14:paraId="67AFF1F1">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现有港区</w:t>
            </w:r>
          </w:p>
        </w:tc>
        <w:tc>
          <w:tcPr>
            <w:tcW w:w="1251" w:type="pct"/>
            <w:noWrap w:val="0"/>
            <w:vAlign w:val="center"/>
          </w:tcPr>
          <w:p w14:paraId="24A9CB16">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z w:val="21"/>
                <w:szCs w:val="21"/>
              </w:rPr>
              <w:t>重要生境</w:t>
            </w:r>
          </w:p>
        </w:tc>
        <w:tc>
          <w:tcPr>
            <w:tcW w:w="1249" w:type="pct"/>
            <w:noWrap w:val="0"/>
            <w:vAlign w:val="center"/>
          </w:tcPr>
          <w:p w14:paraId="26B8DC16">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r>
      <w:tr w14:paraId="357A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14:paraId="670F11B7">
            <w:pPr>
              <w:pStyle w:val="43"/>
              <w:spacing w:afterLines="0" w:line="240" w:lineRule="atLeast"/>
              <w:ind w:firstLine="0" w:firstLineChars="0"/>
              <w:rPr>
                <w:rFonts w:hint="default" w:ascii="Times New Roman" w:hAnsi="Times New Roman" w:eastAsia="宋体" w:cs="Times New Roman"/>
                <w:color w:val="auto"/>
                <w:sz w:val="21"/>
                <w:szCs w:val="21"/>
              </w:rPr>
            </w:pPr>
          </w:p>
        </w:tc>
        <w:tc>
          <w:tcPr>
            <w:tcW w:w="1250" w:type="pct"/>
            <w:vMerge w:val="continue"/>
            <w:noWrap w:val="0"/>
            <w:vAlign w:val="center"/>
          </w:tcPr>
          <w:p w14:paraId="57ED95D9">
            <w:pPr>
              <w:pStyle w:val="43"/>
              <w:spacing w:afterLines="0" w:line="240" w:lineRule="atLeast"/>
              <w:ind w:firstLine="0" w:firstLineChars="0"/>
              <w:rPr>
                <w:rFonts w:hint="default" w:ascii="Times New Roman" w:hAnsi="Times New Roman" w:eastAsia="宋体" w:cs="Times New Roman"/>
                <w:color w:val="auto"/>
                <w:sz w:val="21"/>
                <w:szCs w:val="21"/>
              </w:rPr>
            </w:pPr>
          </w:p>
        </w:tc>
        <w:tc>
          <w:tcPr>
            <w:tcW w:w="1251" w:type="pct"/>
            <w:noWrap w:val="0"/>
            <w:vAlign w:val="center"/>
          </w:tcPr>
          <w:p w14:paraId="0AE3913D">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一般区域</w:t>
            </w:r>
          </w:p>
        </w:tc>
        <w:tc>
          <w:tcPr>
            <w:tcW w:w="1249" w:type="pct"/>
            <w:noWrap w:val="0"/>
            <w:vAlign w:val="center"/>
          </w:tcPr>
          <w:p w14:paraId="3B475378">
            <w:pPr>
              <w:pStyle w:val="43"/>
              <w:spacing w:afterLines="0" w:line="240" w:lineRule="atLeas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r>
      <w:tr w14:paraId="11D2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0F7AEE4A">
            <w:pPr>
              <w:pStyle w:val="43"/>
              <w:spacing w:afterLines="0" w:line="240" w:lineRule="atLeast"/>
              <w:ind w:firstLine="0" w:firstLineChars="0"/>
              <w:jc w:val="both"/>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影响区域涉及到自然保护地和生态保护红线的建设项目生态影响评价等级均应为一级。</w:t>
            </w:r>
          </w:p>
          <w:p w14:paraId="56B93F5F">
            <w:pPr>
              <w:pStyle w:val="43"/>
              <w:spacing w:afterLines="0" w:line="240" w:lineRule="atLeast"/>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要生境：未纳入现有自然保护地范围内，也未纳入生态保护红线范围内，通过资料收集、专家咨询、初步野外调查等手段识别的国家及地方重点保护野生动植物，极危、濒危和易危物种，极小种群野生植物以及特有种的集中分布区、重要栖息地，重要经济水生生物的产卵场、索饵场、越冬场、洄游通道。</w:t>
            </w:r>
          </w:p>
          <w:p w14:paraId="5183681D">
            <w:pPr>
              <w:pStyle w:val="43"/>
              <w:spacing w:afterLines="0" w:line="240" w:lineRule="atLeast"/>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18"/>
                <w:szCs w:val="18"/>
              </w:rPr>
              <w:t>一般区域：除自然保护地、生态保护红线、重要生境等区域以外的区域。</w:t>
            </w:r>
          </w:p>
        </w:tc>
      </w:tr>
    </w:tbl>
    <w:p w14:paraId="3BED684D">
      <w:pPr>
        <w:pStyle w:val="38"/>
        <w:keepNext w:val="0"/>
        <w:keepLines w:val="0"/>
        <w:pageBreakBefore w:val="0"/>
        <w:widowControl w:val="0"/>
        <w:kinsoku/>
        <w:wordWrap/>
        <w:overflowPunct/>
        <w:topLinePunct w:val="0"/>
        <w:autoSpaceDE/>
        <w:autoSpaceDN/>
        <w:bidi w:val="0"/>
        <w:adjustRightInd/>
        <w:snapToGrid/>
        <w:spacing w:before="157" w:beforeLines="50"/>
        <w:ind w:firstLine="482"/>
        <w:textAlignment w:val="auto"/>
        <w:outlineLvl w:val="9"/>
        <w:rPr>
          <w:rFonts w:hint="default" w:ascii="Times New Roman" w:hAnsi="Times New Roman" w:eastAsia="宋体" w:cs="Times New Roman"/>
          <w:b/>
          <w:bCs/>
          <w:color w:val="auto"/>
        </w:rPr>
      </w:pPr>
      <w:bookmarkStart w:id="327" w:name="_Toc15566"/>
      <w:r>
        <w:rPr>
          <w:rFonts w:hint="default"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rPr>
        <w:t>、环境风险影响评价等级确定</w:t>
      </w:r>
      <w:bookmarkEnd w:id="327"/>
    </w:p>
    <w:p w14:paraId="10F66887">
      <w:pPr>
        <w:pStyle w:val="38"/>
        <w:ind w:firstLine="480"/>
        <w:jc w:val="left"/>
        <w:rPr>
          <w:rFonts w:hint="default" w:ascii="Times New Roman" w:hAnsi="Times New Roman" w:eastAsia="宋体" w:cs="Times New Roman"/>
          <w:color w:val="auto"/>
          <w:lang w:eastAsia="zh-CN"/>
        </w:rPr>
      </w:pPr>
      <w:bookmarkStart w:id="328" w:name="_Toc14100_WPSOffice_Level3"/>
      <w:bookmarkStart w:id="329" w:name="_Toc15277"/>
      <w:bookmarkStart w:id="330" w:name="_Toc31636_WPSOffice_Level3"/>
      <w:bookmarkStart w:id="331" w:name="_Toc10986"/>
      <w:bookmarkStart w:id="332" w:name="_Toc22375"/>
      <w:bookmarkStart w:id="333" w:name="_Toc12190"/>
      <w:bookmarkStart w:id="334" w:name="_Toc16014"/>
      <w:bookmarkStart w:id="335" w:name="_Toc1169"/>
      <w:bookmarkStart w:id="336" w:name="_Toc13736"/>
      <w:bookmarkStart w:id="337" w:name="_Toc31436"/>
      <w:bookmarkStart w:id="338" w:name="_Toc2606"/>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不涉及易燃易爆品、有毒物品的运输、装卸，到港船舶不在码头进行加油作业，码头变电所平台采用干式变压器，不涉及到油类等环境风险物质。因此本工程生产事故污染的环节主要为船舶在进港靠泊以及卸船作业期间，由于船舶间发生碰撞导致燃料油泄漏，从而造成环境危害。根据环境风险评价章节可知，本项目</w:t>
      </w:r>
      <w:r>
        <w:rPr>
          <w:rFonts w:hint="default" w:ascii="Times New Roman" w:hAnsi="Times New Roman" w:eastAsia="宋体" w:cs="Times New Roman"/>
          <w:color w:val="auto"/>
          <w:lang w:val="en-US" w:eastAsia="zh-CN"/>
        </w:rPr>
        <w:t>Q为0.</w:t>
      </w:r>
      <w:r>
        <w:rPr>
          <w:rFonts w:hint="eastAsia" w:cs="Times New Roman"/>
          <w:color w:val="auto"/>
          <w:lang w:val="en-US" w:eastAsia="zh-CN"/>
        </w:rPr>
        <w:t>004</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风险潜势为</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ROMAN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I</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。本项目评价工作等级为简单分析。</w:t>
      </w:r>
    </w:p>
    <w:p w14:paraId="26DF0632">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风险评价等级划分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1560"/>
        <w:gridCol w:w="1175"/>
        <w:gridCol w:w="1002"/>
        <w:gridCol w:w="1820"/>
      </w:tblGrid>
      <w:tr w14:paraId="5B79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3" w:type="dxa"/>
            <w:shd w:val="clear" w:color="auto" w:fill="auto"/>
            <w:noWrap w:val="0"/>
            <w:vAlign w:val="center"/>
          </w:tcPr>
          <w:p w14:paraId="187C4ED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环境风险潜势</w:t>
            </w:r>
          </w:p>
        </w:tc>
        <w:tc>
          <w:tcPr>
            <w:tcW w:w="1560" w:type="dxa"/>
            <w:shd w:val="clear" w:color="auto" w:fill="auto"/>
            <w:noWrap w:val="0"/>
            <w:vAlign w:val="center"/>
          </w:tcPr>
          <w:p w14:paraId="6B0A4A9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fldChar w:fldCharType="begin"/>
            </w:r>
            <w:r>
              <w:rPr>
                <w:rFonts w:hint="default" w:ascii="Times New Roman" w:hAnsi="Times New Roman" w:eastAsia="宋体" w:cs="Times New Roman"/>
                <w:color w:val="auto"/>
                <w:kern w:val="2"/>
                <w:sz w:val="21"/>
                <w:szCs w:val="24"/>
                <w:lang w:val="en-US" w:eastAsia="zh-CN"/>
              </w:rPr>
              <w:instrText xml:space="preserve"> = 4 \* ROMAN </w:instrText>
            </w:r>
            <w:r>
              <w:rPr>
                <w:rFonts w:hint="default" w:ascii="Times New Roman" w:hAnsi="Times New Roman" w:eastAsia="宋体" w:cs="Times New Roman"/>
                <w:color w:val="auto"/>
                <w:kern w:val="2"/>
                <w:sz w:val="21"/>
                <w:szCs w:val="24"/>
                <w:lang w:val="en-US" w:eastAsia="zh-CN"/>
              </w:rPr>
              <w:fldChar w:fldCharType="separate"/>
            </w:r>
            <w:r>
              <w:rPr>
                <w:rFonts w:hint="default" w:ascii="Times New Roman" w:hAnsi="Times New Roman" w:eastAsia="宋体" w:cs="Times New Roman"/>
                <w:color w:val="auto"/>
                <w:kern w:val="2"/>
                <w:sz w:val="21"/>
                <w:szCs w:val="24"/>
                <w:lang w:val="en-US" w:eastAsia="zh-CN"/>
              </w:rPr>
              <w:t>IV</w:t>
            </w:r>
            <w:r>
              <w:rPr>
                <w:rFonts w:hint="default" w:ascii="Times New Roman" w:hAnsi="Times New Roman" w:eastAsia="宋体" w:cs="Times New Roman"/>
                <w:color w:val="auto"/>
                <w:kern w:val="2"/>
                <w:sz w:val="21"/>
                <w:szCs w:val="24"/>
                <w:lang w:val="en-US" w:eastAsia="zh-CN"/>
              </w:rPr>
              <w:fldChar w:fldCharType="end"/>
            </w:r>
            <w:r>
              <w:rPr>
                <w:rFonts w:hint="default" w:ascii="Times New Roman" w:hAnsi="Times New Roman" w:eastAsia="宋体" w:cs="Times New Roman"/>
                <w:color w:val="auto"/>
                <w:kern w:val="2"/>
                <w:sz w:val="21"/>
                <w:szCs w:val="24"/>
                <w:lang w:val="en-US" w:eastAsia="zh-CN"/>
              </w:rPr>
              <w:t>、</w:t>
            </w:r>
            <w:r>
              <w:rPr>
                <w:rFonts w:hint="default" w:ascii="Times New Roman" w:hAnsi="Times New Roman" w:eastAsia="宋体" w:cs="Times New Roman"/>
                <w:color w:val="auto"/>
                <w:kern w:val="2"/>
                <w:sz w:val="21"/>
                <w:szCs w:val="24"/>
                <w:lang w:val="en-US" w:eastAsia="zh-CN"/>
              </w:rPr>
              <w:fldChar w:fldCharType="begin"/>
            </w:r>
            <w:r>
              <w:rPr>
                <w:rFonts w:hint="default" w:ascii="Times New Roman" w:hAnsi="Times New Roman" w:eastAsia="宋体" w:cs="Times New Roman"/>
                <w:color w:val="auto"/>
                <w:kern w:val="2"/>
                <w:sz w:val="21"/>
                <w:szCs w:val="24"/>
                <w:lang w:val="en-US" w:eastAsia="zh-CN"/>
              </w:rPr>
              <w:instrText xml:space="preserve"> = 4 \* ROMAN </w:instrText>
            </w:r>
            <w:r>
              <w:rPr>
                <w:rFonts w:hint="default" w:ascii="Times New Roman" w:hAnsi="Times New Roman" w:eastAsia="宋体" w:cs="Times New Roman"/>
                <w:color w:val="auto"/>
                <w:kern w:val="2"/>
                <w:sz w:val="21"/>
                <w:szCs w:val="24"/>
                <w:lang w:val="en-US" w:eastAsia="zh-CN"/>
              </w:rPr>
              <w:fldChar w:fldCharType="separate"/>
            </w:r>
            <w:r>
              <w:rPr>
                <w:rFonts w:hint="default" w:ascii="Times New Roman" w:hAnsi="Times New Roman" w:eastAsia="宋体" w:cs="Times New Roman"/>
                <w:color w:val="auto"/>
                <w:kern w:val="2"/>
                <w:sz w:val="21"/>
                <w:szCs w:val="24"/>
                <w:lang w:val="en-US" w:eastAsia="zh-CN"/>
              </w:rPr>
              <w:t>IV</w:t>
            </w:r>
            <w:r>
              <w:rPr>
                <w:rFonts w:hint="default" w:ascii="Times New Roman" w:hAnsi="Times New Roman" w:eastAsia="宋体" w:cs="Times New Roman"/>
                <w:color w:val="auto"/>
                <w:kern w:val="2"/>
                <w:sz w:val="21"/>
                <w:szCs w:val="24"/>
                <w:lang w:val="en-US" w:eastAsia="zh-CN"/>
              </w:rPr>
              <w:fldChar w:fldCharType="end"/>
            </w:r>
            <w:r>
              <w:rPr>
                <w:rFonts w:hint="default" w:ascii="Times New Roman" w:hAnsi="Times New Roman" w:eastAsia="宋体" w:cs="Times New Roman"/>
                <w:color w:val="auto"/>
                <w:kern w:val="2"/>
                <w:sz w:val="21"/>
                <w:szCs w:val="24"/>
                <w:vertAlign w:val="superscript"/>
                <w:lang w:val="en-US" w:eastAsia="zh-CN"/>
              </w:rPr>
              <w:t>+</w:t>
            </w:r>
          </w:p>
        </w:tc>
        <w:tc>
          <w:tcPr>
            <w:tcW w:w="1175" w:type="dxa"/>
            <w:shd w:val="clear" w:color="auto" w:fill="auto"/>
            <w:noWrap w:val="0"/>
            <w:vAlign w:val="center"/>
          </w:tcPr>
          <w:p w14:paraId="49E1B5F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fldChar w:fldCharType="begin"/>
            </w:r>
            <w:r>
              <w:rPr>
                <w:rFonts w:hint="default" w:ascii="Times New Roman" w:hAnsi="Times New Roman" w:eastAsia="宋体" w:cs="Times New Roman"/>
                <w:color w:val="auto"/>
                <w:kern w:val="2"/>
                <w:sz w:val="21"/>
                <w:szCs w:val="24"/>
                <w:lang w:val="en-US" w:eastAsia="zh-CN"/>
              </w:rPr>
              <w:instrText xml:space="preserve"> = 3 \* ROMAN </w:instrText>
            </w:r>
            <w:r>
              <w:rPr>
                <w:rFonts w:hint="default" w:ascii="Times New Roman" w:hAnsi="Times New Roman" w:eastAsia="宋体" w:cs="Times New Roman"/>
                <w:color w:val="auto"/>
                <w:kern w:val="2"/>
                <w:sz w:val="21"/>
                <w:szCs w:val="24"/>
                <w:lang w:val="en-US" w:eastAsia="zh-CN"/>
              </w:rPr>
              <w:fldChar w:fldCharType="separate"/>
            </w:r>
            <w:r>
              <w:rPr>
                <w:rFonts w:hint="default" w:ascii="Times New Roman" w:hAnsi="Times New Roman" w:eastAsia="宋体" w:cs="Times New Roman"/>
                <w:color w:val="auto"/>
                <w:kern w:val="2"/>
                <w:sz w:val="21"/>
                <w:szCs w:val="24"/>
                <w:lang w:val="en-US" w:eastAsia="zh-CN"/>
              </w:rPr>
              <w:t>III</w:t>
            </w:r>
            <w:r>
              <w:rPr>
                <w:rFonts w:hint="default" w:ascii="Times New Roman" w:hAnsi="Times New Roman" w:eastAsia="宋体" w:cs="Times New Roman"/>
                <w:color w:val="auto"/>
                <w:kern w:val="2"/>
                <w:sz w:val="21"/>
                <w:szCs w:val="24"/>
                <w:lang w:val="en-US" w:eastAsia="zh-CN"/>
              </w:rPr>
              <w:fldChar w:fldCharType="end"/>
            </w:r>
          </w:p>
        </w:tc>
        <w:tc>
          <w:tcPr>
            <w:tcW w:w="1002" w:type="dxa"/>
            <w:shd w:val="clear" w:color="auto" w:fill="auto"/>
            <w:noWrap w:val="0"/>
            <w:vAlign w:val="center"/>
          </w:tcPr>
          <w:p w14:paraId="2E7CC69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fldChar w:fldCharType="begin"/>
            </w:r>
            <w:r>
              <w:rPr>
                <w:rFonts w:hint="default" w:ascii="Times New Roman" w:hAnsi="Times New Roman" w:eastAsia="宋体" w:cs="Times New Roman"/>
                <w:color w:val="auto"/>
                <w:kern w:val="2"/>
                <w:sz w:val="21"/>
                <w:szCs w:val="24"/>
                <w:lang w:val="en-US" w:eastAsia="zh-CN"/>
              </w:rPr>
              <w:instrText xml:space="preserve"> = 2 \* ROMAN </w:instrText>
            </w:r>
            <w:r>
              <w:rPr>
                <w:rFonts w:hint="default" w:ascii="Times New Roman" w:hAnsi="Times New Roman" w:eastAsia="宋体" w:cs="Times New Roman"/>
                <w:color w:val="auto"/>
                <w:kern w:val="2"/>
                <w:sz w:val="21"/>
                <w:szCs w:val="24"/>
                <w:lang w:val="en-US" w:eastAsia="zh-CN"/>
              </w:rPr>
              <w:fldChar w:fldCharType="separate"/>
            </w:r>
            <w:r>
              <w:rPr>
                <w:rFonts w:hint="default" w:ascii="Times New Roman" w:hAnsi="Times New Roman" w:eastAsia="宋体" w:cs="Times New Roman"/>
                <w:color w:val="auto"/>
                <w:kern w:val="2"/>
                <w:sz w:val="21"/>
                <w:szCs w:val="24"/>
                <w:lang w:val="en-US" w:eastAsia="zh-CN"/>
              </w:rPr>
              <w:t>II</w:t>
            </w:r>
            <w:r>
              <w:rPr>
                <w:rFonts w:hint="default" w:ascii="Times New Roman" w:hAnsi="Times New Roman" w:eastAsia="宋体" w:cs="Times New Roman"/>
                <w:color w:val="auto"/>
                <w:kern w:val="2"/>
                <w:sz w:val="21"/>
                <w:szCs w:val="24"/>
                <w:lang w:val="en-US" w:eastAsia="zh-CN"/>
              </w:rPr>
              <w:fldChar w:fldCharType="end"/>
            </w:r>
          </w:p>
        </w:tc>
        <w:tc>
          <w:tcPr>
            <w:tcW w:w="1820" w:type="dxa"/>
            <w:shd w:val="clear" w:color="auto" w:fill="auto"/>
            <w:noWrap w:val="0"/>
            <w:vAlign w:val="center"/>
          </w:tcPr>
          <w:p w14:paraId="5B87D2F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fldChar w:fldCharType="begin"/>
            </w:r>
            <w:r>
              <w:rPr>
                <w:rFonts w:hint="default" w:ascii="Times New Roman" w:hAnsi="Times New Roman" w:eastAsia="宋体" w:cs="Times New Roman"/>
                <w:color w:val="auto"/>
                <w:kern w:val="2"/>
                <w:sz w:val="21"/>
                <w:szCs w:val="24"/>
                <w:lang w:val="en-US" w:eastAsia="zh-CN"/>
              </w:rPr>
              <w:instrText xml:space="preserve"> = 1 \* ROMAN </w:instrText>
            </w:r>
            <w:r>
              <w:rPr>
                <w:rFonts w:hint="default" w:ascii="Times New Roman" w:hAnsi="Times New Roman" w:eastAsia="宋体" w:cs="Times New Roman"/>
                <w:color w:val="auto"/>
                <w:kern w:val="2"/>
                <w:sz w:val="21"/>
                <w:szCs w:val="24"/>
                <w:lang w:val="en-US" w:eastAsia="zh-CN"/>
              </w:rPr>
              <w:fldChar w:fldCharType="separate"/>
            </w:r>
            <w:r>
              <w:rPr>
                <w:rFonts w:hint="default" w:ascii="Times New Roman" w:hAnsi="Times New Roman" w:eastAsia="宋体" w:cs="Times New Roman"/>
                <w:color w:val="auto"/>
                <w:kern w:val="2"/>
                <w:sz w:val="21"/>
                <w:szCs w:val="24"/>
                <w:lang w:val="en-US" w:eastAsia="zh-CN"/>
              </w:rPr>
              <w:t>I</w:t>
            </w:r>
            <w:r>
              <w:rPr>
                <w:rFonts w:hint="default" w:ascii="Times New Roman" w:hAnsi="Times New Roman" w:eastAsia="宋体" w:cs="Times New Roman"/>
                <w:color w:val="auto"/>
                <w:kern w:val="2"/>
                <w:sz w:val="21"/>
                <w:szCs w:val="24"/>
                <w:lang w:val="en-US" w:eastAsia="zh-CN"/>
              </w:rPr>
              <w:fldChar w:fldCharType="end"/>
            </w:r>
          </w:p>
        </w:tc>
      </w:tr>
      <w:tr w14:paraId="2A5A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3" w:type="dxa"/>
            <w:noWrap w:val="0"/>
            <w:vAlign w:val="center"/>
          </w:tcPr>
          <w:p w14:paraId="2BC9E8F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评价工作等级</w:t>
            </w:r>
          </w:p>
        </w:tc>
        <w:tc>
          <w:tcPr>
            <w:tcW w:w="1560" w:type="dxa"/>
            <w:noWrap w:val="0"/>
            <w:vAlign w:val="center"/>
          </w:tcPr>
          <w:p w14:paraId="0AFF43B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一</w:t>
            </w:r>
          </w:p>
        </w:tc>
        <w:tc>
          <w:tcPr>
            <w:tcW w:w="1175" w:type="dxa"/>
            <w:noWrap w:val="0"/>
            <w:vAlign w:val="center"/>
          </w:tcPr>
          <w:p w14:paraId="3EF835F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二</w:t>
            </w:r>
          </w:p>
        </w:tc>
        <w:tc>
          <w:tcPr>
            <w:tcW w:w="1002" w:type="dxa"/>
            <w:noWrap w:val="0"/>
            <w:vAlign w:val="center"/>
          </w:tcPr>
          <w:p w14:paraId="405ADF3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三</w:t>
            </w:r>
          </w:p>
        </w:tc>
        <w:tc>
          <w:tcPr>
            <w:tcW w:w="1820" w:type="dxa"/>
            <w:noWrap w:val="0"/>
            <w:vAlign w:val="center"/>
          </w:tcPr>
          <w:p w14:paraId="4FF08AD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简单分析</w:t>
            </w:r>
            <w:r>
              <w:rPr>
                <w:rFonts w:hint="eastAsia" w:cs="Times New Roman"/>
                <w:color w:val="auto"/>
                <w:kern w:val="2"/>
                <w:sz w:val="21"/>
                <w:szCs w:val="24"/>
                <w:lang w:val="en-US" w:eastAsia="zh-CN"/>
              </w:rPr>
              <w:t>a</w:t>
            </w:r>
          </w:p>
        </w:tc>
      </w:tr>
    </w:tbl>
    <w:p w14:paraId="50052B2E">
      <w:pPr>
        <w:keepNext w:val="0"/>
        <w:keepLines w:val="0"/>
        <w:pageBreakBefore w:val="0"/>
        <w:widowControl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宋体" w:cs="Times New Roman"/>
          <w:b w:val="0"/>
          <w:bCs w:val="0"/>
          <w:color w:val="auto"/>
          <w:sz w:val="18"/>
          <w:szCs w:val="18"/>
          <w:lang w:val="en-US" w:eastAsia="zh-CN"/>
        </w:rPr>
      </w:pPr>
      <w:bookmarkStart w:id="339" w:name="_Toc21892"/>
      <w:bookmarkStart w:id="340" w:name="_Toc29353"/>
      <w:bookmarkStart w:id="341" w:name="_Toc25910"/>
      <w:bookmarkStart w:id="342" w:name="_Toc19918"/>
      <w:bookmarkStart w:id="343" w:name="_Toc29340"/>
      <w:bookmarkStart w:id="344" w:name="_Toc31230"/>
      <w:r>
        <w:rPr>
          <w:rFonts w:hint="eastAsia" w:cs="Times New Roman"/>
          <w:b w:val="0"/>
          <w:bCs w:val="0"/>
          <w:color w:val="auto"/>
          <w:sz w:val="18"/>
          <w:szCs w:val="18"/>
          <w:lang w:val="en-US" w:eastAsia="zh-CN"/>
        </w:rPr>
        <w:t>注：</w:t>
      </w:r>
      <w:r>
        <w:rPr>
          <w:rFonts w:hint="default" w:ascii="Times New Roman" w:hAnsi="Times New Roman" w:eastAsia="宋体" w:cs="Times New Roman"/>
          <w:b w:val="0"/>
          <w:bCs w:val="0"/>
          <w:color w:val="auto"/>
          <w:sz w:val="18"/>
          <w:szCs w:val="18"/>
          <w:lang w:val="en-US" w:eastAsia="zh-CN"/>
        </w:rPr>
        <w:t>a是相对于详细评价工作内容而言，在描述危险物质、环境影响途径、环境危害后果、风险防范措施等方面给出定性的说明。</w:t>
      </w:r>
    </w:p>
    <w:p w14:paraId="7052D227">
      <w:pPr>
        <w:keepNext w:val="0"/>
        <w:keepLines w:val="0"/>
        <w:pageBreakBefore w:val="0"/>
        <w:widowControl w:val="0"/>
        <w:kinsoku/>
        <w:wordWrap/>
        <w:overflowPunct/>
        <w:topLinePunct w:val="0"/>
        <w:autoSpaceDE/>
        <w:autoSpaceDN/>
        <w:bidi w:val="0"/>
        <w:adjustRightInd/>
        <w:snapToGrid/>
        <w:spacing w:before="157" w:beforeLines="50" w:after="0" w:line="360" w:lineRule="auto"/>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8、评价等级汇总</w:t>
      </w:r>
      <w:bookmarkEnd w:id="339"/>
    </w:p>
    <w:p w14:paraId="54E0E068">
      <w:pPr>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本项目环境评价工作等级汇总见下表。</w:t>
      </w:r>
    </w:p>
    <w:p w14:paraId="2EC6D26C">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 xml:space="preserve"> 本项目评价等级汇总表</w:t>
      </w:r>
    </w:p>
    <w:tbl>
      <w:tblPr>
        <w:tblStyle w:val="4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882"/>
        <w:gridCol w:w="2171"/>
        <w:gridCol w:w="2806"/>
      </w:tblGrid>
      <w:tr w14:paraId="47E0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58D180A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3969" w:type="dxa"/>
            <w:gridSpan w:val="2"/>
            <w:noWrap w:val="0"/>
            <w:vAlign w:val="center"/>
          </w:tcPr>
          <w:p w14:paraId="620665EF">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评价内容</w:t>
            </w:r>
          </w:p>
        </w:tc>
        <w:tc>
          <w:tcPr>
            <w:tcW w:w="2748" w:type="dxa"/>
            <w:noWrap w:val="0"/>
            <w:vAlign w:val="center"/>
          </w:tcPr>
          <w:p w14:paraId="5526D14A">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评价工作等级</w:t>
            </w:r>
          </w:p>
        </w:tc>
      </w:tr>
      <w:tr w14:paraId="21D3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vMerge w:val="restart"/>
            <w:noWrap w:val="0"/>
            <w:vAlign w:val="center"/>
          </w:tcPr>
          <w:p w14:paraId="427D75D8">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843" w:type="dxa"/>
            <w:vMerge w:val="restart"/>
            <w:noWrap w:val="0"/>
            <w:vAlign w:val="center"/>
          </w:tcPr>
          <w:p w14:paraId="4209802B">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地表水环境</w:t>
            </w:r>
          </w:p>
        </w:tc>
        <w:tc>
          <w:tcPr>
            <w:tcW w:w="2126" w:type="dxa"/>
            <w:noWrap w:val="0"/>
            <w:vAlign w:val="center"/>
          </w:tcPr>
          <w:p w14:paraId="053CDD41">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水污染影响型</w:t>
            </w:r>
          </w:p>
        </w:tc>
        <w:tc>
          <w:tcPr>
            <w:tcW w:w="2748" w:type="dxa"/>
            <w:noWrap w:val="0"/>
            <w:vAlign w:val="center"/>
          </w:tcPr>
          <w:p w14:paraId="10259A09">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三级B</w:t>
            </w:r>
          </w:p>
        </w:tc>
      </w:tr>
      <w:tr w14:paraId="7B478BF3">
        <w:tblPrEx>
          <w:tblCellMar>
            <w:top w:w="0" w:type="dxa"/>
            <w:left w:w="108" w:type="dxa"/>
            <w:bottom w:w="0" w:type="dxa"/>
            <w:right w:w="108" w:type="dxa"/>
          </w:tblCellMar>
        </w:tblPrEx>
        <w:trPr>
          <w:trHeight w:val="20" w:hRule="atLeast"/>
          <w:jc w:val="center"/>
        </w:trPr>
        <w:tc>
          <w:tcPr>
            <w:tcW w:w="1333" w:type="dxa"/>
            <w:vMerge w:val="continue"/>
            <w:noWrap w:val="0"/>
            <w:vAlign w:val="center"/>
          </w:tcPr>
          <w:p w14:paraId="7F5AAAC9">
            <w:pPr>
              <w:pStyle w:val="39"/>
              <w:bidi w:val="0"/>
              <w:rPr>
                <w:rFonts w:hint="default" w:ascii="Times New Roman" w:hAnsi="Times New Roman" w:eastAsia="宋体" w:cs="Times New Roman"/>
                <w:color w:val="auto"/>
              </w:rPr>
            </w:pPr>
          </w:p>
        </w:tc>
        <w:tc>
          <w:tcPr>
            <w:tcW w:w="1843" w:type="dxa"/>
            <w:vMerge w:val="continue"/>
            <w:noWrap w:val="0"/>
            <w:vAlign w:val="center"/>
          </w:tcPr>
          <w:p w14:paraId="31204C4C">
            <w:pPr>
              <w:pStyle w:val="39"/>
              <w:bidi w:val="0"/>
              <w:rPr>
                <w:rFonts w:hint="default" w:ascii="Times New Roman" w:hAnsi="Times New Roman" w:eastAsia="宋体" w:cs="Times New Roman"/>
                <w:color w:val="auto"/>
              </w:rPr>
            </w:pPr>
          </w:p>
        </w:tc>
        <w:tc>
          <w:tcPr>
            <w:tcW w:w="2126" w:type="dxa"/>
            <w:noWrap w:val="0"/>
            <w:vAlign w:val="center"/>
          </w:tcPr>
          <w:p w14:paraId="08BC898F">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水文要素影响型</w:t>
            </w:r>
          </w:p>
        </w:tc>
        <w:tc>
          <w:tcPr>
            <w:tcW w:w="2748" w:type="dxa"/>
            <w:noWrap w:val="0"/>
            <w:vAlign w:val="center"/>
          </w:tcPr>
          <w:p w14:paraId="08A91B7D">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r>
      <w:tr w14:paraId="688E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56A63975">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3969" w:type="dxa"/>
            <w:gridSpan w:val="2"/>
            <w:noWrap w:val="0"/>
            <w:vAlign w:val="center"/>
          </w:tcPr>
          <w:p w14:paraId="35F3220C">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地下水环境</w:t>
            </w:r>
          </w:p>
        </w:tc>
        <w:tc>
          <w:tcPr>
            <w:tcW w:w="2748" w:type="dxa"/>
            <w:noWrap w:val="0"/>
            <w:vAlign w:val="center"/>
          </w:tcPr>
          <w:p w14:paraId="7030C727">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0EA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7DDC1EE0">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3969" w:type="dxa"/>
            <w:gridSpan w:val="2"/>
            <w:noWrap w:val="0"/>
            <w:vAlign w:val="center"/>
          </w:tcPr>
          <w:p w14:paraId="4A8A8EBB">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环境空气</w:t>
            </w:r>
          </w:p>
        </w:tc>
        <w:tc>
          <w:tcPr>
            <w:tcW w:w="2748" w:type="dxa"/>
            <w:noWrap w:val="0"/>
            <w:vAlign w:val="center"/>
          </w:tcPr>
          <w:p w14:paraId="31769B4A">
            <w:pPr>
              <w:pStyle w:val="39"/>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三级</w:t>
            </w:r>
          </w:p>
        </w:tc>
      </w:tr>
      <w:tr w14:paraId="3BAD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1E412D48">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3969" w:type="dxa"/>
            <w:gridSpan w:val="2"/>
            <w:noWrap w:val="0"/>
            <w:vAlign w:val="center"/>
          </w:tcPr>
          <w:p w14:paraId="27AC164C">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2748" w:type="dxa"/>
            <w:noWrap w:val="0"/>
            <w:vAlign w:val="center"/>
          </w:tcPr>
          <w:p w14:paraId="56F4373F">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三级</w:t>
            </w:r>
          </w:p>
        </w:tc>
      </w:tr>
      <w:tr w14:paraId="4A85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2808B12E">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3969" w:type="dxa"/>
            <w:gridSpan w:val="2"/>
            <w:noWrap w:val="0"/>
            <w:vAlign w:val="center"/>
          </w:tcPr>
          <w:p w14:paraId="51BFEAED">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2748" w:type="dxa"/>
            <w:noWrap w:val="0"/>
            <w:vAlign w:val="center"/>
          </w:tcPr>
          <w:p w14:paraId="7F44CEA7">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r>
      <w:tr w14:paraId="29B4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051E5009">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3969" w:type="dxa"/>
            <w:gridSpan w:val="2"/>
            <w:noWrap w:val="0"/>
            <w:vAlign w:val="center"/>
          </w:tcPr>
          <w:p w14:paraId="00AB86A4">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土壤环境</w:t>
            </w:r>
          </w:p>
        </w:tc>
        <w:tc>
          <w:tcPr>
            <w:tcW w:w="2748" w:type="dxa"/>
            <w:noWrap w:val="0"/>
            <w:vAlign w:val="center"/>
          </w:tcPr>
          <w:p w14:paraId="4749D4B0">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183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3" w:type="dxa"/>
            <w:noWrap w:val="0"/>
            <w:vAlign w:val="center"/>
          </w:tcPr>
          <w:p w14:paraId="40A8E4FD">
            <w:pPr>
              <w:pStyle w:val="3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3969" w:type="dxa"/>
            <w:gridSpan w:val="2"/>
            <w:noWrap w:val="0"/>
            <w:vAlign w:val="center"/>
          </w:tcPr>
          <w:p w14:paraId="4DBD5412">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2748" w:type="dxa"/>
            <w:noWrap w:val="0"/>
            <w:vAlign w:val="center"/>
          </w:tcPr>
          <w:p w14:paraId="489582D7">
            <w:pPr>
              <w:pStyle w:val="39"/>
              <w:bidi w:val="0"/>
              <w:rPr>
                <w:rFonts w:hint="default" w:ascii="Times New Roman" w:hAnsi="Times New Roman" w:eastAsia="宋体" w:cs="Times New Roman"/>
                <w:color w:val="auto"/>
              </w:rPr>
            </w:pPr>
            <w:r>
              <w:rPr>
                <w:rFonts w:hint="default" w:ascii="Times New Roman" w:hAnsi="Times New Roman" w:eastAsia="宋体" w:cs="Times New Roman"/>
                <w:color w:val="auto"/>
              </w:rPr>
              <w:t>简单分析</w:t>
            </w:r>
          </w:p>
        </w:tc>
      </w:tr>
    </w:tbl>
    <w:p w14:paraId="40918EF9">
      <w:pPr>
        <w:pStyle w:val="9"/>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color w:val="auto"/>
          <w:lang w:val="en-US" w:eastAsia="zh-CN"/>
        </w:rPr>
      </w:pPr>
      <w:bookmarkStart w:id="345" w:name="_Toc26991"/>
      <w:r>
        <w:rPr>
          <w:rFonts w:hint="default" w:ascii="Times New Roman" w:hAnsi="Times New Roman" w:eastAsia="宋体" w:cs="Times New Roman"/>
          <w:color w:val="auto"/>
        </w:rPr>
        <w:t>2.</w:t>
      </w:r>
      <w:r>
        <w:rPr>
          <w:rFonts w:hint="eastAsia" w:cs="Times New Roman"/>
          <w:color w:val="auto"/>
          <w:lang w:val="en-US" w:eastAsia="zh-CN"/>
        </w:rPr>
        <w:t>5</w:t>
      </w:r>
      <w:r>
        <w:rPr>
          <w:rFonts w:hint="default" w:ascii="Times New Roman" w:hAnsi="Times New Roman" w:eastAsia="宋体" w:cs="Times New Roman"/>
          <w:color w:val="auto"/>
        </w:rPr>
        <w:t>.2</w:t>
      </w:r>
      <w:bookmarkEnd w:id="328"/>
      <w:bookmarkEnd w:id="329"/>
      <w:bookmarkEnd w:id="330"/>
      <w:bookmarkEnd w:id="331"/>
      <w:bookmarkEnd w:id="332"/>
      <w:bookmarkEnd w:id="333"/>
      <w:bookmarkEnd w:id="334"/>
      <w:bookmarkEnd w:id="335"/>
      <w:bookmarkEnd w:id="336"/>
      <w:bookmarkEnd w:id="337"/>
      <w:bookmarkEnd w:id="338"/>
      <w:bookmarkEnd w:id="340"/>
      <w:bookmarkEnd w:id="341"/>
      <w:bookmarkEnd w:id="342"/>
      <w:bookmarkEnd w:id="343"/>
      <w:bookmarkEnd w:id="344"/>
      <w:r>
        <w:rPr>
          <w:rFonts w:hint="eastAsia" w:cs="Times New Roman"/>
          <w:color w:val="auto"/>
          <w:lang w:val="en-US" w:eastAsia="zh-CN"/>
        </w:rPr>
        <w:t xml:space="preserve"> 评价范围</w:t>
      </w:r>
      <w:bookmarkEnd w:id="345"/>
    </w:p>
    <w:p w14:paraId="56B61BE8">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根据项目环境影响评价工作等级，评价范围见表2.</w:t>
      </w:r>
      <w:r>
        <w:rPr>
          <w:rFonts w:hint="eastAsia" w:cs="Times New Roman"/>
          <w:color w:val="auto"/>
          <w:lang w:val="en-US" w:eastAsia="zh-CN"/>
        </w:rPr>
        <w:t>5</w:t>
      </w:r>
      <w:r>
        <w:rPr>
          <w:rFonts w:hint="default" w:ascii="Times New Roman" w:hAnsi="Times New Roman" w:eastAsia="宋体" w:cs="Times New Roman"/>
          <w:color w:val="auto"/>
        </w:rPr>
        <w:t>-1</w:t>
      </w:r>
      <w:r>
        <w:rPr>
          <w:rFonts w:hint="eastAsia" w:cs="Times New Roman"/>
          <w:color w:val="auto"/>
          <w:lang w:val="en-US" w:eastAsia="zh-CN"/>
        </w:rPr>
        <w:t>0</w:t>
      </w:r>
      <w:r>
        <w:rPr>
          <w:rFonts w:hint="default" w:ascii="Times New Roman" w:hAnsi="Times New Roman" w:eastAsia="宋体" w:cs="Times New Roman"/>
          <w:color w:val="auto"/>
        </w:rPr>
        <w:t>。</w:t>
      </w:r>
    </w:p>
    <w:p w14:paraId="44C0C4E2">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 xml:space="preserve"> 项目评价范围一览表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6900"/>
      </w:tblGrid>
      <w:tr w14:paraId="45522AEC">
        <w:tblPrEx>
          <w:tblCellMar>
            <w:top w:w="0" w:type="dxa"/>
            <w:left w:w="108" w:type="dxa"/>
            <w:bottom w:w="0" w:type="dxa"/>
            <w:right w:w="108" w:type="dxa"/>
          </w:tblCellMar>
        </w:tblPrEx>
        <w:trPr>
          <w:trHeight w:val="340" w:hRule="atLeast"/>
          <w:jc w:val="center"/>
        </w:trPr>
        <w:tc>
          <w:tcPr>
            <w:tcW w:w="803" w:type="pct"/>
            <w:tcBorders>
              <w:bottom w:val="single" w:color="auto" w:sz="4" w:space="0"/>
              <w:right w:val="single" w:color="auto" w:sz="4" w:space="0"/>
            </w:tcBorders>
            <w:noWrap w:val="0"/>
            <w:vAlign w:val="center"/>
          </w:tcPr>
          <w:p w14:paraId="6926607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评价因子</w:t>
            </w:r>
          </w:p>
        </w:tc>
        <w:tc>
          <w:tcPr>
            <w:tcW w:w="4196" w:type="pct"/>
            <w:tcBorders>
              <w:left w:val="single" w:color="auto" w:sz="4" w:space="0"/>
              <w:bottom w:val="single" w:color="auto" w:sz="4" w:space="0"/>
            </w:tcBorders>
            <w:noWrap w:val="0"/>
            <w:vAlign w:val="center"/>
          </w:tcPr>
          <w:p w14:paraId="6D9D06E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评价范围</w:t>
            </w:r>
          </w:p>
        </w:tc>
      </w:tr>
      <w:tr w14:paraId="710C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op w:val="single" w:color="auto" w:sz="4" w:space="0"/>
              <w:bottom w:val="single" w:color="auto" w:sz="4" w:space="0"/>
              <w:right w:val="single" w:color="auto" w:sz="4" w:space="0"/>
            </w:tcBorders>
            <w:noWrap w:val="0"/>
            <w:vAlign w:val="center"/>
          </w:tcPr>
          <w:p w14:paraId="7126632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地表水环境</w:t>
            </w:r>
          </w:p>
        </w:tc>
        <w:tc>
          <w:tcPr>
            <w:tcW w:w="4196" w:type="pct"/>
            <w:tcBorders>
              <w:top w:val="single" w:color="auto" w:sz="4" w:space="0"/>
              <w:left w:val="single" w:color="auto" w:sz="4" w:space="0"/>
              <w:bottom w:val="single" w:color="auto" w:sz="4" w:space="0"/>
            </w:tcBorders>
            <w:noWrap w:val="0"/>
            <w:vAlign w:val="center"/>
          </w:tcPr>
          <w:p w14:paraId="0AB337A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码头上游1km至下游</w:t>
            </w:r>
            <w:r>
              <w:rPr>
                <w:rFonts w:hint="eastAsia" w:cs="Times New Roman"/>
                <w:color w:val="auto"/>
                <w:kern w:val="2"/>
                <w:sz w:val="21"/>
                <w:szCs w:val="24"/>
                <w:lang w:val="en-US" w:eastAsia="zh-CN"/>
              </w:rPr>
              <w:t>3</w:t>
            </w:r>
            <w:r>
              <w:rPr>
                <w:rFonts w:hint="default" w:ascii="Times New Roman" w:hAnsi="Times New Roman" w:eastAsia="宋体" w:cs="Times New Roman"/>
                <w:color w:val="auto"/>
                <w:kern w:val="2"/>
                <w:sz w:val="21"/>
                <w:szCs w:val="24"/>
                <w:lang w:val="en-US" w:eastAsia="zh-CN"/>
              </w:rPr>
              <w:t>km共计</w:t>
            </w:r>
            <w:r>
              <w:rPr>
                <w:rFonts w:hint="eastAsia" w:cs="Times New Roman"/>
                <w:color w:val="auto"/>
                <w:kern w:val="2"/>
                <w:sz w:val="21"/>
                <w:szCs w:val="24"/>
                <w:lang w:val="en-US" w:eastAsia="zh-CN"/>
              </w:rPr>
              <w:t>4</w:t>
            </w:r>
            <w:r>
              <w:rPr>
                <w:rFonts w:hint="default" w:ascii="Times New Roman" w:hAnsi="Times New Roman" w:eastAsia="宋体" w:cs="Times New Roman"/>
                <w:color w:val="auto"/>
                <w:kern w:val="2"/>
                <w:sz w:val="21"/>
                <w:szCs w:val="24"/>
                <w:lang w:val="en-US" w:eastAsia="zh-CN"/>
              </w:rPr>
              <w:t>km的长江水域</w:t>
            </w:r>
          </w:p>
        </w:tc>
      </w:tr>
      <w:tr w14:paraId="34D0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op w:val="single" w:color="auto" w:sz="4" w:space="0"/>
              <w:bottom w:val="single" w:color="auto" w:sz="4" w:space="0"/>
              <w:right w:val="single" w:color="auto" w:sz="4" w:space="0"/>
            </w:tcBorders>
            <w:noWrap w:val="0"/>
            <w:vAlign w:val="center"/>
          </w:tcPr>
          <w:p w14:paraId="0634187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环境空气</w:t>
            </w:r>
          </w:p>
        </w:tc>
        <w:tc>
          <w:tcPr>
            <w:tcW w:w="4196" w:type="pct"/>
            <w:tcBorders>
              <w:top w:val="single" w:color="auto" w:sz="4" w:space="0"/>
              <w:left w:val="single" w:color="auto" w:sz="4" w:space="0"/>
              <w:bottom w:val="single" w:color="auto" w:sz="4" w:space="0"/>
            </w:tcBorders>
            <w:noWrap w:val="0"/>
            <w:vAlign w:val="center"/>
          </w:tcPr>
          <w:p w14:paraId="6924C2A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以项目地为中心，5km为边长的矩形范围</w:t>
            </w:r>
          </w:p>
        </w:tc>
      </w:tr>
      <w:tr w14:paraId="7A25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op w:val="single" w:color="auto" w:sz="4" w:space="0"/>
              <w:bottom w:val="single" w:color="auto" w:sz="4" w:space="0"/>
              <w:right w:val="single" w:color="auto" w:sz="4" w:space="0"/>
            </w:tcBorders>
            <w:noWrap w:val="0"/>
            <w:vAlign w:val="center"/>
          </w:tcPr>
          <w:p w14:paraId="734D034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噪声</w:t>
            </w:r>
          </w:p>
        </w:tc>
        <w:tc>
          <w:tcPr>
            <w:tcW w:w="4196" w:type="pct"/>
            <w:tcBorders>
              <w:top w:val="single" w:color="auto" w:sz="4" w:space="0"/>
              <w:left w:val="single" w:color="auto" w:sz="4" w:space="0"/>
              <w:bottom w:val="single" w:color="auto" w:sz="4" w:space="0"/>
            </w:tcBorders>
            <w:noWrap w:val="0"/>
            <w:vAlign w:val="center"/>
          </w:tcPr>
          <w:p w14:paraId="0A509FA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项目地场界及外围200m内敏感点</w:t>
            </w:r>
          </w:p>
        </w:tc>
      </w:tr>
      <w:tr w14:paraId="1274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op w:val="single" w:color="auto" w:sz="4" w:space="0"/>
              <w:bottom w:val="single" w:color="auto" w:sz="4" w:space="0"/>
              <w:right w:val="single" w:color="auto" w:sz="4" w:space="0"/>
            </w:tcBorders>
            <w:noWrap w:val="0"/>
            <w:vAlign w:val="center"/>
          </w:tcPr>
          <w:p w14:paraId="117F2AB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生态环境</w:t>
            </w:r>
          </w:p>
        </w:tc>
        <w:tc>
          <w:tcPr>
            <w:tcW w:w="4196" w:type="pct"/>
            <w:tcBorders>
              <w:top w:val="single" w:color="auto" w:sz="4" w:space="0"/>
              <w:left w:val="single" w:color="auto" w:sz="4" w:space="0"/>
              <w:bottom w:val="single" w:color="auto" w:sz="4" w:space="0"/>
            </w:tcBorders>
            <w:noWrap w:val="0"/>
            <w:vAlign w:val="center"/>
          </w:tcPr>
          <w:p w14:paraId="4E5CF1E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陆域生态涉及敏感区的外扩1km为评价范围</w:t>
            </w:r>
            <w:r>
              <w:rPr>
                <w:rFonts w:hint="eastAsia" w:cs="Times New Roman"/>
                <w:color w:val="auto"/>
                <w:kern w:val="2"/>
                <w:sz w:val="21"/>
                <w:szCs w:val="24"/>
                <w:lang w:val="en-US" w:eastAsia="zh-CN"/>
              </w:rPr>
              <w:t>；</w:t>
            </w:r>
          </w:p>
          <w:p w14:paraId="41390CD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东洞庭湖国家级自然保护区</w:t>
            </w:r>
            <w:r>
              <w:rPr>
                <w:rFonts w:hint="eastAsia" w:cs="Times New Roman"/>
                <w:color w:val="auto"/>
                <w:kern w:val="2"/>
                <w:sz w:val="21"/>
                <w:szCs w:val="24"/>
                <w:lang w:val="en-US" w:eastAsia="zh-CN"/>
              </w:rPr>
              <w:t>、</w:t>
            </w:r>
            <w:r>
              <w:rPr>
                <w:rFonts w:hint="default" w:ascii="Times New Roman" w:hAnsi="Times New Roman" w:eastAsia="宋体" w:cs="Times New Roman"/>
                <w:color w:val="auto"/>
                <w:kern w:val="2"/>
                <w:sz w:val="21"/>
                <w:szCs w:val="24"/>
                <w:lang w:val="en-US" w:eastAsia="zh-CN"/>
              </w:rPr>
              <w:t>东洞庭湖江豚自然保护区</w:t>
            </w:r>
            <w:r>
              <w:rPr>
                <w:rFonts w:hint="eastAsia" w:cs="Times New Roman"/>
                <w:color w:val="auto"/>
                <w:kern w:val="2"/>
                <w:sz w:val="21"/>
                <w:szCs w:val="24"/>
                <w:lang w:val="en-US" w:eastAsia="zh-CN"/>
              </w:rPr>
              <w:t>、</w:t>
            </w:r>
            <w:r>
              <w:rPr>
                <w:rFonts w:hint="default" w:ascii="Times New Roman" w:hAnsi="Times New Roman" w:eastAsia="宋体" w:cs="Times New Roman"/>
                <w:color w:val="auto"/>
                <w:sz w:val="21"/>
                <w:szCs w:val="21"/>
                <w:u w:val="none" w:color="auto"/>
              </w:rPr>
              <w:t>洞庭湖鲤、鲫、黄颡国家级水产种质资源保护区</w:t>
            </w:r>
            <w:r>
              <w:rPr>
                <w:rFonts w:hint="default" w:ascii="Times New Roman" w:hAnsi="Times New Roman" w:eastAsia="宋体" w:cs="Times New Roman"/>
                <w:color w:val="auto"/>
                <w:kern w:val="2"/>
                <w:sz w:val="21"/>
                <w:szCs w:val="24"/>
                <w:lang w:val="en-US" w:eastAsia="zh-CN"/>
              </w:rPr>
              <w:t>水域范围。</w:t>
            </w:r>
          </w:p>
        </w:tc>
      </w:tr>
      <w:tr w14:paraId="35F0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op w:val="single" w:color="auto" w:sz="4" w:space="0"/>
              <w:right w:val="single" w:color="auto" w:sz="4" w:space="0"/>
            </w:tcBorders>
            <w:noWrap w:val="0"/>
            <w:vAlign w:val="center"/>
          </w:tcPr>
          <w:p w14:paraId="5C89222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环境风险</w:t>
            </w:r>
          </w:p>
        </w:tc>
        <w:tc>
          <w:tcPr>
            <w:tcW w:w="4196" w:type="pct"/>
            <w:tcBorders>
              <w:top w:val="single" w:color="auto" w:sz="4" w:space="0"/>
              <w:left w:val="single" w:color="auto" w:sz="4" w:space="0"/>
            </w:tcBorders>
            <w:noWrap w:val="0"/>
            <w:vAlign w:val="center"/>
          </w:tcPr>
          <w:p w14:paraId="4F62E53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码头上游1km至下游</w:t>
            </w:r>
            <w:r>
              <w:rPr>
                <w:rFonts w:hint="eastAsia" w:cs="Times New Roman"/>
                <w:color w:val="auto"/>
                <w:kern w:val="2"/>
                <w:sz w:val="21"/>
                <w:szCs w:val="24"/>
                <w:lang w:val="en-US" w:eastAsia="zh-CN"/>
              </w:rPr>
              <w:t>3</w:t>
            </w:r>
            <w:r>
              <w:rPr>
                <w:rFonts w:hint="default" w:ascii="Times New Roman" w:hAnsi="Times New Roman" w:eastAsia="宋体" w:cs="Times New Roman"/>
                <w:color w:val="auto"/>
                <w:kern w:val="2"/>
                <w:sz w:val="21"/>
                <w:szCs w:val="24"/>
                <w:lang w:val="en-US" w:eastAsia="zh-CN"/>
              </w:rPr>
              <w:t>km共计</w:t>
            </w:r>
            <w:r>
              <w:rPr>
                <w:rFonts w:hint="eastAsia" w:cs="Times New Roman"/>
                <w:color w:val="auto"/>
                <w:kern w:val="2"/>
                <w:sz w:val="21"/>
                <w:szCs w:val="24"/>
                <w:lang w:val="en-US" w:eastAsia="zh-CN"/>
              </w:rPr>
              <w:t>4</w:t>
            </w:r>
            <w:r>
              <w:rPr>
                <w:rFonts w:hint="default" w:ascii="Times New Roman" w:hAnsi="Times New Roman" w:eastAsia="宋体" w:cs="Times New Roman"/>
                <w:color w:val="auto"/>
                <w:kern w:val="2"/>
                <w:sz w:val="21"/>
                <w:szCs w:val="24"/>
                <w:lang w:val="en-US" w:eastAsia="zh-CN"/>
              </w:rPr>
              <w:t>km的长江水域</w:t>
            </w:r>
          </w:p>
        </w:tc>
      </w:tr>
    </w:tbl>
    <w:p w14:paraId="7FF14E19">
      <w:pPr>
        <w:pStyle w:val="8"/>
        <w:keepNext/>
        <w:keepLines/>
        <w:pageBreakBefore w:val="0"/>
        <w:widowControl w:val="0"/>
        <w:kinsoku/>
        <w:wordWrap/>
        <w:overflowPunct/>
        <w:topLinePunct w:val="0"/>
        <w:autoSpaceDE/>
        <w:autoSpaceDN/>
        <w:bidi w:val="0"/>
        <w:adjustRightInd/>
        <w:snapToGrid/>
        <w:spacing w:before="0" w:after="0" w:line="360" w:lineRule="auto"/>
        <w:ind w:left="578" w:hanging="578"/>
        <w:textAlignment w:val="auto"/>
        <w:rPr>
          <w:rFonts w:hint="default" w:cs="Times New Roman"/>
          <w:color w:val="auto"/>
          <w:sz w:val="28"/>
          <w:szCs w:val="28"/>
          <w:lang w:val="en-US" w:eastAsia="zh-CN"/>
        </w:rPr>
      </w:pPr>
      <w:bookmarkStart w:id="346" w:name="_Toc21882"/>
      <w:bookmarkStart w:id="347" w:name="_Toc21786"/>
      <w:bookmarkStart w:id="348" w:name="_Toc331351315"/>
      <w:bookmarkStart w:id="349" w:name="_Toc353549401"/>
      <w:bookmarkStart w:id="350" w:name="_Toc372124932"/>
      <w:bookmarkStart w:id="351" w:name="_Toc336615588"/>
      <w:bookmarkStart w:id="352" w:name="_Toc10605_WPSOffice_Level2"/>
      <w:bookmarkStart w:id="353" w:name="_Toc1901"/>
      <w:bookmarkStart w:id="354" w:name="_Toc28220"/>
      <w:bookmarkStart w:id="355" w:name="_Toc25186"/>
      <w:bookmarkStart w:id="356" w:name="_Toc28994_WPSOffice_Level2"/>
      <w:bookmarkStart w:id="357" w:name="_Toc20551_WPSOffice_Level2"/>
      <w:bookmarkStart w:id="358" w:name="_Toc19537_WPSOffice_Level2"/>
      <w:bookmarkStart w:id="359" w:name="_Toc10975"/>
      <w:bookmarkStart w:id="360" w:name="_Toc24604"/>
      <w:bookmarkStart w:id="361" w:name="_Toc28408_WPSOffice_Level2"/>
      <w:bookmarkStart w:id="362" w:name="_Toc20892"/>
      <w:bookmarkStart w:id="363" w:name="_Toc8452_WPSOffice_Level2"/>
      <w:bookmarkStart w:id="364" w:name="_Toc17614"/>
      <w:bookmarkStart w:id="365" w:name="_Toc8373_WPSOffice_Level2"/>
      <w:r>
        <w:rPr>
          <w:rFonts w:hint="default" w:ascii="Times New Roman" w:hAnsi="Times New Roman" w:eastAsia="宋体" w:cs="Times New Roman"/>
          <w:color w:val="auto"/>
          <w:sz w:val="28"/>
          <w:szCs w:val="28"/>
        </w:rPr>
        <w:t>2.</w:t>
      </w:r>
      <w:r>
        <w:rPr>
          <w:rFonts w:hint="eastAsia" w:cs="Times New Roman"/>
          <w:color w:val="auto"/>
          <w:sz w:val="28"/>
          <w:szCs w:val="28"/>
          <w:lang w:val="en-US" w:eastAsia="zh-CN"/>
        </w:rPr>
        <w:t>6评价重点</w:t>
      </w:r>
      <w:bookmarkEnd w:id="346"/>
      <w:bookmarkEnd w:id="347"/>
    </w:p>
    <w:p w14:paraId="36EE9D65">
      <w:pPr>
        <w:pStyle w:val="38"/>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本项目对环境污染的特点，在工程分析、环境质量现状监测的基础上，以大气环境影响评价、水环境影响评价、生态环境影响评价、环境风险评价、环境保护措施及其经济技术论证为重点，并对项目选址的合法合理性进行分析等。本项目评价的重点主要包括：</w:t>
      </w:r>
    </w:p>
    <w:p w14:paraId="17ADA918">
      <w:pPr>
        <w:pStyle w:val="38"/>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（1）码头工程施工、运营对长江水质、水生生态、洞庭湖口铜鱼短颌鲚国家级水产种质资源保护区的影响及防治和减缓影响的措施；</w:t>
      </w:r>
    </w:p>
    <w:p w14:paraId="47CDBE72">
      <w:pPr>
        <w:pStyle w:val="38"/>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）营运期废气、废水、噪声的排放对环境的影响以及各类固体废物的产生、处理处置情况；</w:t>
      </w:r>
    </w:p>
    <w:p w14:paraId="297F340E">
      <w:pPr>
        <w:pStyle w:val="38"/>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营运期码头工程可能发生的船舶事故溢油对长江水环境的影响，包括影响范围和程度及拟采取的事故风险防范措施和应急预案等</w:t>
      </w:r>
      <w:r>
        <w:rPr>
          <w:rFonts w:hint="eastAsia" w:cs="Times New Roman"/>
          <w:color w:val="auto"/>
          <w:sz w:val="24"/>
          <w:szCs w:val="24"/>
          <w:lang w:val="en-US" w:eastAsia="zh-CN"/>
        </w:rPr>
        <w:t>。</w:t>
      </w:r>
    </w:p>
    <w:p w14:paraId="6E1010D1">
      <w:pPr>
        <w:pStyle w:val="8"/>
        <w:keepNext/>
        <w:keepLines/>
        <w:pageBreakBefore w:val="0"/>
        <w:widowControl w:val="0"/>
        <w:kinsoku/>
        <w:wordWrap/>
        <w:overflowPunct/>
        <w:topLinePunct w:val="0"/>
        <w:autoSpaceDE/>
        <w:autoSpaceDN/>
        <w:bidi w:val="0"/>
        <w:adjustRightInd/>
        <w:snapToGrid/>
        <w:spacing w:before="0" w:after="0" w:line="360" w:lineRule="auto"/>
        <w:ind w:left="578" w:hanging="578"/>
        <w:textAlignment w:val="auto"/>
        <w:rPr>
          <w:rFonts w:hint="default" w:ascii="Times New Roman" w:hAnsi="Times New Roman" w:eastAsia="宋体" w:cs="Times New Roman"/>
          <w:color w:val="auto"/>
          <w:sz w:val="28"/>
          <w:szCs w:val="28"/>
        </w:rPr>
      </w:pPr>
      <w:bookmarkStart w:id="366" w:name="_Toc19839"/>
      <w:r>
        <w:rPr>
          <w:rFonts w:hint="default" w:ascii="Times New Roman" w:hAnsi="Times New Roman" w:eastAsia="宋体" w:cs="Times New Roman"/>
          <w:color w:val="auto"/>
          <w:sz w:val="28"/>
          <w:szCs w:val="28"/>
        </w:rPr>
        <w:t>2.</w:t>
      </w:r>
      <w:r>
        <w:rPr>
          <w:rFonts w:hint="eastAsia" w:cs="Times New Roman"/>
          <w:color w:val="auto"/>
          <w:sz w:val="28"/>
          <w:szCs w:val="28"/>
          <w:lang w:val="en-US" w:eastAsia="zh-CN"/>
        </w:rPr>
        <w:t>7</w:t>
      </w:r>
      <w:r>
        <w:rPr>
          <w:rFonts w:hint="default" w:ascii="Times New Roman" w:hAnsi="Times New Roman" w:eastAsia="宋体" w:cs="Times New Roman"/>
          <w:color w:val="auto"/>
          <w:sz w:val="28"/>
          <w:szCs w:val="28"/>
        </w:rPr>
        <w:t>环境</w:t>
      </w:r>
      <w:bookmarkEnd w:id="348"/>
      <w:bookmarkEnd w:id="349"/>
      <w:bookmarkEnd w:id="350"/>
      <w:bookmarkEnd w:id="351"/>
      <w:r>
        <w:rPr>
          <w:rFonts w:hint="eastAsia" w:cs="Times New Roman"/>
          <w:color w:val="auto"/>
          <w:sz w:val="28"/>
          <w:szCs w:val="28"/>
          <w:lang w:val="en-US" w:eastAsia="zh-CN"/>
        </w:rPr>
        <w:t>保护</w:t>
      </w:r>
      <w:r>
        <w:rPr>
          <w:rFonts w:hint="default" w:ascii="Times New Roman" w:hAnsi="Times New Roman" w:eastAsia="宋体" w:cs="Times New Roman"/>
          <w:color w:val="auto"/>
          <w:sz w:val="28"/>
          <w:szCs w:val="28"/>
        </w:rPr>
        <w:t>目标</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5B4BF202">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val="en-US" w:eastAsia="zh-CN"/>
        </w:rPr>
      </w:pPr>
      <w:bookmarkStart w:id="367" w:name="_Toc15585"/>
      <w:bookmarkStart w:id="368" w:name="_Toc11454"/>
      <w:bookmarkStart w:id="369" w:name="_Toc6619"/>
      <w:bookmarkStart w:id="370" w:name="_Toc15321"/>
      <w:bookmarkStart w:id="371" w:name="_Toc14164_WPSOffice_Level3"/>
      <w:bookmarkStart w:id="372" w:name="_Toc5870"/>
      <w:bookmarkStart w:id="373" w:name="_Toc29557_WPSOffice_Level3"/>
      <w:bookmarkStart w:id="374" w:name="_Toc4143"/>
      <w:bookmarkStart w:id="375" w:name="_Toc31814"/>
      <w:bookmarkStart w:id="376" w:name="_Toc31381"/>
      <w:bookmarkStart w:id="377" w:name="_Toc2625"/>
      <w:bookmarkStart w:id="378" w:name="_Toc9974"/>
      <w:bookmarkStart w:id="379" w:name="_Toc22145"/>
      <w:bookmarkStart w:id="380" w:name="_Toc15828"/>
      <w:bookmarkStart w:id="381" w:name="_Toc14128"/>
      <w:bookmarkStart w:id="382" w:name="_Toc12397"/>
      <w:bookmarkStart w:id="383" w:name="_Toc29000"/>
      <w:r>
        <w:rPr>
          <w:rFonts w:hint="default" w:ascii="Times New Roman" w:hAnsi="Times New Roman" w:eastAsia="宋体" w:cs="Times New Roman"/>
          <w:color w:val="auto"/>
        </w:rPr>
        <w:t>2.</w:t>
      </w:r>
      <w:r>
        <w:rPr>
          <w:rFonts w:hint="eastAsia" w:cs="Times New Roman"/>
          <w:color w:val="auto"/>
          <w:lang w:val="en-US" w:eastAsia="zh-CN"/>
        </w:rPr>
        <w:t>6</w:t>
      </w:r>
      <w:r>
        <w:rPr>
          <w:rFonts w:hint="default" w:ascii="Times New Roman" w:hAnsi="Times New Roman" w:eastAsia="宋体" w:cs="Times New Roman"/>
          <w:color w:val="auto"/>
        </w:rPr>
        <w:t>.1</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Pr>
          <w:rFonts w:hint="eastAsia" w:cs="Times New Roman"/>
          <w:color w:val="auto"/>
          <w:lang w:val="en-US" w:eastAsia="zh-CN"/>
        </w:rPr>
        <w:t>水环境保护目标</w:t>
      </w:r>
      <w:bookmarkEnd w:id="383"/>
    </w:p>
    <w:p w14:paraId="15E41D81">
      <w:pPr>
        <w:pStyle w:val="38"/>
        <w:pageBreakBefore w:val="0"/>
        <w:kinsoku/>
        <w:wordWrap/>
        <w:overflowPunct/>
        <w:topLinePunct w:val="0"/>
        <w:autoSpaceDE/>
        <w:autoSpaceDN/>
        <w:bidi w:val="0"/>
        <w:adjustRightInd/>
        <w:snapToGrid/>
        <w:spacing w:line="360" w:lineRule="auto"/>
        <w:ind w:firstLine="480"/>
        <w:textAlignment w:val="auto"/>
        <w:rPr>
          <w:rFonts w:hint="default"/>
          <w:color w:val="auto"/>
        </w:rPr>
      </w:pPr>
      <w:r>
        <w:rPr>
          <w:rFonts w:hint="default"/>
          <w:color w:val="auto"/>
        </w:rPr>
        <w:t>本项目码头工程选址不涉及饮用水水源地。项目地表水保护目标见下表。</w:t>
      </w:r>
    </w:p>
    <w:p w14:paraId="38244245">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项目水环境保护目标一览表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765"/>
        <w:gridCol w:w="705"/>
        <w:gridCol w:w="2235"/>
        <w:gridCol w:w="4012"/>
      </w:tblGrid>
      <w:tr w14:paraId="3B30E0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3" w:type="dxa"/>
            <w:shd w:val="clear" w:color="auto" w:fill="auto"/>
            <w:noWrap w:val="0"/>
            <w:vAlign w:val="center"/>
          </w:tcPr>
          <w:p w14:paraId="237FF7C1">
            <w:pPr>
              <w:pStyle w:val="41"/>
              <w:bidi w:val="0"/>
              <w:rPr>
                <w:rFonts w:hint="eastAsia" w:ascii="Times New Roman" w:hAnsi="Times New Roman" w:eastAsia="宋体" w:cs="Times New Roman"/>
                <w:color w:val="auto"/>
                <w:lang w:eastAsia="zh-CN"/>
              </w:rPr>
            </w:pPr>
            <w:r>
              <w:rPr>
                <w:rFonts w:hint="eastAsia" w:cs="Times New Roman"/>
                <w:color w:val="auto"/>
                <w:lang w:val="en-US" w:eastAsia="zh-CN"/>
              </w:rPr>
              <w:t>序号</w:t>
            </w:r>
          </w:p>
        </w:tc>
        <w:tc>
          <w:tcPr>
            <w:tcW w:w="765" w:type="dxa"/>
            <w:shd w:val="clear" w:color="auto" w:fill="auto"/>
            <w:noWrap w:val="0"/>
            <w:vAlign w:val="center"/>
          </w:tcPr>
          <w:p w14:paraId="50B66CA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环境保护目标</w:t>
            </w:r>
          </w:p>
        </w:tc>
        <w:tc>
          <w:tcPr>
            <w:tcW w:w="705" w:type="dxa"/>
            <w:shd w:val="clear" w:color="auto" w:fill="auto"/>
            <w:noWrap w:val="0"/>
            <w:vAlign w:val="center"/>
          </w:tcPr>
          <w:p w14:paraId="4D1AEE3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方位</w:t>
            </w:r>
            <w:r>
              <w:rPr>
                <w:rFonts w:hint="eastAsia" w:cs="Times New Roman"/>
                <w:color w:val="auto"/>
                <w:lang w:eastAsia="zh-CN"/>
              </w:rPr>
              <w:t>、</w:t>
            </w:r>
            <w:r>
              <w:rPr>
                <w:rFonts w:hint="default" w:ascii="Times New Roman" w:hAnsi="Times New Roman" w:eastAsia="宋体" w:cs="Times New Roman"/>
                <w:color w:val="auto"/>
              </w:rPr>
              <w:t>距离</w:t>
            </w:r>
          </w:p>
        </w:tc>
        <w:tc>
          <w:tcPr>
            <w:tcW w:w="2235" w:type="dxa"/>
            <w:shd w:val="clear" w:color="auto" w:fill="auto"/>
            <w:noWrap w:val="0"/>
            <w:vAlign w:val="center"/>
          </w:tcPr>
          <w:p w14:paraId="569E20B0">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c>
          <w:tcPr>
            <w:tcW w:w="4012" w:type="dxa"/>
            <w:shd w:val="clear" w:color="auto" w:fill="auto"/>
            <w:noWrap w:val="0"/>
            <w:vAlign w:val="center"/>
          </w:tcPr>
          <w:p w14:paraId="3130B50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保护对象及等级</w:t>
            </w:r>
          </w:p>
        </w:tc>
      </w:tr>
      <w:tr w14:paraId="1AA019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503" w:type="dxa"/>
            <w:noWrap w:val="0"/>
            <w:vAlign w:val="center"/>
          </w:tcPr>
          <w:p w14:paraId="08D8F37E">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765" w:type="dxa"/>
            <w:noWrap w:val="0"/>
            <w:vAlign w:val="center"/>
          </w:tcPr>
          <w:p w14:paraId="3D020B76">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洞庭湖</w:t>
            </w:r>
          </w:p>
        </w:tc>
        <w:tc>
          <w:tcPr>
            <w:tcW w:w="705" w:type="dxa"/>
            <w:noWrap w:val="0"/>
            <w:vAlign w:val="center"/>
          </w:tcPr>
          <w:p w14:paraId="39460CF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紧邻</w:t>
            </w:r>
          </w:p>
        </w:tc>
        <w:tc>
          <w:tcPr>
            <w:tcW w:w="2235" w:type="dxa"/>
            <w:noWrap w:val="0"/>
            <w:vAlign w:val="center"/>
          </w:tcPr>
          <w:p w14:paraId="21C556FE">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《地表水环境质量标准》（GB3838-2002）Ⅲ类标准，属渔业用水区</w:t>
            </w:r>
          </w:p>
        </w:tc>
        <w:tc>
          <w:tcPr>
            <w:tcW w:w="4012" w:type="dxa"/>
            <w:noWrap w:val="0"/>
            <w:vAlign w:val="center"/>
          </w:tcPr>
          <w:p w14:paraId="477F7C0B">
            <w:pPr>
              <w:pStyle w:val="41"/>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洞庭湖处于长江中游荆江南岸，北纳长江的松滋、太平、藕池、调弦四口来水，南和西接湘、资、沅、澧四水及汨罗江等小支流，由岳阳市城陵矶注入长江。洪道面积有3879.2平方公里（或4040平方公里）。湖盆周长为803.2公里，总容积220亿立方米，其中天然湖泊容积178亿立方米，河道容积42亿立方米。</w:t>
            </w:r>
          </w:p>
        </w:tc>
      </w:tr>
      <w:tr w14:paraId="1E4701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503" w:type="dxa"/>
            <w:noWrap w:val="0"/>
            <w:vAlign w:val="center"/>
          </w:tcPr>
          <w:p w14:paraId="64353676">
            <w:pPr>
              <w:pStyle w:val="41"/>
              <w:bidi w:val="0"/>
              <w:rPr>
                <w:rFonts w:hint="default" w:cs="Times New Roman"/>
                <w:color w:val="auto"/>
                <w:lang w:val="en-US" w:eastAsia="zh-CN"/>
              </w:rPr>
            </w:pPr>
            <w:r>
              <w:rPr>
                <w:rFonts w:hint="eastAsia" w:cs="Times New Roman"/>
                <w:color w:val="auto"/>
                <w:lang w:val="en-US" w:eastAsia="zh-CN"/>
              </w:rPr>
              <w:t>2</w:t>
            </w:r>
          </w:p>
        </w:tc>
        <w:tc>
          <w:tcPr>
            <w:tcW w:w="765" w:type="dxa"/>
            <w:noWrap w:val="0"/>
            <w:vAlign w:val="center"/>
          </w:tcPr>
          <w:p w14:paraId="6449F9B0">
            <w:pPr>
              <w:pStyle w:val="41"/>
              <w:bidi w:val="0"/>
              <w:rPr>
                <w:rFonts w:hint="eastAsia" w:cs="Times New Roman"/>
                <w:color w:val="auto"/>
                <w:lang w:val="en-US" w:eastAsia="zh-CN"/>
              </w:rPr>
            </w:pPr>
            <w:r>
              <w:rPr>
                <w:rFonts w:hint="eastAsia" w:ascii="Times New Roman" w:hAnsi="Times New Roman"/>
                <w:color w:val="auto"/>
                <w:szCs w:val="21"/>
              </w:rPr>
              <w:t>鹿角国控断面</w:t>
            </w:r>
          </w:p>
        </w:tc>
        <w:tc>
          <w:tcPr>
            <w:tcW w:w="705" w:type="dxa"/>
            <w:noWrap w:val="0"/>
            <w:vAlign w:val="center"/>
          </w:tcPr>
          <w:p w14:paraId="3861FD8B">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E，1364</w:t>
            </w:r>
          </w:p>
        </w:tc>
        <w:tc>
          <w:tcPr>
            <w:tcW w:w="2235" w:type="dxa"/>
            <w:noWrap w:val="0"/>
            <w:vAlign w:val="center"/>
          </w:tcPr>
          <w:p w14:paraId="21BD0C1F">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《地表水环境质量标准》（GB3838-2002）Ⅲ类标准，属渔业用水区</w:t>
            </w:r>
          </w:p>
        </w:tc>
        <w:tc>
          <w:tcPr>
            <w:tcW w:w="4012" w:type="dxa"/>
            <w:noWrap w:val="0"/>
            <w:vAlign w:val="center"/>
          </w:tcPr>
          <w:p w14:paraId="7A5DF439">
            <w:pPr>
              <w:pStyle w:val="41"/>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鹿角国控断面（经度：112.98861，纬度：29.15417）；</w:t>
            </w:r>
          </w:p>
          <w:p w14:paraId="3E8C1B9A">
            <w:pPr>
              <w:pStyle w:val="41"/>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断面属性：控制；</w:t>
            </w:r>
          </w:p>
          <w:p w14:paraId="23D4F15A">
            <w:pPr>
              <w:pStyle w:val="41"/>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所代表一级功能区：东洞庭湖自然保护区。</w:t>
            </w:r>
          </w:p>
        </w:tc>
      </w:tr>
    </w:tbl>
    <w:p w14:paraId="1EB73B7F">
      <w:pPr>
        <w:pStyle w:val="9"/>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color w:val="auto"/>
          <w:sz w:val="24"/>
          <w:szCs w:val="24"/>
          <w:lang w:val="en-US" w:eastAsia="zh-CN"/>
        </w:rPr>
      </w:pPr>
      <w:bookmarkStart w:id="384" w:name="_Toc9293"/>
      <w:bookmarkStart w:id="385" w:name="_Toc10661"/>
      <w:bookmarkStart w:id="386" w:name="_Toc9880"/>
      <w:bookmarkStart w:id="387" w:name="_Toc24616_WPSOffice_Level3"/>
      <w:bookmarkStart w:id="388" w:name="_Toc6917"/>
      <w:bookmarkStart w:id="389" w:name="_Toc20139"/>
      <w:bookmarkStart w:id="390" w:name="_Toc8963"/>
      <w:bookmarkStart w:id="391" w:name="_Toc22430"/>
      <w:bookmarkStart w:id="392" w:name="_Toc28930"/>
      <w:bookmarkStart w:id="393" w:name="_Toc1265"/>
      <w:bookmarkStart w:id="394" w:name="_Toc19430"/>
      <w:bookmarkStart w:id="395" w:name="_Toc23839"/>
      <w:bookmarkStart w:id="396" w:name="_Toc16169_WPSOffice_Level3"/>
      <w:bookmarkStart w:id="397" w:name="_Toc12799"/>
      <w:bookmarkStart w:id="398" w:name="_Toc2046"/>
      <w:bookmarkStart w:id="399" w:name="_Toc28937"/>
      <w:bookmarkStart w:id="400" w:name="_Toc18063"/>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.2</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rFonts w:hint="eastAsia" w:cs="Times New Roman"/>
          <w:color w:val="auto"/>
          <w:sz w:val="24"/>
          <w:szCs w:val="24"/>
          <w:lang w:val="en-US" w:eastAsia="zh-CN"/>
        </w:rPr>
        <w:t xml:space="preserve"> 环境空气、声环境保护目标</w:t>
      </w:r>
      <w:bookmarkEnd w:id="400"/>
    </w:p>
    <w:p w14:paraId="1F5170B6">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根据现场勘查，项目评价范围内的</w:t>
      </w:r>
      <w:r>
        <w:rPr>
          <w:rFonts w:hint="eastAsia" w:cs="Times New Roman"/>
          <w:color w:val="auto"/>
          <w:sz w:val="24"/>
          <w:szCs w:val="24"/>
          <w:lang w:val="en-US" w:eastAsia="zh-CN"/>
        </w:rPr>
        <w:t>环境空气、声</w:t>
      </w:r>
      <w:r>
        <w:rPr>
          <w:rFonts w:hint="default" w:ascii="Times New Roman" w:hAnsi="Times New Roman" w:eastAsia="宋体" w:cs="Times New Roman"/>
          <w:color w:val="auto"/>
          <w:sz w:val="24"/>
          <w:szCs w:val="24"/>
        </w:rPr>
        <w:t>环境敏感保护目标鹿角镇居民。项目环境空气、声环境敏感保护目标详见表2.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w:t>
      </w:r>
    </w:p>
    <w:p w14:paraId="4FBB1885">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-2 项目噪声、环境空气保护目标</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384"/>
        <w:gridCol w:w="1350"/>
        <w:gridCol w:w="1583"/>
        <w:gridCol w:w="1283"/>
        <w:gridCol w:w="1385"/>
      </w:tblGrid>
      <w:tr w14:paraId="407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5" w:type="dxa"/>
            <w:vMerge w:val="restart"/>
            <w:shd w:val="clear" w:color="auto" w:fill="auto"/>
            <w:noWrap w:val="0"/>
            <w:vAlign w:val="center"/>
          </w:tcPr>
          <w:p w14:paraId="191CF4E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名称</w:t>
            </w:r>
          </w:p>
        </w:tc>
        <w:tc>
          <w:tcPr>
            <w:tcW w:w="2734" w:type="dxa"/>
            <w:gridSpan w:val="2"/>
            <w:shd w:val="clear" w:color="auto" w:fill="auto"/>
            <w:noWrap w:val="0"/>
            <w:vAlign w:val="center"/>
          </w:tcPr>
          <w:p w14:paraId="3181E935">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坐标</w:t>
            </w:r>
          </w:p>
        </w:tc>
        <w:tc>
          <w:tcPr>
            <w:tcW w:w="1583" w:type="dxa"/>
            <w:vMerge w:val="restart"/>
            <w:shd w:val="clear" w:color="auto" w:fill="auto"/>
            <w:noWrap w:val="0"/>
            <w:vAlign w:val="center"/>
          </w:tcPr>
          <w:p w14:paraId="500E786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保护对象</w:t>
            </w:r>
            <w:r>
              <w:rPr>
                <w:rFonts w:hint="eastAsia" w:cs="Times New Roman"/>
                <w:b/>
                <w:bCs/>
                <w:color w:val="auto"/>
                <w:sz w:val="21"/>
                <w:szCs w:val="21"/>
                <w:vertAlign w:val="baseline"/>
                <w:lang w:val="en-US" w:eastAsia="zh-CN"/>
              </w:rPr>
              <w:t>及规模</w:t>
            </w:r>
          </w:p>
        </w:tc>
        <w:tc>
          <w:tcPr>
            <w:tcW w:w="1283" w:type="dxa"/>
            <w:vMerge w:val="restart"/>
            <w:shd w:val="clear" w:color="auto" w:fill="auto"/>
            <w:noWrap w:val="0"/>
            <w:vAlign w:val="center"/>
          </w:tcPr>
          <w:p w14:paraId="7798696A">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方位</w:t>
            </w:r>
            <w:r>
              <w:rPr>
                <w:rFonts w:hint="eastAsia" w:cs="Times New Roman"/>
                <w:b/>
                <w:bCs/>
                <w:color w:val="auto"/>
                <w:sz w:val="21"/>
                <w:szCs w:val="21"/>
                <w:vertAlign w:val="baseline"/>
                <w:lang w:eastAsia="zh-CN"/>
              </w:rPr>
              <w:t>、</w:t>
            </w:r>
            <w:r>
              <w:rPr>
                <w:rFonts w:hint="default" w:ascii="Times New Roman" w:hAnsi="Times New Roman" w:eastAsia="宋体" w:cs="Times New Roman"/>
                <w:b/>
                <w:bCs/>
                <w:color w:val="auto"/>
                <w:sz w:val="21"/>
                <w:szCs w:val="21"/>
                <w:vertAlign w:val="baseline"/>
                <w:lang w:val="en-US" w:eastAsia="zh-CN"/>
              </w:rPr>
              <w:t>距离</w:t>
            </w:r>
          </w:p>
        </w:tc>
        <w:tc>
          <w:tcPr>
            <w:tcW w:w="1385" w:type="dxa"/>
            <w:vMerge w:val="restart"/>
            <w:shd w:val="clear" w:color="auto" w:fill="auto"/>
            <w:noWrap w:val="0"/>
            <w:vAlign w:val="center"/>
          </w:tcPr>
          <w:p w14:paraId="100396AF">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环境功能区</w:t>
            </w:r>
          </w:p>
        </w:tc>
      </w:tr>
      <w:tr w14:paraId="1ABD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5" w:type="dxa"/>
            <w:vMerge w:val="continue"/>
            <w:shd w:val="clear" w:color="auto" w:fill="D7D7D7"/>
            <w:noWrap w:val="0"/>
            <w:vAlign w:val="center"/>
          </w:tcPr>
          <w:p w14:paraId="34730BB2">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p>
        </w:tc>
        <w:tc>
          <w:tcPr>
            <w:tcW w:w="1384" w:type="dxa"/>
            <w:shd w:val="clear" w:color="auto" w:fill="auto"/>
            <w:noWrap w:val="0"/>
            <w:vAlign w:val="center"/>
          </w:tcPr>
          <w:p w14:paraId="6C9CA1ED">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经度</w:t>
            </w:r>
          </w:p>
        </w:tc>
        <w:tc>
          <w:tcPr>
            <w:tcW w:w="1350" w:type="dxa"/>
            <w:shd w:val="clear" w:color="auto" w:fill="auto"/>
            <w:noWrap w:val="0"/>
            <w:vAlign w:val="center"/>
          </w:tcPr>
          <w:p w14:paraId="31179713">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纬度</w:t>
            </w:r>
          </w:p>
        </w:tc>
        <w:tc>
          <w:tcPr>
            <w:tcW w:w="1583" w:type="dxa"/>
            <w:vMerge w:val="continue"/>
            <w:shd w:val="clear" w:color="auto" w:fill="D7D7D7"/>
            <w:noWrap w:val="0"/>
            <w:vAlign w:val="center"/>
          </w:tcPr>
          <w:p w14:paraId="79CB8FB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eastAsia="zh-CN"/>
              </w:rPr>
            </w:pPr>
          </w:p>
        </w:tc>
        <w:tc>
          <w:tcPr>
            <w:tcW w:w="1283" w:type="dxa"/>
            <w:vMerge w:val="continue"/>
            <w:shd w:val="clear" w:color="auto" w:fill="D7D7D7"/>
            <w:noWrap w:val="0"/>
            <w:vAlign w:val="center"/>
          </w:tcPr>
          <w:p w14:paraId="50FC3F24">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eastAsia="zh-CN"/>
              </w:rPr>
            </w:pPr>
          </w:p>
        </w:tc>
        <w:tc>
          <w:tcPr>
            <w:tcW w:w="1385" w:type="dxa"/>
            <w:vMerge w:val="continue"/>
            <w:shd w:val="clear" w:color="auto" w:fill="D7D7D7"/>
            <w:noWrap w:val="0"/>
            <w:vAlign w:val="center"/>
          </w:tcPr>
          <w:p w14:paraId="2BA535D7">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2BEB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5" w:type="dxa"/>
            <w:shd w:val="clear" w:color="auto" w:fill="auto"/>
            <w:noWrap w:val="0"/>
            <w:vAlign w:val="center"/>
          </w:tcPr>
          <w:p w14:paraId="6981FF20">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鹿角镇</w:t>
            </w:r>
            <w:r>
              <w:rPr>
                <w:rFonts w:hint="default" w:ascii="Times New Roman" w:hAnsi="Times New Roman" w:eastAsia="宋体" w:cs="Times New Roman"/>
                <w:color w:val="auto"/>
                <w:sz w:val="21"/>
                <w:szCs w:val="21"/>
                <w:lang w:val="en-US" w:eastAsia="zh-CN"/>
              </w:rPr>
              <w:t>居民</w:t>
            </w:r>
            <w:r>
              <w:rPr>
                <w:rFonts w:hint="eastAsia" w:cs="Times New Roman"/>
                <w:color w:val="auto"/>
                <w:sz w:val="21"/>
                <w:szCs w:val="21"/>
                <w:lang w:val="en-US" w:eastAsia="zh-CN"/>
              </w:rPr>
              <w:t>点</w:t>
            </w:r>
          </w:p>
        </w:tc>
        <w:tc>
          <w:tcPr>
            <w:tcW w:w="1384" w:type="dxa"/>
            <w:shd w:val="clear" w:color="auto" w:fill="auto"/>
            <w:noWrap w:val="0"/>
            <w:vAlign w:val="center"/>
          </w:tcPr>
          <w:p w14:paraId="498D7BFB">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113.004161888</w:t>
            </w:r>
          </w:p>
        </w:tc>
        <w:tc>
          <w:tcPr>
            <w:tcW w:w="1350" w:type="dxa"/>
            <w:shd w:val="clear" w:color="auto" w:fill="auto"/>
            <w:noWrap w:val="0"/>
            <w:vAlign w:val="center"/>
          </w:tcPr>
          <w:p w14:paraId="3C34606F">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vertAlign w:val="baseline"/>
                <w:lang w:eastAsia="zh-CN"/>
              </w:rPr>
              <w:t>29.157927951</w:t>
            </w:r>
          </w:p>
        </w:tc>
        <w:tc>
          <w:tcPr>
            <w:tcW w:w="1583" w:type="dxa"/>
            <w:shd w:val="clear" w:color="auto" w:fill="auto"/>
            <w:noWrap w:val="0"/>
            <w:vAlign w:val="center"/>
          </w:tcPr>
          <w:p w14:paraId="7783BD04">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cs="Times New Roman"/>
                <w:color w:val="auto"/>
                <w:sz w:val="21"/>
                <w:szCs w:val="21"/>
                <w:vertAlign w:val="baseline"/>
                <w:lang w:val="en-US" w:eastAsia="zh-CN"/>
              </w:rPr>
              <w:t>，约100户</w:t>
            </w:r>
          </w:p>
        </w:tc>
        <w:tc>
          <w:tcPr>
            <w:tcW w:w="1283" w:type="dxa"/>
            <w:shd w:val="clear" w:color="auto" w:fill="auto"/>
            <w:noWrap w:val="0"/>
            <w:vAlign w:val="center"/>
          </w:tcPr>
          <w:p w14:paraId="7F26ADD3">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东北</w:t>
            </w:r>
            <w:r>
              <w:rPr>
                <w:rFonts w:hint="eastAsia" w:cs="Times New Roman"/>
                <w:color w:val="auto"/>
                <w:sz w:val="21"/>
                <w:szCs w:val="21"/>
                <w:vertAlign w:val="baseline"/>
                <w:lang w:val="en-US" w:eastAsia="zh-CN"/>
              </w:rPr>
              <w:t>，43m</w:t>
            </w:r>
          </w:p>
        </w:tc>
        <w:tc>
          <w:tcPr>
            <w:tcW w:w="1385" w:type="dxa"/>
            <w:vMerge w:val="restart"/>
            <w:shd w:val="clear" w:color="auto" w:fill="D7D7D7"/>
            <w:noWrap w:val="0"/>
            <w:vAlign w:val="center"/>
          </w:tcPr>
          <w:p w14:paraId="5CDCDA82">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《声环境质量标准》（GB3096-2008）2类</w:t>
            </w:r>
          </w:p>
        </w:tc>
      </w:tr>
      <w:tr w14:paraId="6775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5" w:type="dxa"/>
            <w:shd w:val="clear" w:color="auto" w:fill="auto"/>
            <w:noWrap w:val="0"/>
            <w:vAlign w:val="center"/>
          </w:tcPr>
          <w:p w14:paraId="2269F189">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道姑岭</w:t>
            </w:r>
            <w:r>
              <w:rPr>
                <w:rFonts w:hint="default" w:ascii="Times New Roman" w:hAnsi="Times New Roman" w:eastAsia="宋体" w:cs="Times New Roman"/>
                <w:color w:val="auto"/>
                <w:sz w:val="21"/>
                <w:szCs w:val="21"/>
                <w:lang w:val="en-US" w:eastAsia="zh-CN"/>
              </w:rPr>
              <w:t>居民</w:t>
            </w:r>
            <w:r>
              <w:rPr>
                <w:rFonts w:hint="eastAsia" w:cs="Times New Roman"/>
                <w:color w:val="auto"/>
                <w:sz w:val="21"/>
                <w:szCs w:val="21"/>
                <w:lang w:val="en-US" w:eastAsia="zh-CN"/>
              </w:rPr>
              <w:t>点</w:t>
            </w:r>
          </w:p>
        </w:tc>
        <w:tc>
          <w:tcPr>
            <w:tcW w:w="1384" w:type="dxa"/>
            <w:shd w:val="clear" w:color="auto" w:fill="auto"/>
            <w:noWrap w:val="0"/>
            <w:vAlign w:val="center"/>
          </w:tcPr>
          <w:p w14:paraId="24F65468">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113.003260666</w:t>
            </w:r>
          </w:p>
        </w:tc>
        <w:tc>
          <w:tcPr>
            <w:tcW w:w="1350" w:type="dxa"/>
            <w:shd w:val="clear" w:color="auto" w:fill="auto"/>
            <w:noWrap w:val="0"/>
            <w:vAlign w:val="center"/>
          </w:tcPr>
          <w:p w14:paraId="0A79539B">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29.155224284</w:t>
            </w:r>
          </w:p>
        </w:tc>
        <w:tc>
          <w:tcPr>
            <w:tcW w:w="1583" w:type="dxa"/>
            <w:shd w:val="clear" w:color="auto" w:fill="auto"/>
            <w:noWrap w:val="0"/>
            <w:vAlign w:val="center"/>
          </w:tcPr>
          <w:p w14:paraId="11483FA8">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cs="Times New Roman"/>
                <w:color w:val="auto"/>
                <w:sz w:val="21"/>
                <w:szCs w:val="21"/>
                <w:vertAlign w:val="baseline"/>
                <w:lang w:val="en-US" w:eastAsia="zh-CN"/>
              </w:rPr>
              <w:t>，约30户</w:t>
            </w:r>
          </w:p>
        </w:tc>
        <w:tc>
          <w:tcPr>
            <w:tcW w:w="1283" w:type="dxa"/>
            <w:shd w:val="clear" w:color="auto" w:fill="auto"/>
            <w:noWrap w:val="0"/>
            <w:vAlign w:val="center"/>
          </w:tcPr>
          <w:p w14:paraId="485026D5">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sz w:val="21"/>
                <w:szCs w:val="21"/>
                <w:vertAlign w:val="baseline"/>
                <w:lang w:val="en-US" w:eastAsia="zh-CN"/>
              </w:rPr>
              <w:t>东，120m</w:t>
            </w:r>
          </w:p>
        </w:tc>
        <w:tc>
          <w:tcPr>
            <w:tcW w:w="1385" w:type="dxa"/>
            <w:vMerge w:val="continue"/>
            <w:shd w:val="clear" w:color="auto" w:fill="D7D7D7"/>
            <w:noWrap w:val="0"/>
            <w:vAlign w:val="center"/>
          </w:tcPr>
          <w:p w14:paraId="6EB3A14C">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7427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0241BCBC">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鹿角镇</w:t>
            </w:r>
            <w:r>
              <w:rPr>
                <w:rFonts w:hint="default" w:ascii="Times New Roman" w:hAnsi="Times New Roman" w:eastAsia="宋体" w:cs="Times New Roman"/>
                <w:color w:val="auto"/>
                <w:sz w:val="21"/>
                <w:szCs w:val="21"/>
                <w:lang w:val="en-US" w:eastAsia="zh-CN"/>
              </w:rPr>
              <w:t>居民</w:t>
            </w:r>
            <w:r>
              <w:rPr>
                <w:rFonts w:hint="eastAsia" w:cs="Times New Roman"/>
                <w:color w:val="auto"/>
                <w:sz w:val="21"/>
                <w:szCs w:val="21"/>
                <w:lang w:val="en-US" w:eastAsia="zh-CN"/>
              </w:rPr>
              <w:t>点</w:t>
            </w:r>
          </w:p>
        </w:tc>
        <w:tc>
          <w:tcPr>
            <w:tcW w:w="1384" w:type="dxa"/>
            <w:noWrap w:val="0"/>
            <w:vAlign w:val="center"/>
          </w:tcPr>
          <w:p w14:paraId="279D15E2">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113.004161888</w:t>
            </w:r>
          </w:p>
        </w:tc>
        <w:tc>
          <w:tcPr>
            <w:tcW w:w="1350" w:type="dxa"/>
            <w:noWrap w:val="0"/>
            <w:vAlign w:val="center"/>
          </w:tcPr>
          <w:p w14:paraId="61948A75">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29.157927951</w:t>
            </w:r>
          </w:p>
        </w:tc>
        <w:tc>
          <w:tcPr>
            <w:tcW w:w="1583" w:type="dxa"/>
            <w:noWrap w:val="0"/>
            <w:vAlign w:val="center"/>
          </w:tcPr>
          <w:p w14:paraId="586B996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cs="Times New Roman"/>
                <w:color w:val="auto"/>
                <w:sz w:val="21"/>
                <w:szCs w:val="21"/>
                <w:vertAlign w:val="baseline"/>
                <w:lang w:val="en-US" w:eastAsia="zh-CN"/>
              </w:rPr>
              <w:t>，约100户</w:t>
            </w:r>
          </w:p>
        </w:tc>
        <w:tc>
          <w:tcPr>
            <w:tcW w:w="1283" w:type="dxa"/>
            <w:noWrap w:val="0"/>
            <w:vAlign w:val="center"/>
          </w:tcPr>
          <w:p w14:paraId="3E06DC3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东北</w:t>
            </w:r>
            <w:r>
              <w:rPr>
                <w:rFonts w:hint="eastAsia" w:cs="Times New Roman"/>
                <w:color w:val="auto"/>
                <w:sz w:val="21"/>
                <w:szCs w:val="21"/>
                <w:vertAlign w:val="baseline"/>
                <w:lang w:val="en-US" w:eastAsia="zh-CN"/>
              </w:rPr>
              <w:t>，43m</w:t>
            </w:r>
          </w:p>
        </w:tc>
        <w:tc>
          <w:tcPr>
            <w:tcW w:w="1385" w:type="dxa"/>
            <w:vMerge w:val="restart"/>
            <w:noWrap w:val="0"/>
            <w:vAlign w:val="center"/>
          </w:tcPr>
          <w:p w14:paraId="4566B5C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二类区，执行《环境空气质量标准》（GB3095-2012）二级</w:t>
            </w:r>
          </w:p>
        </w:tc>
      </w:tr>
      <w:tr w14:paraId="2AA0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6C4BA051">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道姑岭</w:t>
            </w:r>
            <w:r>
              <w:rPr>
                <w:rFonts w:hint="default" w:ascii="Times New Roman" w:hAnsi="Times New Roman" w:eastAsia="宋体" w:cs="Times New Roman"/>
                <w:color w:val="auto"/>
                <w:sz w:val="21"/>
                <w:szCs w:val="21"/>
                <w:lang w:val="en-US" w:eastAsia="zh-CN"/>
              </w:rPr>
              <w:t>居民</w:t>
            </w:r>
            <w:r>
              <w:rPr>
                <w:rFonts w:hint="eastAsia" w:cs="Times New Roman"/>
                <w:color w:val="auto"/>
                <w:sz w:val="21"/>
                <w:szCs w:val="21"/>
                <w:lang w:val="en-US" w:eastAsia="zh-CN"/>
              </w:rPr>
              <w:t>点</w:t>
            </w:r>
          </w:p>
        </w:tc>
        <w:tc>
          <w:tcPr>
            <w:tcW w:w="1384" w:type="dxa"/>
            <w:noWrap w:val="0"/>
            <w:vAlign w:val="center"/>
          </w:tcPr>
          <w:p w14:paraId="0844CEEE">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113.003260666</w:t>
            </w:r>
          </w:p>
        </w:tc>
        <w:tc>
          <w:tcPr>
            <w:tcW w:w="1350" w:type="dxa"/>
            <w:noWrap w:val="0"/>
            <w:vAlign w:val="center"/>
          </w:tcPr>
          <w:p w14:paraId="3031B6F9">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29.155224284</w:t>
            </w:r>
          </w:p>
        </w:tc>
        <w:tc>
          <w:tcPr>
            <w:tcW w:w="1583" w:type="dxa"/>
            <w:noWrap w:val="0"/>
            <w:vAlign w:val="center"/>
          </w:tcPr>
          <w:p w14:paraId="48014753">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cs="Times New Roman"/>
                <w:color w:val="auto"/>
                <w:sz w:val="21"/>
                <w:szCs w:val="21"/>
                <w:vertAlign w:val="baseline"/>
                <w:lang w:val="en-US" w:eastAsia="zh-CN"/>
              </w:rPr>
              <w:t>，约30户</w:t>
            </w:r>
          </w:p>
        </w:tc>
        <w:tc>
          <w:tcPr>
            <w:tcW w:w="1283" w:type="dxa"/>
            <w:noWrap w:val="0"/>
            <w:vAlign w:val="center"/>
          </w:tcPr>
          <w:p w14:paraId="48344C5F">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东，120m</w:t>
            </w:r>
          </w:p>
        </w:tc>
        <w:tc>
          <w:tcPr>
            <w:tcW w:w="1385" w:type="dxa"/>
            <w:vMerge w:val="continue"/>
            <w:noWrap w:val="0"/>
            <w:vAlign w:val="center"/>
          </w:tcPr>
          <w:p w14:paraId="1D7FCC70">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2F88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4380F2DC">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黄四年居民点</w:t>
            </w:r>
          </w:p>
        </w:tc>
        <w:tc>
          <w:tcPr>
            <w:tcW w:w="1384" w:type="dxa"/>
            <w:noWrap w:val="0"/>
            <w:vAlign w:val="center"/>
          </w:tcPr>
          <w:p w14:paraId="71F3FD0C">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113.009166890</w:t>
            </w:r>
          </w:p>
        </w:tc>
        <w:tc>
          <w:tcPr>
            <w:tcW w:w="1350" w:type="dxa"/>
            <w:noWrap w:val="0"/>
            <w:vAlign w:val="center"/>
          </w:tcPr>
          <w:p w14:paraId="4311BC5E">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29.152681550</w:t>
            </w:r>
          </w:p>
        </w:tc>
        <w:tc>
          <w:tcPr>
            <w:tcW w:w="1583" w:type="dxa"/>
            <w:noWrap w:val="0"/>
            <w:vAlign w:val="center"/>
          </w:tcPr>
          <w:p w14:paraId="46BF4A0E">
            <w:pPr>
              <w:keepNext w:val="0"/>
              <w:keepLines w:val="0"/>
              <w:widowControl w:val="0"/>
              <w:suppressLineNumbers w:val="0"/>
              <w:bidi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cs="Times New Roman"/>
                <w:color w:val="auto"/>
                <w:sz w:val="21"/>
                <w:szCs w:val="21"/>
                <w:vertAlign w:val="baseline"/>
                <w:lang w:val="en-US" w:eastAsia="zh-CN"/>
              </w:rPr>
              <w:t>，约50户</w:t>
            </w:r>
          </w:p>
        </w:tc>
        <w:tc>
          <w:tcPr>
            <w:tcW w:w="1283" w:type="dxa"/>
            <w:noWrap w:val="0"/>
            <w:vAlign w:val="center"/>
          </w:tcPr>
          <w:p w14:paraId="2CFA3EC0">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东南、800m</w:t>
            </w:r>
          </w:p>
        </w:tc>
        <w:tc>
          <w:tcPr>
            <w:tcW w:w="1385" w:type="dxa"/>
            <w:vMerge w:val="continue"/>
            <w:noWrap w:val="0"/>
            <w:vAlign w:val="center"/>
          </w:tcPr>
          <w:p w14:paraId="32054D57">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642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7D29115D">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罗家里居民点</w:t>
            </w:r>
          </w:p>
        </w:tc>
        <w:tc>
          <w:tcPr>
            <w:tcW w:w="1384" w:type="dxa"/>
            <w:noWrap w:val="0"/>
            <w:vAlign w:val="center"/>
          </w:tcPr>
          <w:p w14:paraId="5D66D8CC">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113.016870195</w:t>
            </w:r>
          </w:p>
        </w:tc>
        <w:tc>
          <w:tcPr>
            <w:tcW w:w="1350" w:type="dxa"/>
            <w:noWrap w:val="0"/>
            <w:vAlign w:val="center"/>
          </w:tcPr>
          <w:p w14:paraId="7181267C">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29.143315276</w:t>
            </w:r>
          </w:p>
        </w:tc>
        <w:tc>
          <w:tcPr>
            <w:tcW w:w="1583" w:type="dxa"/>
            <w:noWrap w:val="0"/>
            <w:vAlign w:val="center"/>
          </w:tcPr>
          <w:p w14:paraId="5C05A120">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ascii="Times New Roman" w:hAnsi="Times New Roman" w:eastAsia="宋体" w:cs="Times New Roman"/>
                <w:color w:val="auto"/>
                <w:sz w:val="21"/>
                <w:szCs w:val="21"/>
                <w:vertAlign w:val="baseline"/>
                <w:lang w:val="en-US" w:eastAsia="zh-CN"/>
              </w:rPr>
              <w:t>，约30户</w:t>
            </w:r>
          </w:p>
        </w:tc>
        <w:tc>
          <w:tcPr>
            <w:tcW w:w="1283" w:type="dxa"/>
            <w:noWrap w:val="0"/>
            <w:vAlign w:val="center"/>
          </w:tcPr>
          <w:p w14:paraId="6106D038">
            <w:pPr>
              <w:pStyle w:val="41"/>
              <w:keepNext w:val="0"/>
              <w:keepLines w:val="0"/>
              <w:widowControl w:val="0"/>
              <w:suppressLineNumbers w:val="0"/>
              <w:bidi w:val="0"/>
              <w:spacing w:before="0" w:beforeAutospacing="0" w:after="0" w:afterAutospacing="0"/>
              <w:ind w:left="0" w:right="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东南、2000m</w:t>
            </w:r>
          </w:p>
        </w:tc>
        <w:tc>
          <w:tcPr>
            <w:tcW w:w="1385" w:type="dxa"/>
            <w:vMerge w:val="continue"/>
            <w:noWrap w:val="0"/>
            <w:vAlign w:val="center"/>
          </w:tcPr>
          <w:p w14:paraId="6D7E094D">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3345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26F70DCC">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文伯屋居民点</w:t>
            </w:r>
          </w:p>
        </w:tc>
        <w:tc>
          <w:tcPr>
            <w:tcW w:w="1384" w:type="dxa"/>
            <w:noWrap w:val="0"/>
            <w:vAlign w:val="center"/>
          </w:tcPr>
          <w:p w14:paraId="093F0D24">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113.017771417</w:t>
            </w:r>
          </w:p>
        </w:tc>
        <w:tc>
          <w:tcPr>
            <w:tcW w:w="1350" w:type="dxa"/>
            <w:noWrap w:val="0"/>
            <w:vAlign w:val="center"/>
          </w:tcPr>
          <w:p w14:paraId="398FFA70">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29.152735194</w:t>
            </w:r>
          </w:p>
        </w:tc>
        <w:tc>
          <w:tcPr>
            <w:tcW w:w="1583" w:type="dxa"/>
            <w:noWrap w:val="0"/>
            <w:vAlign w:val="center"/>
          </w:tcPr>
          <w:p w14:paraId="790F09A2">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ascii="Times New Roman" w:hAnsi="Times New Roman" w:eastAsia="宋体" w:cs="Times New Roman"/>
                <w:color w:val="auto"/>
                <w:sz w:val="21"/>
                <w:szCs w:val="21"/>
                <w:vertAlign w:val="baseline"/>
                <w:lang w:val="en-US" w:eastAsia="zh-CN"/>
              </w:rPr>
              <w:t>，约</w:t>
            </w:r>
            <w:r>
              <w:rPr>
                <w:rFonts w:hint="eastAsia" w:cs="Times New Roman"/>
                <w:color w:val="auto"/>
                <w:sz w:val="21"/>
                <w:szCs w:val="21"/>
                <w:vertAlign w:val="baseline"/>
                <w:lang w:val="en-US" w:eastAsia="zh-CN"/>
              </w:rPr>
              <w:t>25</w:t>
            </w:r>
            <w:r>
              <w:rPr>
                <w:rFonts w:hint="eastAsia" w:ascii="Times New Roman" w:hAnsi="Times New Roman" w:eastAsia="宋体" w:cs="Times New Roman"/>
                <w:color w:val="auto"/>
                <w:sz w:val="21"/>
                <w:szCs w:val="21"/>
                <w:vertAlign w:val="baseline"/>
                <w:lang w:val="en-US" w:eastAsia="zh-CN"/>
              </w:rPr>
              <w:t>户</w:t>
            </w:r>
          </w:p>
        </w:tc>
        <w:tc>
          <w:tcPr>
            <w:tcW w:w="1283" w:type="dxa"/>
            <w:noWrap w:val="0"/>
            <w:vAlign w:val="center"/>
          </w:tcPr>
          <w:p w14:paraId="37637147">
            <w:pPr>
              <w:pStyle w:val="41"/>
              <w:keepNext w:val="0"/>
              <w:keepLines w:val="0"/>
              <w:widowControl w:val="0"/>
              <w:suppressLineNumbers w:val="0"/>
              <w:bidi w:val="0"/>
              <w:spacing w:before="0" w:beforeAutospacing="0" w:after="0" w:afterAutospacing="0"/>
              <w:ind w:left="0" w:right="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东南、1800m</w:t>
            </w:r>
          </w:p>
        </w:tc>
        <w:tc>
          <w:tcPr>
            <w:tcW w:w="1385" w:type="dxa"/>
            <w:vMerge w:val="continue"/>
            <w:noWrap w:val="0"/>
            <w:vAlign w:val="center"/>
          </w:tcPr>
          <w:p w14:paraId="65948562">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14B6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26244F47">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张氏祠居民点</w:t>
            </w:r>
          </w:p>
        </w:tc>
        <w:tc>
          <w:tcPr>
            <w:tcW w:w="1384" w:type="dxa"/>
            <w:noWrap w:val="0"/>
            <w:vAlign w:val="center"/>
          </w:tcPr>
          <w:p w14:paraId="2A60CD20">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113.018002087</w:t>
            </w:r>
          </w:p>
        </w:tc>
        <w:tc>
          <w:tcPr>
            <w:tcW w:w="1350" w:type="dxa"/>
            <w:noWrap w:val="0"/>
            <w:vAlign w:val="center"/>
          </w:tcPr>
          <w:p w14:paraId="327D43D7">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29.158957919</w:t>
            </w:r>
          </w:p>
        </w:tc>
        <w:tc>
          <w:tcPr>
            <w:tcW w:w="1583" w:type="dxa"/>
            <w:noWrap w:val="0"/>
            <w:vAlign w:val="center"/>
          </w:tcPr>
          <w:p w14:paraId="3072DFF8">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ascii="Times New Roman" w:hAnsi="Times New Roman" w:eastAsia="宋体" w:cs="Times New Roman"/>
                <w:color w:val="auto"/>
                <w:sz w:val="21"/>
                <w:szCs w:val="21"/>
                <w:vertAlign w:val="baseline"/>
                <w:lang w:val="en-US" w:eastAsia="zh-CN"/>
              </w:rPr>
              <w:t>，约</w:t>
            </w:r>
            <w:r>
              <w:rPr>
                <w:rFonts w:hint="eastAsia" w:cs="Times New Roman"/>
                <w:color w:val="auto"/>
                <w:sz w:val="21"/>
                <w:szCs w:val="21"/>
                <w:vertAlign w:val="baseline"/>
                <w:lang w:val="en-US" w:eastAsia="zh-CN"/>
              </w:rPr>
              <w:t>4</w:t>
            </w:r>
            <w:r>
              <w:rPr>
                <w:rFonts w:hint="eastAsia" w:ascii="Times New Roman" w:hAnsi="Times New Roman" w:eastAsia="宋体" w:cs="Times New Roman"/>
                <w:color w:val="auto"/>
                <w:sz w:val="21"/>
                <w:szCs w:val="21"/>
                <w:vertAlign w:val="baseline"/>
                <w:lang w:val="en-US" w:eastAsia="zh-CN"/>
              </w:rPr>
              <w:t>0户</w:t>
            </w:r>
          </w:p>
        </w:tc>
        <w:tc>
          <w:tcPr>
            <w:tcW w:w="1283" w:type="dxa"/>
            <w:noWrap w:val="0"/>
            <w:vAlign w:val="center"/>
          </w:tcPr>
          <w:p w14:paraId="7DE2C619">
            <w:pPr>
              <w:pStyle w:val="41"/>
              <w:keepNext w:val="0"/>
              <w:keepLines w:val="0"/>
              <w:widowControl w:val="0"/>
              <w:suppressLineNumbers w:val="0"/>
              <w:bidi w:val="0"/>
              <w:spacing w:before="0" w:beforeAutospacing="0" w:after="0" w:afterAutospacing="0"/>
              <w:ind w:left="0" w:right="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东、1800m</w:t>
            </w:r>
          </w:p>
        </w:tc>
        <w:tc>
          <w:tcPr>
            <w:tcW w:w="1385" w:type="dxa"/>
            <w:vMerge w:val="continue"/>
            <w:noWrap w:val="0"/>
            <w:vAlign w:val="center"/>
          </w:tcPr>
          <w:p w14:paraId="14DA876F">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1BBB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572B23BD">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寺山坡居民点</w:t>
            </w:r>
          </w:p>
        </w:tc>
        <w:tc>
          <w:tcPr>
            <w:tcW w:w="1384" w:type="dxa"/>
            <w:noWrap w:val="0"/>
            <w:vAlign w:val="center"/>
          </w:tcPr>
          <w:p w14:paraId="032AC6D6">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113.016993576</w:t>
            </w:r>
          </w:p>
        </w:tc>
        <w:tc>
          <w:tcPr>
            <w:tcW w:w="1350" w:type="dxa"/>
            <w:noWrap w:val="0"/>
            <w:vAlign w:val="center"/>
          </w:tcPr>
          <w:p w14:paraId="7A873429">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29.165051898</w:t>
            </w:r>
          </w:p>
        </w:tc>
        <w:tc>
          <w:tcPr>
            <w:tcW w:w="1583" w:type="dxa"/>
            <w:noWrap w:val="0"/>
            <w:vAlign w:val="center"/>
          </w:tcPr>
          <w:p w14:paraId="7100728E">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ascii="Times New Roman" w:hAnsi="Times New Roman" w:eastAsia="宋体" w:cs="Times New Roman"/>
                <w:color w:val="auto"/>
                <w:sz w:val="21"/>
                <w:szCs w:val="21"/>
                <w:vertAlign w:val="baseline"/>
                <w:lang w:val="en-US" w:eastAsia="zh-CN"/>
              </w:rPr>
              <w:t>，约30户</w:t>
            </w:r>
          </w:p>
        </w:tc>
        <w:tc>
          <w:tcPr>
            <w:tcW w:w="1283" w:type="dxa"/>
            <w:noWrap w:val="0"/>
            <w:vAlign w:val="center"/>
          </w:tcPr>
          <w:p w14:paraId="1ADA12BE">
            <w:pPr>
              <w:pStyle w:val="41"/>
              <w:keepNext w:val="0"/>
              <w:keepLines w:val="0"/>
              <w:widowControl w:val="0"/>
              <w:suppressLineNumbers w:val="0"/>
              <w:bidi w:val="0"/>
              <w:spacing w:before="0" w:beforeAutospacing="0" w:after="0" w:afterAutospacing="0"/>
              <w:ind w:left="0" w:right="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东北、2000m</w:t>
            </w:r>
          </w:p>
        </w:tc>
        <w:tc>
          <w:tcPr>
            <w:tcW w:w="1385" w:type="dxa"/>
            <w:vMerge w:val="continue"/>
            <w:noWrap w:val="0"/>
            <w:vAlign w:val="center"/>
          </w:tcPr>
          <w:p w14:paraId="681A4515">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r w14:paraId="23DD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136F44CF">
            <w:pPr>
              <w:pStyle w:val="41"/>
              <w:keepNext w:val="0"/>
              <w:keepLines w:val="0"/>
              <w:widowControl w:val="0"/>
              <w:suppressLineNumbers w:val="0"/>
              <w:bidi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桥头屋居民点</w:t>
            </w:r>
          </w:p>
        </w:tc>
        <w:tc>
          <w:tcPr>
            <w:tcW w:w="1384" w:type="dxa"/>
            <w:noWrap w:val="0"/>
            <w:vAlign w:val="center"/>
          </w:tcPr>
          <w:p w14:paraId="192DC80F">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113.006908470</w:t>
            </w:r>
          </w:p>
        </w:tc>
        <w:tc>
          <w:tcPr>
            <w:tcW w:w="1350" w:type="dxa"/>
            <w:noWrap w:val="0"/>
            <w:vAlign w:val="center"/>
          </w:tcPr>
          <w:p w14:paraId="3A8095D2">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29.167841396</w:t>
            </w:r>
          </w:p>
        </w:tc>
        <w:tc>
          <w:tcPr>
            <w:tcW w:w="1583" w:type="dxa"/>
            <w:noWrap w:val="0"/>
            <w:vAlign w:val="center"/>
          </w:tcPr>
          <w:p w14:paraId="4923C47C">
            <w:pPr>
              <w:pStyle w:val="41"/>
              <w:keepNext w:val="0"/>
              <w:keepLines w:val="0"/>
              <w:widowControl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居民</w:t>
            </w:r>
            <w:r>
              <w:rPr>
                <w:rFonts w:hint="eastAsia" w:ascii="Times New Roman" w:hAnsi="Times New Roman" w:eastAsia="宋体" w:cs="Times New Roman"/>
                <w:color w:val="auto"/>
                <w:sz w:val="21"/>
                <w:szCs w:val="21"/>
                <w:vertAlign w:val="baseline"/>
                <w:lang w:val="en-US" w:eastAsia="zh-CN"/>
              </w:rPr>
              <w:t>，约</w:t>
            </w:r>
            <w:r>
              <w:rPr>
                <w:rFonts w:hint="eastAsia" w:cs="Times New Roman"/>
                <w:color w:val="auto"/>
                <w:sz w:val="21"/>
                <w:szCs w:val="21"/>
                <w:vertAlign w:val="baseline"/>
                <w:lang w:val="en-US" w:eastAsia="zh-CN"/>
              </w:rPr>
              <w:t>5</w:t>
            </w:r>
            <w:r>
              <w:rPr>
                <w:rFonts w:hint="eastAsia" w:ascii="Times New Roman" w:hAnsi="Times New Roman" w:eastAsia="宋体" w:cs="Times New Roman"/>
                <w:color w:val="auto"/>
                <w:sz w:val="21"/>
                <w:szCs w:val="21"/>
                <w:vertAlign w:val="baseline"/>
                <w:lang w:val="en-US" w:eastAsia="zh-CN"/>
              </w:rPr>
              <w:t>0户</w:t>
            </w:r>
          </w:p>
        </w:tc>
        <w:tc>
          <w:tcPr>
            <w:tcW w:w="1283" w:type="dxa"/>
            <w:noWrap w:val="0"/>
            <w:vAlign w:val="center"/>
          </w:tcPr>
          <w:p w14:paraId="1748564E">
            <w:pPr>
              <w:pStyle w:val="41"/>
              <w:keepNext w:val="0"/>
              <w:keepLines w:val="0"/>
              <w:widowControl w:val="0"/>
              <w:suppressLineNumbers w:val="0"/>
              <w:bidi w:val="0"/>
              <w:spacing w:before="0" w:beforeAutospacing="0" w:after="0" w:afterAutospacing="0"/>
              <w:ind w:left="0" w:right="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东北、1550m</w:t>
            </w:r>
          </w:p>
        </w:tc>
        <w:tc>
          <w:tcPr>
            <w:tcW w:w="1385" w:type="dxa"/>
            <w:vMerge w:val="continue"/>
            <w:noWrap w:val="0"/>
            <w:vAlign w:val="center"/>
          </w:tcPr>
          <w:p w14:paraId="3ACF7466">
            <w:pPr>
              <w:pStyle w:val="41"/>
              <w:keepNext w:val="0"/>
              <w:keepLines w:val="0"/>
              <w:widowControl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r>
    </w:tbl>
    <w:p w14:paraId="27219696">
      <w:pPr>
        <w:pStyle w:val="9"/>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hint="default" w:ascii="Times New Roman" w:hAnsi="Times New Roman" w:eastAsia="宋体" w:cs="Times New Roman"/>
          <w:color w:val="auto"/>
          <w:sz w:val="24"/>
          <w:szCs w:val="24"/>
          <w:lang w:val="en-US" w:eastAsia="zh-CN"/>
        </w:rPr>
      </w:pPr>
      <w:bookmarkStart w:id="401" w:name="_Toc13094"/>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 生态环境保护目标</w:t>
      </w:r>
      <w:bookmarkEnd w:id="401"/>
    </w:p>
    <w:p w14:paraId="0536EDD5">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评价范围内涉及东洞庭湖国家级自然保护区、东洞庭湖江豚自然保护区、东洞庭湖鲤鲫黄颡鱼国家级水产种质资源保护区。工程江段是主要保护对象鲤、鲫、黄颡鱼)的栖息活动区域，也是中华鲟、胭脂鱼、江豚等国家重点保护水生动物的洄游通道。评价河段分布有国家I级保护动物中华鲟、长江江豚和国家I级保护动物胭脂鱼等重要水生生物。</w:t>
      </w:r>
    </w:p>
    <w:p w14:paraId="5AFE5000">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本项目生态环境保护目标一览表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
        <w:gridCol w:w="900"/>
        <w:gridCol w:w="1495"/>
        <w:gridCol w:w="2329"/>
        <w:gridCol w:w="3188"/>
      </w:tblGrid>
      <w:tr w14:paraId="31D5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7" w:type="pct"/>
            <w:noWrap w:val="0"/>
            <w:vAlign w:val="center"/>
          </w:tcPr>
          <w:p w14:paraId="28282CC3">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547" w:type="pct"/>
            <w:noWrap w:val="0"/>
            <w:vAlign w:val="center"/>
          </w:tcPr>
          <w:p w14:paraId="653D2802">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名称</w:t>
            </w:r>
          </w:p>
        </w:tc>
        <w:tc>
          <w:tcPr>
            <w:tcW w:w="909" w:type="pct"/>
            <w:noWrap w:val="0"/>
            <w:vAlign w:val="center"/>
          </w:tcPr>
          <w:p w14:paraId="4DF9099B">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与工程的相对位置</w:t>
            </w:r>
          </w:p>
        </w:tc>
        <w:tc>
          <w:tcPr>
            <w:tcW w:w="1416" w:type="pct"/>
            <w:noWrap w:val="0"/>
            <w:vAlign w:val="center"/>
          </w:tcPr>
          <w:p w14:paraId="46A6BE88">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保护级别或要求</w:t>
            </w:r>
          </w:p>
        </w:tc>
        <w:tc>
          <w:tcPr>
            <w:tcW w:w="1939" w:type="pct"/>
            <w:noWrap w:val="0"/>
            <w:vAlign w:val="center"/>
          </w:tcPr>
          <w:p w14:paraId="19A54C60">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敏感点实景图</w:t>
            </w:r>
          </w:p>
        </w:tc>
      </w:tr>
      <w:tr w14:paraId="3F23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 w:type="pct"/>
            <w:noWrap w:val="0"/>
            <w:vAlign w:val="center"/>
          </w:tcPr>
          <w:p w14:paraId="4070CC50">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547" w:type="pct"/>
            <w:noWrap w:val="0"/>
            <w:vAlign w:val="center"/>
          </w:tcPr>
          <w:p w14:paraId="6B71E35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湖南东洞庭湖国家级自然保护区</w:t>
            </w:r>
          </w:p>
        </w:tc>
        <w:tc>
          <w:tcPr>
            <w:tcW w:w="909" w:type="pct"/>
            <w:noWrap w:val="0"/>
            <w:vAlign w:val="center"/>
          </w:tcPr>
          <w:p w14:paraId="4E53CB9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项目在湖南东洞庭湖国家级自然保护区实验区</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与湖南东洞庭湖国家级自然保护区核心区的最近距离为</w:t>
            </w:r>
            <w:r>
              <w:rPr>
                <w:rFonts w:hint="default" w:ascii="Times New Roman" w:hAnsi="Times New Roman" w:eastAsia="宋体" w:cs="Times New Roman"/>
                <w:color w:val="auto"/>
                <w:sz w:val="21"/>
                <w:szCs w:val="21"/>
                <w:u w:val="none" w:color="auto"/>
                <w:lang w:val="en-US" w:eastAsia="zh-CN"/>
              </w:rPr>
              <w:t>8</w:t>
            </w:r>
            <w:r>
              <w:rPr>
                <w:rFonts w:hint="default" w:ascii="Times New Roman" w:hAnsi="Times New Roman" w:eastAsia="宋体" w:cs="Times New Roman"/>
                <w:color w:val="auto"/>
                <w:sz w:val="21"/>
                <w:szCs w:val="21"/>
                <w:u w:val="none" w:color="auto"/>
                <w:lang w:eastAsia="zh-CN"/>
              </w:rPr>
              <w:t>km</w:t>
            </w:r>
            <w:r>
              <w:rPr>
                <w:rFonts w:hint="default" w:ascii="Times New Roman" w:hAnsi="Times New Roman" w:eastAsia="宋体" w:cs="Times New Roman"/>
                <w:color w:val="auto"/>
                <w:sz w:val="21"/>
                <w:szCs w:val="21"/>
                <w:u w:val="none" w:color="auto"/>
              </w:rPr>
              <w:t>；</w:t>
            </w:r>
          </w:p>
        </w:tc>
        <w:tc>
          <w:tcPr>
            <w:tcW w:w="1416" w:type="pct"/>
            <w:noWrap w:val="0"/>
            <w:vAlign w:val="center"/>
          </w:tcPr>
          <w:p w14:paraId="7593D972">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湿地生态系统维护。总面积156285hm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。主要保护对象为湿地生态系统和生物多样性（江豚、麋鹿等）、珍稀濒危水禽（白鹤、白头鹤、东方白鹳、小白额雁等）、自然与人文景观。</w:t>
            </w:r>
          </w:p>
        </w:tc>
        <w:tc>
          <w:tcPr>
            <w:tcW w:w="1939" w:type="pct"/>
            <w:noWrap w:val="0"/>
            <w:vAlign w:val="center"/>
          </w:tcPr>
          <w:p w14:paraId="6BC6810B">
            <w:pPr>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852930" cy="1249680"/>
                  <wp:effectExtent l="0" t="0" r="13970" b="7620"/>
                  <wp:docPr id="76" name="图片 5" descr="u=4041630736,1161200287&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descr="u=4041630736,1161200287&amp;fm=27&amp;gp=0"/>
                          <pic:cNvPicPr>
                            <a:picLocks noChangeAspect="1"/>
                          </pic:cNvPicPr>
                        </pic:nvPicPr>
                        <pic:blipFill>
                          <a:blip r:embed="rId14"/>
                          <a:stretch>
                            <a:fillRect/>
                          </a:stretch>
                        </pic:blipFill>
                        <pic:spPr>
                          <a:xfrm>
                            <a:off x="0" y="0"/>
                            <a:ext cx="1852930" cy="1249680"/>
                          </a:xfrm>
                          <a:prstGeom prst="rect">
                            <a:avLst/>
                          </a:prstGeom>
                          <a:noFill/>
                          <a:ln>
                            <a:noFill/>
                          </a:ln>
                        </pic:spPr>
                      </pic:pic>
                    </a:graphicData>
                  </a:graphic>
                </wp:inline>
              </w:drawing>
            </w:r>
          </w:p>
        </w:tc>
      </w:tr>
      <w:tr w14:paraId="3209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 w:type="pct"/>
            <w:noWrap w:val="0"/>
            <w:vAlign w:val="center"/>
          </w:tcPr>
          <w:p w14:paraId="5BF7EB39">
            <w:pPr>
              <w:spacing w:line="400" w:lineRule="exact"/>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2</w:t>
            </w:r>
          </w:p>
        </w:tc>
        <w:tc>
          <w:tcPr>
            <w:tcW w:w="547" w:type="pct"/>
            <w:noWrap w:val="0"/>
            <w:vAlign w:val="center"/>
          </w:tcPr>
          <w:p w14:paraId="34DDA8A1">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东洞庭湖江豚自然保护区</w:t>
            </w:r>
          </w:p>
        </w:tc>
        <w:tc>
          <w:tcPr>
            <w:tcW w:w="909" w:type="pct"/>
            <w:noWrap w:val="0"/>
            <w:vAlign w:val="center"/>
          </w:tcPr>
          <w:p w14:paraId="3B22C37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项目在江豚自然保护区缓冲区范围内</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距离</w:t>
            </w:r>
            <w:r>
              <w:rPr>
                <w:rFonts w:hint="default" w:ascii="Times New Roman" w:hAnsi="Times New Roman" w:eastAsia="宋体" w:cs="Times New Roman"/>
                <w:color w:val="auto"/>
                <w:sz w:val="21"/>
                <w:szCs w:val="21"/>
                <w:u w:val="none" w:color="auto"/>
                <w:lang w:val="en-US" w:eastAsia="zh-CN"/>
              </w:rPr>
              <w:t>核心区</w:t>
            </w:r>
            <w:r>
              <w:rPr>
                <w:rFonts w:hint="default" w:ascii="Times New Roman" w:hAnsi="Times New Roman" w:eastAsia="宋体" w:cs="Times New Roman"/>
                <w:color w:val="auto"/>
                <w:sz w:val="21"/>
                <w:szCs w:val="21"/>
                <w:u w:val="none" w:color="auto"/>
              </w:rPr>
              <w:t>4</w:t>
            </w:r>
            <w:r>
              <w:rPr>
                <w:rFonts w:hint="default" w:ascii="Times New Roman" w:hAnsi="Times New Roman" w:eastAsia="宋体" w:cs="Times New Roman"/>
                <w:color w:val="auto"/>
                <w:sz w:val="21"/>
                <w:szCs w:val="21"/>
                <w:u w:val="none" w:color="auto"/>
                <w:lang w:val="en-US" w:eastAsia="zh-CN"/>
              </w:rPr>
              <w:t>k</w:t>
            </w:r>
            <w:r>
              <w:rPr>
                <w:rFonts w:hint="default" w:ascii="Times New Roman" w:hAnsi="Times New Roman" w:eastAsia="宋体" w:cs="Times New Roman"/>
                <w:color w:val="auto"/>
                <w:sz w:val="21"/>
                <w:szCs w:val="21"/>
                <w:u w:val="none" w:color="auto"/>
              </w:rPr>
              <w:t>m。</w:t>
            </w:r>
          </w:p>
        </w:tc>
        <w:tc>
          <w:tcPr>
            <w:tcW w:w="1416" w:type="pct"/>
            <w:noWrap w:val="0"/>
            <w:vAlign w:val="center"/>
          </w:tcPr>
          <w:p w14:paraId="6379EEFD">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江豚俗称</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江猪</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，属国家二级保护动物，主要分布在长江中下游、洞庭湖和洞庭湖等内陆水域。</w:t>
            </w:r>
          </w:p>
        </w:tc>
        <w:tc>
          <w:tcPr>
            <w:tcW w:w="1939" w:type="pct"/>
            <w:noWrap w:val="0"/>
            <w:vAlign w:val="center"/>
          </w:tcPr>
          <w:p w14:paraId="3576686E">
            <w:pPr>
              <w:spacing w:line="240" w:lineRule="atLeast"/>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color w:val="auto"/>
                <w:sz w:val="21"/>
                <w:szCs w:val="21"/>
                <w:u w:val="none" w:color="auto"/>
              </w:rPr>
              <w:instrText xml:space="preserve">INCLUDEPICTURE \d "http://www.pusa123.com/uploads/allimg/130510/10076_130510113453_1.jpg" \* MERGEFORMATINET </w:instrText>
            </w:r>
            <w:r>
              <w:rPr>
                <w:rFonts w:hint="default" w:ascii="Times New Roman" w:hAnsi="Times New Roman" w:eastAsia="宋体" w:cs="Times New Roman"/>
                <w:color w:val="auto"/>
                <w:sz w:val="21"/>
                <w:szCs w:val="21"/>
                <w:u w:val="none" w:color="auto"/>
              </w:rPr>
              <w:fldChar w:fldCharType="separate"/>
            </w:r>
            <w:r>
              <w:rPr>
                <w:rFonts w:hint="default" w:ascii="Times New Roman" w:hAnsi="Times New Roman" w:eastAsia="宋体" w:cs="Times New Roman"/>
                <w:color w:val="auto"/>
                <w:sz w:val="21"/>
                <w:szCs w:val="21"/>
                <w:u w:val="none" w:color="auto"/>
              </w:rPr>
              <w:drawing>
                <wp:inline distT="0" distB="0" distL="114300" distR="114300">
                  <wp:extent cx="1877695" cy="1159510"/>
                  <wp:effectExtent l="0" t="0" r="8255" b="2540"/>
                  <wp:docPr id="7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descr="IMG_256"/>
                          <pic:cNvPicPr>
                            <a:picLocks noChangeAspect="1"/>
                          </pic:cNvPicPr>
                        </pic:nvPicPr>
                        <pic:blipFill>
                          <a:blip r:embed="rId15"/>
                          <a:stretch>
                            <a:fillRect/>
                          </a:stretch>
                        </pic:blipFill>
                        <pic:spPr>
                          <a:xfrm>
                            <a:off x="0" y="0"/>
                            <a:ext cx="1877695" cy="1159510"/>
                          </a:xfrm>
                          <a:prstGeom prst="rect">
                            <a:avLst/>
                          </a:prstGeom>
                          <a:noFill/>
                          <a:ln>
                            <a:noFill/>
                          </a:ln>
                        </pic:spPr>
                      </pic:pic>
                    </a:graphicData>
                  </a:graphic>
                </wp:inline>
              </w:drawing>
            </w:r>
            <w:r>
              <w:rPr>
                <w:rFonts w:hint="default" w:ascii="Times New Roman" w:hAnsi="Times New Roman" w:eastAsia="宋体" w:cs="Times New Roman"/>
                <w:color w:val="auto"/>
                <w:sz w:val="21"/>
                <w:szCs w:val="21"/>
                <w:u w:val="none" w:color="auto"/>
              </w:rPr>
              <w:fldChar w:fldCharType="end"/>
            </w:r>
          </w:p>
        </w:tc>
      </w:tr>
      <w:tr w14:paraId="4EE0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 w:type="pct"/>
            <w:noWrap w:val="0"/>
            <w:vAlign w:val="center"/>
          </w:tcPr>
          <w:p w14:paraId="12089700">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3</w:t>
            </w:r>
          </w:p>
        </w:tc>
        <w:tc>
          <w:tcPr>
            <w:tcW w:w="547" w:type="pct"/>
            <w:noWrap w:val="0"/>
            <w:vAlign w:val="center"/>
          </w:tcPr>
          <w:p w14:paraId="28350CC3">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olor w:val="auto"/>
                <w:sz w:val="21"/>
                <w:szCs w:val="21"/>
              </w:rPr>
              <w:t>东洞庭湖鲤鲫黄颡鱼国家级</w:t>
            </w:r>
            <w:r>
              <w:rPr>
                <w:rFonts w:hint="default" w:ascii="Times New Roman" w:hAnsi="Times New Roman" w:eastAsia="宋体" w:cs="Times New Roman"/>
                <w:color w:val="auto"/>
                <w:sz w:val="21"/>
                <w:szCs w:val="21"/>
                <w:u w:val="none" w:color="auto"/>
              </w:rPr>
              <w:t>水产种质资源保护区</w:t>
            </w:r>
          </w:p>
        </w:tc>
        <w:tc>
          <w:tcPr>
            <w:tcW w:w="909" w:type="pct"/>
            <w:noWrap w:val="0"/>
            <w:vAlign w:val="center"/>
          </w:tcPr>
          <w:p w14:paraId="0940157C">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在东洞庭湖鲤、鲫、黄颡国家级水产种质资源保护区范围实验区</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离核心区10.06km</w:t>
            </w:r>
          </w:p>
        </w:tc>
        <w:tc>
          <w:tcPr>
            <w:tcW w:w="1416" w:type="pct"/>
            <w:noWrap w:val="0"/>
            <w:vAlign w:val="center"/>
          </w:tcPr>
          <w:p w14:paraId="1F048D06">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鲤、鲫、黄颡鱼、鲶、短颌鲚水生生态系统</w:t>
            </w:r>
          </w:p>
        </w:tc>
        <w:tc>
          <w:tcPr>
            <w:tcW w:w="1939" w:type="pct"/>
            <w:noWrap w:val="0"/>
            <w:vAlign w:val="center"/>
          </w:tcPr>
          <w:p w14:paraId="4687373C">
            <w:pPr>
              <w:spacing w:line="240" w:lineRule="atLeast"/>
              <w:ind w:firstLine="0" w:firstLineChars="0"/>
              <w:jc w:val="both"/>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color w:val="auto"/>
                <w:sz w:val="21"/>
                <w:szCs w:val="21"/>
                <w:u w:val="none" w:color="auto"/>
              </w:rPr>
              <w:instrText xml:space="preserve">INCLUDEPICTURE \d "http://www.jsjjw.cn/news/page/attachement/jpg/site2/20160222/d43d7e63e1c31834980c03.jpg" \* MERGEFORMATINET </w:instrText>
            </w:r>
            <w:r>
              <w:rPr>
                <w:rFonts w:hint="default" w:ascii="Times New Roman" w:hAnsi="Times New Roman" w:eastAsia="宋体" w:cs="Times New Roman"/>
                <w:color w:val="auto"/>
                <w:sz w:val="21"/>
                <w:szCs w:val="21"/>
                <w:u w:val="none" w:color="auto"/>
              </w:rPr>
              <w:fldChar w:fldCharType="separate"/>
            </w:r>
            <w:r>
              <w:rPr>
                <w:rFonts w:hint="default" w:ascii="Times New Roman" w:hAnsi="Times New Roman" w:eastAsia="宋体" w:cs="Times New Roman"/>
                <w:color w:val="auto"/>
                <w:sz w:val="21"/>
                <w:szCs w:val="21"/>
                <w:u w:val="none" w:color="auto"/>
              </w:rPr>
              <w:drawing>
                <wp:inline distT="0" distB="0" distL="114300" distR="114300">
                  <wp:extent cx="1743075" cy="1359535"/>
                  <wp:effectExtent l="0" t="0" r="9525" b="12065"/>
                  <wp:docPr id="7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descr="IMG_256"/>
                          <pic:cNvPicPr>
                            <a:picLocks noChangeAspect="1"/>
                          </pic:cNvPicPr>
                        </pic:nvPicPr>
                        <pic:blipFill>
                          <a:blip r:embed="rId16"/>
                          <a:stretch>
                            <a:fillRect/>
                          </a:stretch>
                        </pic:blipFill>
                        <pic:spPr>
                          <a:xfrm>
                            <a:off x="0" y="0"/>
                            <a:ext cx="1743075" cy="1359535"/>
                          </a:xfrm>
                          <a:prstGeom prst="rect">
                            <a:avLst/>
                          </a:prstGeom>
                          <a:noFill/>
                          <a:ln>
                            <a:noFill/>
                          </a:ln>
                        </pic:spPr>
                      </pic:pic>
                    </a:graphicData>
                  </a:graphic>
                </wp:inline>
              </w:drawing>
            </w:r>
            <w:r>
              <w:rPr>
                <w:rFonts w:hint="default" w:ascii="Times New Roman" w:hAnsi="Times New Roman" w:eastAsia="宋体" w:cs="Times New Roman"/>
                <w:color w:val="auto"/>
                <w:sz w:val="21"/>
                <w:szCs w:val="21"/>
                <w:u w:val="none" w:color="auto"/>
              </w:rPr>
              <w:fldChar w:fldCharType="end"/>
            </w:r>
          </w:p>
        </w:tc>
      </w:tr>
      <w:tr w14:paraId="46BF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187" w:type="pct"/>
            <w:noWrap w:val="0"/>
            <w:vAlign w:val="center"/>
          </w:tcPr>
          <w:p w14:paraId="0EEAA3C6">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4</w:t>
            </w:r>
          </w:p>
        </w:tc>
        <w:tc>
          <w:tcPr>
            <w:tcW w:w="547" w:type="pct"/>
            <w:noWrap w:val="0"/>
            <w:vAlign w:val="center"/>
          </w:tcPr>
          <w:p w14:paraId="5BCF38B5">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项目</w:t>
            </w:r>
            <w:r>
              <w:rPr>
                <w:rFonts w:hint="default" w:ascii="Times New Roman" w:hAnsi="Times New Roman" w:eastAsia="宋体" w:cs="Times New Roman"/>
                <w:color w:val="auto"/>
                <w:sz w:val="21"/>
                <w:szCs w:val="21"/>
                <w:u w:val="none" w:color="auto"/>
              </w:rPr>
              <w:t>其周边</w:t>
            </w:r>
            <w:r>
              <w:rPr>
                <w:rFonts w:hint="default" w:ascii="Times New Roman" w:hAnsi="Times New Roman" w:eastAsia="宋体" w:cs="Times New Roman"/>
                <w:color w:val="auto"/>
                <w:sz w:val="21"/>
                <w:szCs w:val="21"/>
                <w:u w:val="none" w:color="auto"/>
                <w:lang w:val="en-US" w:eastAsia="zh-CN"/>
              </w:rPr>
              <w:t>水源</w:t>
            </w:r>
            <w:r>
              <w:rPr>
                <w:rFonts w:hint="default" w:ascii="Times New Roman" w:hAnsi="Times New Roman" w:eastAsia="宋体" w:cs="Times New Roman"/>
                <w:color w:val="auto"/>
                <w:sz w:val="21"/>
                <w:szCs w:val="21"/>
                <w:u w:val="none" w:color="auto"/>
              </w:rPr>
              <w:t>生态环境</w:t>
            </w:r>
          </w:p>
        </w:tc>
        <w:tc>
          <w:tcPr>
            <w:tcW w:w="909" w:type="pct"/>
            <w:noWrap w:val="0"/>
            <w:vAlign w:val="center"/>
          </w:tcPr>
          <w:p w14:paraId="6646E625">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沿线占地区、工程</w:t>
            </w:r>
            <w:r>
              <w:rPr>
                <w:rFonts w:hint="default" w:ascii="Times New Roman" w:hAnsi="Times New Roman" w:eastAsia="宋体" w:cs="Times New Roman"/>
                <w:color w:val="auto"/>
                <w:sz w:val="21"/>
                <w:szCs w:val="21"/>
                <w:u w:val="none" w:color="auto"/>
                <w:lang w:val="en-US" w:eastAsia="zh-CN"/>
              </w:rPr>
              <w:t>影响区</w:t>
            </w:r>
            <w:r>
              <w:rPr>
                <w:rFonts w:hint="default" w:ascii="Times New Roman" w:hAnsi="Times New Roman" w:eastAsia="宋体" w:cs="Times New Roman"/>
                <w:color w:val="auto"/>
                <w:sz w:val="21"/>
                <w:szCs w:val="21"/>
                <w:u w:val="none" w:color="auto"/>
              </w:rPr>
              <w:t>区</w:t>
            </w:r>
          </w:p>
        </w:tc>
        <w:tc>
          <w:tcPr>
            <w:tcW w:w="1416" w:type="pct"/>
            <w:noWrap w:val="0"/>
            <w:vAlign w:val="center"/>
          </w:tcPr>
          <w:p w14:paraId="42B91C4B">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工程防护与生态恢复补偿措施</w:t>
            </w:r>
          </w:p>
        </w:tc>
        <w:tc>
          <w:tcPr>
            <w:tcW w:w="1939" w:type="pct"/>
            <w:noWrap w:val="0"/>
            <w:vAlign w:val="center"/>
          </w:tcPr>
          <w:p w14:paraId="6050D141">
            <w:pPr>
              <w:spacing w:line="240" w:lineRule="atLeast"/>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drawing>
                <wp:inline distT="0" distB="0" distL="114300" distR="114300">
                  <wp:extent cx="1713865" cy="1293495"/>
                  <wp:effectExtent l="0" t="0" r="635" b="1905"/>
                  <wp:docPr id="82" name="图片 8" descr="DSC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DSC03580"/>
                          <pic:cNvPicPr>
                            <a:picLocks noChangeAspect="1"/>
                          </pic:cNvPicPr>
                        </pic:nvPicPr>
                        <pic:blipFill>
                          <a:blip r:embed="rId17"/>
                          <a:srcRect t="5959" b="24692"/>
                          <a:stretch>
                            <a:fillRect/>
                          </a:stretch>
                        </pic:blipFill>
                        <pic:spPr>
                          <a:xfrm>
                            <a:off x="0" y="0"/>
                            <a:ext cx="1713865" cy="1293495"/>
                          </a:xfrm>
                          <a:prstGeom prst="rect">
                            <a:avLst/>
                          </a:prstGeom>
                          <a:noFill/>
                          <a:ln>
                            <a:noFill/>
                          </a:ln>
                        </pic:spPr>
                      </pic:pic>
                    </a:graphicData>
                  </a:graphic>
                </wp:inline>
              </w:drawing>
            </w:r>
          </w:p>
        </w:tc>
      </w:tr>
    </w:tbl>
    <w:p w14:paraId="512195E8">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rPr>
        <w:t>项目在湖南东洞庭湖国家级自然保护区</w:t>
      </w:r>
      <w:r>
        <w:rPr>
          <w:rFonts w:hint="default" w:ascii="Times New Roman" w:hAnsi="Times New Roman" w:eastAsia="宋体" w:cs="Times New Roman"/>
          <w:color w:val="auto"/>
          <w:u w:val="none" w:color="auto"/>
          <w:lang w:val="en-US" w:eastAsia="zh-CN"/>
        </w:rPr>
        <w:t>实验区</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江豚自然保护区</w:t>
      </w:r>
      <w:r>
        <w:rPr>
          <w:rFonts w:hint="default" w:ascii="Times New Roman" w:hAnsi="Times New Roman" w:eastAsia="宋体" w:cs="Times New Roman"/>
          <w:color w:val="auto"/>
          <w:u w:val="none" w:color="auto"/>
          <w:lang w:val="en-US" w:eastAsia="zh-CN"/>
        </w:rPr>
        <w:t>缓冲区</w:t>
      </w:r>
      <w:r>
        <w:rPr>
          <w:rFonts w:hint="default" w:ascii="Times New Roman" w:hAnsi="Times New Roman" w:eastAsia="宋体" w:cs="Times New Roman"/>
          <w:color w:val="auto"/>
          <w:u w:val="none" w:color="auto"/>
        </w:rPr>
        <w:t>范围内，</w:t>
      </w:r>
      <w:r>
        <w:rPr>
          <w:rFonts w:hint="default" w:ascii="Times New Roman" w:hAnsi="Times New Roman" w:eastAsia="宋体" w:cs="Times New Roman"/>
          <w:color w:val="auto"/>
          <w:u w:val="none" w:color="auto"/>
          <w:lang w:val="en-US" w:eastAsia="zh-CN"/>
        </w:rPr>
        <w:t>在</w:t>
      </w:r>
      <w:r>
        <w:rPr>
          <w:rFonts w:hint="default" w:ascii="Times New Roman" w:hAnsi="Times New Roman" w:eastAsia="宋体" w:cs="Times New Roman"/>
          <w:color w:val="auto"/>
          <w:u w:val="none" w:color="auto"/>
        </w:rPr>
        <w:t>东洞庭湖鲤、鲫、黄颡国家级水产种质资源保护区</w:t>
      </w:r>
      <w:r>
        <w:rPr>
          <w:rFonts w:hint="default" w:ascii="Times New Roman" w:hAnsi="Times New Roman" w:eastAsia="宋体" w:cs="Times New Roman"/>
          <w:color w:val="auto"/>
          <w:u w:val="none" w:color="auto"/>
          <w:lang w:val="en-US" w:eastAsia="zh-CN"/>
        </w:rPr>
        <w:t>实验区</w:t>
      </w:r>
      <w:r>
        <w:rPr>
          <w:rFonts w:hint="default" w:ascii="Times New Roman" w:hAnsi="Times New Roman" w:eastAsia="宋体" w:cs="Times New Roman"/>
          <w:color w:val="auto"/>
          <w:u w:val="none" w:color="auto"/>
        </w:rPr>
        <w:t>。项目与湖南东洞庭湖国家级自然保护区</w:t>
      </w:r>
      <w:r>
        <w:rPr>
          <w:rFonts w:hint="eastAsia" w:cs="Times New Roman"/>
          <w:color w:val="auto"/>
          <w:u w:val="none" w:color="auto"/>
          <w:lang w:eastAsia="zh-CN"/>
        </w:rPr>
        <w:t>、</w:t>
      </w:r>
      <w:r>
        <w:rPr>
          <w:rFonts w:hint="default" w:ascii="Times New Roman" w:hAnsi="Times New Roman" w:eastAsia="宋体" w:cs="Times New Roman"/>
          <w:color w:val="auto"/>
          <w:u w:val="none" w:color="auto"/>
        </w:rPr>
        <w:t>江豚自然保护</w:t>
      </w:r>
      <w:r>
        <w:rPr>
          <w:rFonts w:hint="eastAsia" w:cs="Times New Roman"/>
          <w:color w:val="auto"/>
          <w:u w:val="none" w:color="auto"/>
          <w:lang w:eastAsia="zh-CN"/>
        </w:rPr>
        <w:t>、</w:t>
      </w:r>
      <w:r>
        <w:rPr>
          <w:rFonts w:hint="default" w:ascii="Times New Roman" w:hAnsi="Times New Roman" w:eastAsia="宋体" w:cs="Times New Roman"/>
          <w:color w:val="auto"/>
          <w:u w:val="none" w:color="auto"/>
          <w:lang w:val="en-US" w:eastAsia="zh-CN"/>
        </w:rPr>
        <w:t>东洞庭湖鲤、鲫、黄颡国家级水产种质资源保护区的位置关系</w:t>
      </w:r>
      <w:r>
        <w:rPr>
          <w:rFonts w:hint="default" w:ascii="Times New Roman" w:hAnsi="Times New Roman" w:eastAsia="宋体" w:cs="Times New Roman"/>
          <w:color w:val="auto"/>
          <w:u w:val="none" w:color="auto"/>
        </w:rPr>
        <w:t>见</w:t>
      </w:r>
      <w:r>
        <w:rPr>
          <w:rFonts w:hint="eastAsia" w:cs="Times New Roman"/>
          <w:color w:val="auto"/>
          <w:u w:val="none" w:color="auto"/>
          <w:lang w:val="en-US" w:eastAsia="zh-CN"/>
        </w:rPr>
        <w:t>附图</w:t>
      </w:r>
      <w:r>
        <w:rPr>
          <w:rFonts w:hint="default" w:ascii="Times New Roman" w:hAnsi="Times New Roman" w:eastAsia="宋体" w:cs="Times New Roman"/>
          <w:color w:val="auto"/>
          <w:u w:val="none" w:color="auto"/>
          <w:lang w:val="en-US" w:eastAsia="zh-CN"/>
        </w:rPr>
        <w:t>。</w:t>
      </w:r>
    </w:p>
    <w:p w14:paraId="4782BC8C">
      <w:pPr>
        <w:pStyle w:val="40"/>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项目与各自然保护区功能区划位置关系表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893"/>
        <w:gridCol w:w="4508"/>
        <w:gridCol w:w="1266"/>
      </w:tblGrid>
      <w:tr w14:paraId="0E6B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restart"/>
            <w:noWrap w:val="0"/>
            <w:vAlign w:val="center"/>
          </w:tcPr>
          <w:p w14:paraId="48001095">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r>
              <w:rPr>
                <w:rFonts w:hint="default" w:ascii="Times New Roman" w:hAnsi="Times New Roman" w:eastAsia="宋体" w:cs="Times New Roman"/>
                <w:b w:val="0"/>
                <w:bCs w:val="0"/>
                <w:color w:val="auto"/>
                <w:sz w:val="21"/>
                <w:szCs w:val="21"/>
                <w:u w:val="none" w:color="auto"/>
              </w:rPr>
              <w:t>东洞庭湖国家级自然保护区</w:t>
            </w:r>
          </w:p>
        </w:tc>
        <w:tc>
          <w:tcPr>
            <w:tcW w:w="543" w:type="pct"/>
            <w:noWrap w:val="0"/>
            <w:vAlign w:val="center"/>
          </w:tcPr>
          <w:p w14:paraId="1F125774">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功能区</w:t>
            </w:r>
          </w:p>
        </w:tc>
        <w:tc>
          <w:tcPr>
            <w:tcW w:w="2741" w:type="pct"/>
            <w:noWrap w:val="0"/>
            <w:vAlign w:val="center"/>
          </w:tcPr>
          <w:p w14:paraId="0699D6DF">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范围</w:t>
            </w:r>
          </w:p>
        </w:tc>
        <w:tc>
          <w:tcPr>
            <w:tcW w:w="770" w:type="pct"/>
            <w:noWrap w:val="0"/>
            <w:vAlign w:val="center"/>
          </w:tcPr>
          <w:p w14:paraId="15DD27EC">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最近距离</w:t>
            </w:r>
          </w:p>
        </w:tc>
      </w:tr>
      <w:tr w14:paraId="6092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77836FAB">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p>
        </w:tc>
        <w:tc>
          <w:tcPr>
            <w:tcW w:w="543" w:type="pct"/>
            <w:vMerge w:val="restart"/>
            <w:noWrap w:val="0"/>
            <w:vAlign w:val="center"/>
          </w:tcPr>
          <w:p w14:paraId="699D1EE7">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核心区</w:t>
            </w:r>
          </w:p>
        </w:tc>
        <w:tc>
          <w:tcPr>
            <w:tcW w:w="2741" w:type="pct"/>
            <w:noWrap w:val="0"/>
            <w:vAlign w:val="center"/>
          </w:tcPr>
          <w:p w14:paraId="56845E06">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rPr>
              <w:t>①大小西湖—君山后湖核心区</w:t>
            </w:r>
          </w:p>
        </w:tc>
        <w:tc>
          <w:tcPr>
            <w:tcW w:w="770" w:type="pct"/>
            <w:noWrap w:val="0"/>
            <w:vAlign w:val="center"/>
          </w:tcPr>
          <w:p w14:paraId="24C69451">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lang w:val="en-US" w:eastAsia="zh-CN"/>
              </w:rPr>
              <w:t>20</w:t>
            </w:r>
            <w:r>
              <w:rPr>
                <w:rFonts w:hint="default" w:ascii="Times New Roman" w:hAnsi="Times New Roman" w:eastAsia="宋体" w:cs="Times New Roman"/>
                <w:b w:val="0"/>
                <w:bCs/>
                <w:color w:val="auto"/>
                <w:sz w:val="21"/>
                <w:szCs w:val="21"/>
                <w:u w:val="none" w:color="auto"/>
              </w:rPr>
              <w:t>km</w:t>
            </w:r>
          </w:p>
        </w:tc>
      </w:tr>
      <w:tr w14:paraId="5827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61717000">
            <w:pPr>
              <w:spacing w:line="240" w:lineRule="auto"/>
              <w:ind w:firstLine="0" w:firstLineChars="0"/>
              <w:jc w:val="center"/>
              <w:rPr>
                <w:rFonts w:hint="default" w:ascii="Times New Roman" w:hAnsi="Times New Roman" w:eastAsia="宋体" w:cs="Times New Roman"/>
                <w:b w:val="0"/>
                <w:bCs w:val="0"/>
                <w:color w:val="auto"/>
                <w:sz w:val="21"/>
                <w:szCs w:val="21"/>
                <w:u w:val="none" w:color="auto"/>
              </w:rPr>
            </w:pPr>
          </w:p>
        </w:tc>
        <w:tc>
          <w:tcPr>
            <w:tcW w:w="543" w:type="pct"/>
            <w:vMerge w:val="continue"/>
            <w:noWrap w:val="0"/>
            <w:vAlign w:val="center"/>
          </w:tcPr>
          <w:p w14:paraId="2F92A49E">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p>
        </w:tc>
        <w:tc>
          <w:tcPr>
            <w:tcW w:w="2741" w:type="pct"/>
            <w:noWrap w:val="0"/>
            <w:vAlign w:val="center"/>
          </w:tcPr>
          <w:p w14:paraId="390A9E50">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②红旗湖核心区</w:t>
            </w:r>
          </w:p>
        </w:tc>
        <w:tc>
          <w:tcPr>
            <w:tcW w:w="770" w:type="pct"/>
            <w:noWrap w:val="0"/>
            <w:vAlign w:val="center"/>
          </w:tcPr>
          <w:p w14:paraId="63AAE437">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10.</w:t>
            </w:r>
            <w:r>
              <w:rPr>
                <w:rFonts w:hint="default" w:ascii="Times New Roman" w:hAnsi="Times New Roman" w:eastAsia="宋体" w:cs="Times New Roman"/>
                <w:b w:val="0"/>
                <w:bCs/>
                <w:color w:val="auto"/>
                <w:sz w:val="21"/>
                <w:szCs w:val="21"/>
                <w:u w:val="none" w:color="auto"/>
                <w:lang w:val="en-US" w:eastAsia="zh-CN"/>
              </w:rPr>
              <w:t>06</w:t>
            </w:r>
            <w:r>
              <w:rPr>
                <w:rFonts w:hint="default" w:ascii="Times New Roman" w:hAnsi="Times New Roman" w:eastAsia="宋体" w:cs="Times New Roman"/>
                <w:b w:val="0"/>
                <w:bCs/>
                <w:color w:val="auto"/>
                <w:sz w:val="21"/>
                <w:szCs w:val="21"/>
                <w:u w:val="none" w:color="auto"/>
              </w:rPr>
              <w:t>km</w:t>
            </w:r>
          </w:p>
        </w:tc>
      </w:tr>
      <w:tr w14:paraId="5B53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01642AF1">
            <w:pPr>
              <w:spacing w:line="240" w:lineRule="auto"/>
              <w:ind w:firstLine="0" w:firstLineChars="0"/>
              <w:jc w:val="center"/>
              <w:rPr>
                <w:rFonts w:hint="default" w:ascii="Times New Roman" w:hAnsi="Times New Roman" w:eastAsia="宋体" w:cs="Times New Roman"/>
                <w:b w:val="0"/>
                <w:bCs w:val="0"/>
                <w:color w:val="auto"/>
                <w:sz w:val="21"/>
                <w:szCs w:val="21"/>
                <w:u w:val="none" w:color="auto"/>
              </w:rPr>
            </w:pPr>
          </w:p>
        </w:tc>
        <w:tc>
          <w:tcPr>
            <w:tcW w:w="543" w:type="pct"/>
            <w:vMerge w:val="continue"/>
            <w:noWrap w:val="0"/>
            <w:vAlign w:val="center"/>
          </w:tcPr>
          <w:p w14:paraId="762C1FA9">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p>
        </w:tc>
        <w:tc>
          <w:tcPr>
            <w:tcW w:w="2741" w:type="pct"/>
            <w:noWrap w:val="0"/>
            <w:vAlign w:val="center"/>
          </w:tcPr>
          <w:p w14:paraId="18AE12EB">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③春风湖核心区，该处位于岳阳县麻糖镇区域</w:t>
            </w:r>
          </w:p>
        </w:tc>
        <w:tc>
          <w:tcPr>
            <w:tcW w:w="770" w:type="pct"/>
            <w:noWrap w:val="0"/>
            <w:vAlign w:val="center"/>
          </w:tcPr>
          <w:p w14:paraId="054E892F">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lang w:val="en-US" w:eastAsia="zh-CN"/>
              </w:rPr>
              <w:t>8</w:t>
            </w:r>
            <w:r>
              <w:rPr>
                <w:rFonts w:hint="default" w:ascii="Times New Roman" w:hAnsi="Times New Roman" w:eastAsia="宋体" w:cs="Times New Roman"/>
                <w:b w:val="0"/>
                <w:bCs/>
                <w:color w:val="auto"/>
                <w:sz w:val="21"/>
                <w:szCs w:val="21"/>
                <w:u w:val="none" w:color="auto"/>
              </w:rPr>
              <w:t>km</w:t>
            </w:r>
          </w:p>
        </w:tc>
      </w:tr>
      <w:tr w14:paraId="32B4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23CD534D">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p>
        </w:tc>
        <w:tc>
          <w:tcPr>
            <w:tcW w:w="543" w:type="pct"/>
            <w:noWrap w:val="0"/>
            <w:vAlign w:val="center"/>
          </w:tcPr>
          <w:p w14:paraId="04F37788">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缓冲区</w:t>
            </w:r>
          </w:p>
        </w:tc>
        <w:tc>
          <w:tcPr>
            <w:tcW w:w="2741" w:type="pct"/>
            <w:noWrap w:val="0"/>
            <w:vAlign w:val="center"/>
          </w:tcPr>
          <w:p w14:paraId="4068728D">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大、小西湖-君山后湖-红旗湖缓冲区和春风湖缓冲区</w:t>
            </w:r>
          </w:p>
        </w:tc>
        <w:tc>
          <w:tcPr>
            <w:tcW w:w="770" w:type="pct"/>
            <w:noWrap w:val="0"/>
            <w:vAlign w:val="center"/>
          </w:tcPr>
          <w:p w14:paraId="651073E5">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7km</w:t>
            </w:r>
          </w:p>
        </w:tc>
      </w:tr>
      <w:tr w14:paraId="7992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2B1C02EF">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p>
        </w:tc>
        <w:tc>
          <w:tcPr>
            <w:tcW w:w="543" w:type="pct"/>
            <w:noWrap w:val="0"/>
            <w:vAlign w:val="center"/>
          </w:tcPr>
          <w:p w14:paraId="4EB29194">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实验区</w:t>
            </w:r>
          </w:p>
        </w:tc>
        <w:tc>
          <w:tcPr>
            <w:tcW w:w="2741" w:type="pct"/>
            <w:noWrap w:val="0"/>
            <w:vAlign w:val="center"/>
          </w:tcPr>
          <w:p w14:paraId="4A8B333F">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保护区区界以内缓冲区以外的广大区域，包括采桑湖、团湖、方台湖、南湖、芭蕉湖等在内的垸内湖泊和农业用地</w:t>
            </w:r>
          </w:p>
        </w:tc>
        <w:tc>
          <w:tcPr>
            <w:tcW w:w="770" w:type="pct"/>
            <w:noWrap w:val="0"/>
            <w:vAlign w:val="center"/>
          </w:tcPr>
          <w:p w14:paraId="7AF12ECF">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项目所在地</w:t>
            </w:r>
          </w:p>
        </w:tc>
      </w:tr>
      <w:tr w14:paraId="54A1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restart"/>
            <w:noWrap w:val="0"/>
            <w:vAlign w:val="center"/>
          </w:tcPr>
          <w:p w14:paraId="665158CD">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r>
              <w:rPr>
                <w:rFonts w:hint="default" w:ascii="Times New Roman" w:hAnsi="Times New Roman" w:eastAsia="宋体" w:cs="Times New Roman"/>
                <w:b w:val="0"/>
                <w:bCs w:val="0"/>
                <w:color w:val="auto"/>
                <w:sz w:val="21"/>
                <w:szCs w:val="21"/>
                <w:u w:val="none" w:color="auto"/>
              </w:rPr>
              <w:t>江豚自然保护区</w:t>
            </w:r>
          </w:p>
        </w:tc>
        <w:tc>
          <w:tcPr>
            <w:tcW w:w="3284" w:type="pct"/>
            <w:gridSpan w:val="2"/>
            <w:noWrap w:val="0"/>
            <w:vAlign w:val="center"/>
          </w:tcPr>
          <w:p w14:paraId="72862B45">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shd w:val="clear" w:color="auto" w:fill="FFFFFF"/>
              </w:rPr>
              <w:t>核心区</w:t>
            </w:r>
          </w:p>
        </w:tc>
        <w:tc>
          <w:tcPr>
            <w:tcW w:w="770" w:type="pct"/>
            <w:noWrap w:val="0"/>
            <w:vAlign w:val="center"/>
          </w:tcPr>
          <w:p w14:paraId="56E81C10">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4km</w:t>
            </w:r>
          </w:p>
        </w:tc>
      </w:tr>
      <w:tr w14:paraId="78DF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08D17A2F">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rPr>
            </w:pPr>
          </w:p>
        </w:tc>
        <w:tc>
          <w:tcPr>
            <w:tcW w:w="3284" w:type="pct"/>
            <w:gridSpan w:val="2"/>
            <w:noWrap w:val="0"/>
            <w:vAlign w:val="center"/>
          </w:tcPr>
          <w:p w14:paraId="1F8E5AB5">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shd w:val="clear" w:color="auto" w:fill="FFFFFF"/>
              </w:rPr>
              <w:t>缓冲区</w:t>
            </w:r>
          </w:p>
        </w:tc>
        <w:tc>
          <w:tcPr>
            <w:tcW w:w="770" w:type="pct"/>
            <w:noWrap w:val="0"/>
            <w:vAlign w:val="center"/>
          </w:tcPr>
          <w:p w14:paraId="70C07C31">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lang w:val="en-US" w:eastAsia="zh-CN"/>
              </w:rPr>
              <w:t>项目所在地</w:t>
            </w:r>
          </w:p>
        </w:tc>
      </w:tr>
      <w:tr w14:paraId="109D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restart"/>
            <w:noWrap w:val="0"/>
            <w:vAlign w:val="center"/>
          </w:tcPr>
          <w:p w14:paraId="56B3F70B">
            <w:pPr>
              <w:spacing w:line="240" w:lineRule="auto"/>
              <w:ind w:firstLine="0" w:firstLineChars="0"/>
              <w:jc w:val="center"/>
              <w:rPr>
                <w:rFonts w:hint="default" w:ascii="Times New Roman" w:hAnsi="Times New Roman" w:eastAsia="宋体" w:cs="Times New Roman"/>
                <w:b w:val="0"/>
                <w:bCs w:val="0"/>
                <w:color w:val="auto"/>
                <w:sz w:val="21"/>
                <w:szCs w:val="21"/>
                <w:u w:val="none" w:color="auto"/>
                <w:shd w:val="clear" w:color="auto" w:fill="FFFFFF"/>
                <w:lang w:val="en-US" w:eastAsia="zh-CN"/>
              </w:rPr>
            </w:pPr>
            <w:r>
              <w:rPr>
                <w:rFonts w:hint="default" w:ascii="Times New Roman" w:hAnsi="Times New Roman" w:eastAsia="宋体" w:cs="Times New Roman"/>
                <w:b w:val="0"/>
                <w:bCs w:val="0"/>
                <w:color w:val="auto"/>
                <w:sz w:val="21"/>
                <w:szCs w:val="21"/>
                <w:u w:val="none" w:color="auto"/>
              </w:rPr>
              <w:t>东洞庭湖鲤、鲫、黄颡国家级水产种质资源保护区</w:t>
            </w:r>
          </w:p>
        </w:tc>
        <w:tc>
          <w:tcPr>
            <w:tcW w:w="3284" w:type="pct"/>
            <w:gridSpan w:val="2"/>
            <w:noWrap w:val="0"/>
            <w:vAlign w:val="center"/>
          </w:tcPr>
          <w:p w14:paraId="172E2DFB">
            <w:pPr>
              <w:spacing w:line="240" w:lineRule="auto"/>
              <w:ind w:firstLine="0" w:firstLineChars="0"/>
              <w:jc w:val="center"/>
              <w:rPr>
                <w:rFonts w:hint="default" w:ascii="Times New Roman" w:hAnsi="Times New Roman" w:eastAsia="宋体" w:cs="Times New Roman"/>
                <w:b w:val="0"/>
                <w:bCs/>
                <w:color w:val="auto"/>
                <w:sz w:val="21"/>
                <w:szCs w:val="21"/>
                <w:u w:val="none" w:color="auto"/>
                <w:shd w:val="clear" w:color="auto" w:fill="FFFFFF"/>
              </w:rPr>
            </w:pPr>
            <w:r>
              <w:rPr>
                <w:rFonts w:hint="default" w:ascii="Times New Roman" w:hAnsi="Times New Roman" w:eastAsia="宋体" w:cs="Times New Roman"/>
                <w:b w:val="0"/>
                <w:bCs/>
                <w:color w:val="auto"/>
                <w:sz w:val="21"/>
                <w:szCs w:val="21"/>
                <w:u w:val="none" w:color="auto"/>
                <w:shd w:val="clear" w:color="auto" w:fill="FFFFFF"/>
              </w:rPr>
              <w:t>核心区</w:t>
            </w:r>
          </w:p>
        </w:tc>
        <w:tc>
          <w:tcPr>
            <w:tcW w:w="770" w:type="pct"/>
            <w:noWrap w:val="0"/>
            <w:vAlign w:val="center"/>
          </w:tcPr>
          <w:p w14:paraId="520BB754">
            <w:pPr>
              <w:spacing w:line="240" w:lineRule="auto"/>
              <w:ind w:firstLine="0" w:firstLineChars="0"/>
              <w:jc w:val="center"/>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10.</w:t>
            </w:r>
            <w:r>
              <w:rPr>
                <w:rFonts w:hint="default" w:ascii="Times New Roman" w:hAnsi="Times New Roman" w:eastAsia="宋体" w:cs="Times New Roman"/>
                <w:b w:val="0"/>
                <w:bCs/>
                <w:color w:val="auto"/>
                <w:sz w:val="21"/>
                <w:szCs w:val="21"/>
                <w:u w:val="none" w:color="auto"/>
                <w:lang w:val="en-US" w:eastAsia="zh-CN"/>
              </w:rPr>
              <w:t>06</w:t>
            </w:r>
            <w:r>
              <w:rPr>
                <w:rFonts w:hint="default" w:ascii="Times New Roman" w:hAnsi="Times New Roman" w:eastAsia="宋体" w:cs="Times New Roman"/>
                <w:b w:val="0"/>
                <w:bCs/>
                <w:color w:val="auto"/>
                <w:sz w:val="21"/>
                <w:szCs w:val="21"/>
                <w:u w:val="none" w:color="auto"/>
              </w:rPr>
              <w:t>km</w:t>
            </w:r>
          </w:p>
        </w:tc>
      </w:tr>
      <w:tr w14:paraId="1FA2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vMerge w:val="continue"/>
            <w:noWrap w:val="0"/>
            <w:vAlign w:val="center"/>
          </w:tcPr>
          <w:p w14:paraId="5AA24174">
            <w:pPr>
              <w:spacing w:line="240" w:lineRule="auto"/>
              <w:ind w:firstLine="0" w:firstLineChars="0"/>
              <w:jc w:val="center"/>
              <w:rPr>
                <w:rFonts w:hint="default" w:ascii="Times New Roman" w:hAnsi="Times New Roman" w:eastAsia="宋体" w:cs="Times New Roman"/>
                <w:b/>
                <w:bCs/>
                <w:color w:val="auto"/>
                <w:sz w:val="21"/>
                <w:szCs w:val="21"/>
                <w:u w:val="none" w:color="auto"/>
              </w:rPr>
            </w:pPr>
          </w:p>
        </w:tc>
        <w:tc>
          <w:tcPr>
            <w:tcW w:w="3284" w:type="pct"/>
            <w:gridSpan w:val="2"/>
            <w:noWrap w:val="0"/>
            <w:vAlign w:val="center"/>
          </w:tcPr>
          <w:p w14:paraId="03C0C153">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实验区</w:t>
            </w:r>
          </w:p>
        </w:tc>
        <w:tc>
          <w:tcPr>
            <w:tcW w:w="770" w:type="pct"/>
            <w:noWrap w:val="0"/>
            <w:vAlign w:val="center"/>
          </w:tcPr>
          <w:p w14:paraId="1BB9661E">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项目所在地</w:t>
            </w:r>
          </w:p>
        </w:tc>
      </w:tr>
    </w:tbl>
    <w:p w14:paraId="62CCB499">
      <w:pPr>
        <w:ind w:left="0" w:leftChars="0" w:firstLine="420" w:firstLineChars="0"/>
        <w:rPr>
          <w:rFonts w:hint="default" w:ascii="Times New Roman" w:hAnsi="Times New Roman" w:eastAsia="宋体" w:cs="Times New Roman"/>
          <w:color w:val="auto"/>
          <w:lang w:eastAsia="zh-CN"/>
        </w:rPr>
      </w:pPr>
    </w:p>
    <w:p w14:paraId="5F7C366B">
      <w:pPr>
        <w:rPr>
          <w:rFonts w:hint="default" w:ascii="Times New Roman" w:hAnsi="Times New Roman" w:eastAsia="宋体" w:cs="Times New Roman"/>
          <w:color w:val="auto"/>
          <w:lang w:eastAsia="zh-CN"/>
        </w:rPr>
      </w:pPr>
    </w:p>
    <w:p w14:paraId="5E96BE9E">
      <w:pPr>
        <w:pStyle w:val="2"/>
        <w:rPr>
          <w:rFonts w:hint="default"/>
          <w:color w:val="auto"/>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A47FA9A">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402" w:name="_Toc14902"/>
      <w:bookmarkStart w:id="403" w:name="_Toc5123"/>
      <w:bookmarkStart w:id="404" w:name="_Toc26523"/>
      <w:bookmarkStart w:id="405" w:name="_Toc12162_WPSOffice_Level2"/>
      <w:bookmarkStart w:id="406" w:name="_Toc57637525"/>
      <w:bookmarkStart w:id="407" w:name="_Toc16725"/>
      <w:bookmarkStart w:id="408" w:name="_Toc11852"/>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工程</w:t>
      </w:r>
      <w:r>
        <w:rPr>
          <w:rFonts w:hint="default" w:ascii="Times New Roman" w:hAnsi="Times New Roman" w:eastAsia="宋体" w:cs="Times New Roman"/>
          <w:color w:val="auto"/>
          <w:lang w:eastAsia="zh-CN"/>
        </w:rPr>
        <w:t>概况</w:t>
      </w:r>
      <w:bookmarkEnd w:id="402"/>
      <w:r>
        <w:rPr>
          <w:rFonts w:hint="default" w:ascii="Times New Roman" w:hAnsi="Times New Roman" w:eastAsia="宋体" w:cs="Times New Roman"/>
          <w:color w:val="auto"/>
          <w:lang w:val="en-US" w:eastAsia="zh-CN"/>
        </w:rPr>
        <w:t>与工程分析</w:t>
      </w:r>
      <w:bookmarkEnd w:id="403"/>
      <w:bookmarkEnd w:id="404"/>
    </w:p>
    <w:p w14:paraId="382765B8">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09" w:name="_Toc8992"/>
      <w:bookmarkStart w:id="410" w:name="_Toc498"/>
      <w:bookmarkStart w:id="411" w:name="_Toc5196"/>
      <w:bookmarkStart w:id="412" w:name="_Toc15297"/>
      <w:r>
        <w:rPr>
          <w:rFonts w:hint="default" w:ascii="Times New Roman" w:hAnsi="Times New Roman" w:eastAsia="宋体" w:cs="Times New Roman"/>
          <w:color w:val="auto"/>
          <w:sz w:val="28"/>
          <w:szCs w:val="28"/>
          <w:lang w:val="en-US" w:eastAsia="zh-CN"/>
        </w:rPr>
        <w:t>3.</w:t>
      </w:r>
      <w:r>
        <w:rPr>
          <w:rFonts w:hint="eastAsia" w:cs="Times New Roman"/>
          <w:color w:val="auto"/>
          <w:sz w:val="28"/>
          <w:szCs w:val="28"/>
          <w:lang w:val="en-US" w:eastAsia="zh-CN"/>
        </w:rPr>
        <w:t>1建设</w:t>
      </w:r>
      <w:r>
        <w:rPr>
          <w:rFonts w:hint="default" w:ascii="Times New Roman" w:hAnsi="Times New Roman" w:eastAsia="宋体" w:cs="Times New Roman"/>
          <w:color w:val="auto"/>
          <w:sz w:val="28"/>
          <w:szCs w:val="28"/>
          <w:lang w:val="en-US" w:eastAsia="zh-CN"/>
        </w:rPr>
        <w:t>项目概况</w:t>
      </w:r>
      <w:bookmarkEnd w:id="409"/>
      <w:bookmarkEnd w:id="410"/>
      <w:bookmarkEnd w:id="411"/>
      <w:bookmarkEnd w:id="412"/>
    </w:p>
    <w:p w14:paraId="5D3FA8EE">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413" w:name="_Toc32406"/>
      <w:bookmarkStart w:id="414" w:name="_Toc17168"/>
      <w:bookmarkStart w:id="415" w:name="_Toc23957"/>
      <w:r>
        <w:rPr>
          <w:rFonts w:hint="eastAsia" w:cs="Times New Roman"/>
          <w:color w:val="auto"/>
          <w:sz w:val="24"/>
          <w:szCs w:val="24"/>
          <w:lang w:val="en-US" w:eastAsia="zh-CN"/>
        </w:rPr>
        <w:t>3.1.1</w:t>
      </w:r>
      <w:r>
        <w:rPr>
          <w:rFonts w:hint="default" w:ascii="Times New Roman" w:hAnsi="Times New Roman" w:eastAsia="宋体" w:cs="Times New Roman"/>
          <w:color w:val="auto"/>
          <w:sz w:val="24"/>
          <w:szCs w:val="24"/>
          <w:lang w:val="en-US" w:eastAsia="zh-CN"/>
        </w:rPr>
        <w:t xml:space="preserve"> </w:t>
      </w:r>
      <w:bookmarkEnd w:id="413"/>
      <w:bookmarkEnd w:id="414"/>
      <w:bookmarkEnd w:id="415"/>
      <w:r>
        <w:rPr>
          <w:rFonts w:hint="eastAsia" w:cs="Times New Roman"/>
          <w:color w:val="auto"/>
          <w:sz w:val="24"/>
          <w:szCs w:val="24"/>
          <w:lang w:val="en-US" w:eastAsia="zh-CN"/>
        </w:rPr>
        <w:t>现有项目情况</w:t>
      </w:r>
    </w:p>
    <w:p w14:paraId="26929BB9">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bookmarkStart w:id="416" w:name="_Toc2327"/>
      <w:bookmarkStart w:id="417" w:name="_Toc5690"/>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1.1</w:t>
      </w:r>
      <w:r>
        <w:rPr>
          <w:rFonts w:hint="default" w:ascii="Times New Roman" w:hAnsi="Times New Roman" w:eastAsia="宋体" w:cs="Times New Roman"/>
          <w:color w:val="auto"/>
          <w:sz w:val="24"/>
          <w:szCs w:val="24"/>
          <w:u w:val="none" w:color="auto"/>
          <w:lang w:val="en-US" w:eastAsia="zh-CN"/>
        </w:rPr>
        <w:t xml:space="preserve"> 岳阳港</w:t>
      </w:r>
      <w:r>
        <w:rPr>
          <w:rFonts w:hint="eastAsia" w:cs="Times New Roman"/>
          <w:color w:val="auto"/>
          <w:sz w:val="24"/>
          <w:szCs w:val="24"/>
          <w:u w:val="none" w:color="auto"/>
          <w:lang w:val="en-US" w:eastAsia="zh-CN"/>
        </w:rPr>
        <w:t>现状</w:t>
      </w:r>
      <w:r>
        <w:rPr>
          <w:rFonts w:hint="default" w:ascii="Times New Roman" w:hAnsi="Times New Roman" w:eastAsia="宋体" w:cs="Times New Roman"/>
          <w:color w:val="auto"/>
          <w:sz w:val="24"/>
          <w:szCs w:val="24"/>
          <w:u w:val="none" w:color="auto"/>
          <w:lang w:val="en-US" w:eastAsia="zh-CN"/>
        </w:rPr>
        <w:t>概况</w:t>
      </w:r>
      <w:bookmarkEnd w:id="416"/>
      <w:bookmarkEnd w:id="417"/>
    </w:p>
    <w:p w14:paraId="2BB3001D">
      <w:pPr>
        <w:pageBreakBefore w:val="0"/>
        <w:tabs>
          <w:tab w:val="left" w:pos="48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岳阳港是全国28个内河主要港口之一，是湖南省长江干线上唯一的对外贸易口岸和国家一类开放港口；岳阳港也是湖南省内唯一拥有长江深水岸线的港口，水路可与沿海港口实现3000t级船舶的江海直达。岳阳境内有大小港口分布在长江、湘江及其他河流岸边城镇，是古代“城依水建，水助城兴”的产物。</w:t>
      </w:r>
    </w:p>
    <w:p w14:paraId="1C9C2F14">
      <w:pPr>
        <w:pageBreakBefore w:val="0"/>
        <w:tabs>
          <w:tab w:val="left" w:pos="48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岳阳建港历史悠久，春秋战国时即为湘水入江之古港，清末时期城陵矶港开埠，成为设有海关的通商口岸，依托“鱼米之乡”、“商贸重镇”、“诗意之城”，几经发展和衰落，曾带动岳阳发展成为中部地区煤、油、盐、米、茶、棉花等重要物资的商贸流通中心。新中国成立后，分设有隶属中央管理的城陵矶港和地方管理的岳阳港。2004年1月1日《中华人民共和国港口法》施行后，岳阳市域范围内港口合并统称为岳阳港。同年原交通部发布全国内河主要港口名录，岳阳港被确定为全国28个内河主要港口之一。</w:t>
      </w:r>
    </w:p>
    <w:p w14:paraId="55533530">
      <w:pPr>
        <w:pageBreakBefore w:val="0"/>
        <w:tabs>
          <w:tab w:val="left" w:pos="48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适应新时代长江经济带发展的新形势和现代化强国建设的新要求，贯彻落实“创新、协调、绿色、开放、共享”新发展理念，科学规划利用港口岸线资源，加快推动港产园城融合发展和港口高质量发展，加快提升岳阳港的通江达海、水陆转运的综合枢纽功能，于2017年启动了新一轮的《岳阳港总体规划》修编工作。2019年1月，新版的《岳阳港总体规划》通过了交通运输部和湖南省人民政府的联合审查，2020年11月22日交通运输部和湖南省人民政府联合批复实施。此轮《岳阳港总体规划》将岳阳港的性质和功能定位为：全国内河主要港口和长江集装箱重要支线港，湖南省综合交通运输体系的重要枢纽和融入长江经济带、“一带一路”的战略支点，是岳阳市实施“以港兴市”战略、打造全省区域经济增长极的重要支撑。岳阳港将以大宗散货、集装箱、件杂货、滚装汽车运输为主，兼有旅游客运功能，充分发挥长江黄金水道和国家一类水运口岸作用，大力发展现代物流和临港经济，逐步发展成为设施先进、功能完善、运行高效、安全绿色的现代化、枢纽型港口。应具备装卸储存、中转换装、运输组织、综合服务、临港开发、现代物流、旅游客运等功能。</w:t>
      </w:r>
    </w:p>
    <w:p w14:paraId="1CB70A5B">
      <w:pPr>
        <w:pageBreakBefore w:val="0"/>
        <w:tabs>
          <w:tab w:val="left" w:pos="480"/>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lang w:eastAsia="zh-CN"/>
        </w:rPr>
        <w:t>根据《岳阳港总体规划（2017-2035）》，</w:t>
      </w:r>
      <w:r>
        <w:rPr>
          <w:rFonts w:hint="default" w:ascii="Times New Roman" w:hAnsi="Times New Roman" w:eastAsia="宋体" w:cs="Times New Roman"/>
          <w:color w:val="auto"/>
          <w:sz w:val="24"/>
          <w:szCs w:val="24"/>
        </w:rPr>
        <w:t>结合原有港区划分和资源分布特征，将岳阳港划分为华容、君山、岳阳楼、城陵矶、云溪、临湘、岳阳县、汨罗（含屈原区港区）、湘阴等9个港区。并按规模化、集约化、专业化的发展方向，对全港的集装箱、煤炭、金属矿石、危化品、砂石等主要货类运输系统进行了相应港口资源整合和码头功能布局规划。</w:t>
      </w:r>
    </w:p>
    <w:p w14:paraId="3A5DFD96">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bookmarkStart w:id="418" w:name="_Toc23715"/>
      <w:bookmarkStart w:id="419" w:name="_Toc22773"/>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 xml:space="preserve">2 </w:t>
      </w:r>
      <w:r>
        <w:rPr>
          <w:rFonts w:hint="default" w:ascii="Times New Roman" w:hAnsi="Times New Roman" w:eastAsia="宋体" w:cs="Times New Roman"/>
          <w:color w:val="auto"/>
          <w:sz w:val="24"/>
          <w:szCs w:val="24"/>
          <w:u w:val="none" w:color="auto"/>
        </w:rPr>
        <w:t>岳阳县港区</w:t>
      </w:r>
      <w:bookmarkEnd w:id="418"/>
      <w:bookmarkEnd w:id="419"/>
      <w:r>
        <w:rPr>
          <w:rFonts w:hint="eastAsia" w:cs="Times New Roman"/>
          <w:color w:val="auto"/>
          <w:sz w:val="24"/>
          <w:szCs w:val="24"/>
          <w:u w:val="none" w:color="auto"/>
          <w:lang w:val="en-US" w:eastAsia="zh-CN"/>
        </w:rPr>
        <w:t>现状概况</w:t>
      </w:r>
    </w:p>
    <w:p w14:paraId="6E6C581F">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岳阳县港区位于洞庭湖中部，是连接沅江市和岳阳市的水路要道，经最近几年的发展，港口逐步形成规模化，港区吞吐量稳步增长，过往船舶多，岳阳县属岳阳市所辖，水路经城陵矶沿长江东下可达武汉、南京、上海；上溯西进可达宜昌、重庆；沿湘江南上可达长沙、株洲、湘潭、衡阳；经湖区航线可达津市、常德、益阳等城市。</w:t>
      </w:r>
    </w:p>
    <w:p w14:paraId="49DFEB8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岳阳县港区位于东洞庭湖东岸、岳阳县城西部，上起中洲乡，下至布咀山，自鹿角作业区下行39千米可至城陵矶；港区以荣鹿公路、S201连通G107，京珠高速和京广铁路纵穿岳阳县境内。规划港口岸线7510米，是岳阳县陶瓷、芦苇纸品集散地，规划以件杂货、干散货运输为主，兼有旅游客运功能，主要为当地经济发展及临港产业发展和水上旅游资源开发服务，规划鹿角、汗水坡2个作业区和机场村水上服务区、太平咀客运港点以及新墙河内客运点</w:t>
      </w:r>
      <w:r>
        <w:rPr>
          <w:rFonts w:hint="default" w:ascii="Times New Roman" w:hAnsi="Times New Roman" w:eastAsia="宋体" w:cs="Times New Roman"/>
          <w:color w:val="auto"/>
          <w:sz w:val="24"/>
          <w:szCs w:val="24"/>
          <w:u w:val="none" w:color="auto"/>
          <w:lang w:eastAsia="zh-CN"/>
        </w:rPr>
        <w:t>。</w:t>
      </w:r>
    </w:p>
    <w:p w14:paraId="686027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岳阳县港区鹿角作业区现有200～500吨级斜坡泊位4个，岳阳南方水泥有限公司1个1000吨级企业专用码头，以及2个2000吨级鹿角码头，港区现状详见表</w:t>
      </w:r>
      <w:r>
        <w:rPr>
          <w:rFonts w:hint="default" w:ascii="Times New Roman" w:hAnsi="Times New Roman" w:eastAsia="宋体" w:cs="Times New Roman"/>
          <w:color w:val="auto"/>
          <w:sz w:val="24"/>
          <w:szCs w:val="24"/>
          <w:u w:val="none" w:color="auto"/>
          <w:lang w:val="en-US" w:eastAsia="zh-CN"/>
        </w:rPr>
        <w:t>3.1</w:t>
      </w:r>
      <w:r>
        <w:rPr>
          <w:rFonts w:hint="default" w:ascii="Times New Roman" w:hAnsi="Times New Roman" w:eastAsia="宋体" w:cs="Times New Roman"/>
          <w:color w:val="auto"/>
          <w:sz w:val="24"/>
          <w:szCs w:val="24"/>
          <w:u w:val="none" w:color="auto"/>
        </w:rPr>
        <w:t>-1。</w:t>
      </w:r>
    </w:p>
    <w:p w14:paraId="1D077A37">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表3.1-1 </w:t>
      </w:r>
      <w:r>
        <w:rPr>
          <w:rFonts w:hint="default" w:ascii="Times New Roman" w:hAnsi="Times New Roman" w:eastAsia="宋体" w:cs="Times New Roman"/>
          <w:color w:val="auto"/>
          <w:sz w:val="24"/>
          <w:szCs w:val="24"/>
        </w:rPr>
        <w:t xml:space="preserve"> 岳阳县港区现状表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56"/>
        <w:gridCol w:w="1336"/>
        <w:gridCol w:w="1270"/>
        <w:gridCol w:w="500"/>
        <w:gridCol w:w="959"/>
        <w:gridCol w:w="681"/>
        <w:gridCol w:w="755"/>
        <w:gridCol w:w="755"/>
        <w:gridCol w:w="755"/>
        <w:gridCol w:w="753"/>
      </w:tblGrid>
      <w:tr w14:paraId="056EDB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420" w:hRule="atLeast"/>
          <w:tblHeader/>
          <w:jc w:val="center"/>
        </w:trPr>
        <w:tc>
          <w:tcPr>
            <w:tcW w:w="277" w:type="pct"/>
            <w:vMerge w:val="restart"/>
            <w:tcBorders>
              <w:tl2br w:val="nil"/>
              <w:tr2bl w:val="nil"/>
            </w:tcBorders>
            <w:noWrap w:val="0"/>
            <w:vAlign w:val="center"/>
          </w:tcPr>
          <w:p w14:paraId="1877EF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812" w:type="pct"/>
            <w:vMerge w:val="restart"/>
            <w:tcBorders>
              <w:tl2br w:val="nil"/>
              <w:tr2bl w:val="nil"/>
            </w:tcBorders>
            <w:noWrap w:val="0"/>
            <w:vAlign w:val="center"/>
          </w:tcPr>
          <w:p w14:paraId="46B37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企业名称</w:t>
            </w:r>
          </w:p>
        </w:tc>
        <w:tc>
          <w:tcPr>
            <w:tcW w:w="772" w:type="pct"/>
            <w:vMerge w:val="restart"/>
            <w:tcBorders>
              <w:tl2br w:val="nil"/>
              <w:tr2bl w:val="nil"/>
            </w:tcBorders>
            <w:noWrap w:val="0"/>
            <w:vAlign w:val="center"/>
          </w:tcPr>
          <w:p w14:paraId="3550B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泊位名称</w:t>
            </w:r>
          </w:p>
        </w:tc>
        <w:tc>
          <w:tcPr>
            <w:tcW w:w="304" w:type="pct"/>
            <w:vMerge w:val="restart"/>
            <w:tcBorders>
              <w:tl2br w:val="nil"/>
              <w:tr2bl w:val="nil"/>
            </w:tcBorders>
            <w:noWrap w:val="0"/>
            <w:vAlign w:val="center"/>
          </w:tcPr>
          <w:p w14:paraId="46422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投产年份</w:t>
            </w:r>
          </w:p>
        </w:tc>
        <w:tc>
          <w:tcPr>
            <w:tcW w:w="583" w:type="pct"/>
            <w:vMerge w:val="restart"/>
            <w:tcBorders>
              <w:tl2br w:val="nil"/>
              <w:tr2bl w:val="nil"/>
            </w:tcBorders>
            <w:noWrap w:val="0"/>
            <w:vAlign w:val="center"/>
          </w:tcPr>
          <w:p w14:paraId="6468E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用途</w:t>
            </w:r>
          </w:p>
        </w:tc>
        <w:tc>
          <w:tcPr>
            <w:tcW w:w="414" w:type="pct"/>
            <w:tcBorders>
              <w:tl2br w:val="nil"/>
              <w:tr2bl w:val="nil"/>
            </w:tcBorders>
            <w:noWrap w:val="0"/>
            <w:vAlign w:val="center"/>
          </w:tcPr>
          <w:p w14:paraId="349C8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前沿</w:t>
            </w:r>
          </w:p>
          <w:p w14:paraId="71A54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水深</w:t>
            </w:r>
          </w:p>
        </w:tc>
        <w:tc>
          <w:tcPr>
            <w:tcW w:w="459" w:type="pct"/>
            <w:tcBorders>
              <w:tl2br w:val="nil"/>
              <w:tr2bl w:val="nil"/>
            </w:tcBorders>
            <w:noWrap w:val="0"/>
            <w:vAlign w:val="center"/>
          </w:tcPr>
          <w:p w14:paraId="1C329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码头</w:t>
            </w:r>
          </w:p>
          <w:p w14:paraId="6F740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长度</w:t>
            </w:r>
          </w:p>
        </w:tc>
        <w:tc>
          <w:tcPr>
            <w:tcW w:w="459" w:type="pct"/>
            <w:tcBorders>
              <w:tl2br w:val="nil"/>
              <w:tr2bl w:val="nil"/>
            </w:tcBorders>
            <w:noWrap w:val="0"/>
            <w:vAlign w:val="center"/>
          </w:tcPr>
          <w:p w14:paraId="1D223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泊位数</w:t>
            </w:r>
          </w:p>
        </w:tc>
        <w:tc>
          <w:tcPr>
            <w:tcW w:w="459" w:type="pct"/>
            <w:tcBorders>
              <w:tl2br w:val="nil"/>
              <w:tr2bl w:val="nil"/>
            </w:tcBorders>
            <w:noWrap w:val="0"/>
            <w:vAlign w:val="center"/>
          </w:tcPr>
          <w:p w14:paraId="7F06A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靠泊吨级</w:t>
            </w:r>
          </w:p>
        </w:tc>
        <w:tc>
          <w:tcPr>
            <w:tcW w:w="458" w:type="pct"/>
            <w:vMerge w:val="restart"/>
            <w:tcBorders>
              <w:tl2br w:val="nil"/>
              <w:tr2bl w:val="nil"/>
            </w:tcBorders>
            <w:noWrap w:val="0"/>
            <w:vAlign w:val="center"/>
          </w:tcPr>
          <w:p w14:paraId="5ADE7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现状</w:t>
            </w:r>
          </w:p>
        </w:tc>
      </w:tr>
      <w:tr w14:paraId="6B5748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420" w:hRule="atLeast"/>
          <w:tblHeader/>
          <w:jc w:val="center"/>
        </w:trPr>
        <w:tc>
          <w:tcPr>
            <w:tcW w:w="277" w:type="pct"/>
            <w:vMerge w:val="continue"/>
            <w:tcBorders>
              <w:tl2br w:val="nil"/>
              <w:tr2bl w:val="nil"/>
            </w:tcBorders>
            <w:noWrap w:val="0"/>
            <w:vAlign w:val="center"/>
          </w:tcPr>
          <w:p w14:paraId="704D5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812" w:type="pct"/>
            <w:vMerge w:val="continue"/>
            <w:tcBorders>
              <w:tl2br w:val="nil"/>
              <w:tr2bl w:val="nil"/>
            </w:tcBorders>
            <w:noWrap w:val="0"/>
            <w:vAlign w:val="center"/>
          </w:tcPr>
          <w:p w14:paraId="6F4F4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772" w:type="pct"/>
            <w:vMerge w:val="continue"/>
            <w:tcBorders>
              <w:tl2br w:val="nil"/>
              <w:tr2bl w:val="nil"/>
            </w:tcBorders>
            <w:noWrap w:val="0"/>
            <w:vAlign w:val="center"/>
          </w:tcPr>
          <w:p w14:paraId="25E4F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304" w:type="pct"/>
            <w:vMerge w:val="continue"/>
            <w:tcBorders>
              <w:tl2br w:val="nil"/>
              <w:tr2bl w:val="nil"/>
            </w:tcBorders>
            <w:noWrap w:val="0"/>
            <w:vAlign w:val="center"/>
          </w:tcPr>
          <w:p w14:paraId="73E89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583" w:type="pct"/>
            <w:vMerge w:val="continue"/>
            <w:tcBorders>
              <w:tl2br w:val="nil"/>
              <w:tr2bl w:val="nil"/>
            </w:tcBorders>
            <w:noWrap w:val="0"/>
            <w:vAlign w:val="center"/>
          </w:tcPr>
          <w:p w14:paraId="52B8F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414" w:type="pct"/>
            <w:tcBorders>
              <w:tl2br w:val="nil"/>
              <w:tr2bl w:val="nil"/>
            </w:tcBorders>
            <w:noWrap w:val="0"/>
            <w:vAlign w:val="center"/>
          </w:tcPr>
          <w:p w14:paraId="3FA3C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(米)</w:t>
            </w:r>
          </w:p>
        </w:tc>
        <w:tc>
          <w:tcPr>
            <w:tcW w:w="459" w:type="pct"/>
            <w:tcBorders>
              <w:tl2br w:val="nil"/>
              <w:tr2bl w:val="nil"/>
            </w:tcBorders>
            <w:noWrap w:val="0"/>
            <w:vAlign w:val="center"/>
          </w:tcPr>
          <w:p w14:paraId="218F2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(米)</w:t>
            </w:r>
          </w:p>
        </w:tc>
        <w:tc>
          <w:tcPr>
            <w:tcW w:w="459" w:type="pct"/>
            <w:tcBorders>
              <w:tl2br w:val="nil"/>
              <w:tr2bl w:val="nil"/>
            </w:tcBorders>
            <w:noWrap w:val="0"/>
            <w:vAlign w:val="center"/>
          </w:tcPr>
          <w:p w14:paraId="787F5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(个)</w:t>
            </w:r>
          </w:p>
        </w:tc>
        <w:tc>
          <w:tcPr>
            <w:tcW w:w="459" w:type="pct"/>
            <w:tcBorders>
              <w:tl2br w:val="nil"/>
              <w:tr2bl w:val="nil"/>
            </w:tcBorders>
            <w:noWrap w:val="0"/>
            <w:vAlign w:val="center"/>
          </w:tcPr>
          <w:p w14:paraId="5F9DE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(DWT)</w:t>
            </w:r>
          </w:p>
        </w:tc>
        <w:tc>
          <w:tcPr>
            <w:tcW w:w="458" w:type="pct"/>
            <w:vMerge w:val="continue"/>
            <w:tcBorders>
              <w:tl2br w:val="nil"/>
              <w:tr2bl w:val="nil"/>
            </w:tcBorders>
            <w:noWrap w:val="0"/>
            <w:vAlign w:val="center"/>
          </w:tcPr>
          <w:p w14:paraId="75994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r>
      <w:tr w14:paraId="40E75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75DEA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1</w:t>
            </w:r>
          </w:p>
        </w:tc>
        <w:tc>
          <w:tcPr>
            <w:tcW w:w="812" w:type="pct"/>
            <w:tcBorders>
              <w:tl2br w:val="nil"/>
              <w:tr2bl w:val="nil"/>
            </w:tcBorders>
            <w:noWrap w:val="0"/>
            <w:vAlign w:val="center"/>
          </w:tcPr>
          <w:p w14:paraId="78C7B3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县交通局</w:t>
            </w:r>
          </w:p>
        </w:tc>
        <w:tc>
          <w:tcPr>
            <w:tcW w:w="772" w:type="pct"/>
            <w:tcBorders>
              <w:tl2br w:val="nil"/>
              <w:tr2bl w:val="nil"/>
            </w:tcBorders>
            <w:noWrap w:val="0"/>
            <w:vAlign w:val="center"/>
          </w:tcPr>
          <w:p w14:paraId="303469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鹿角交通综合</w:t>
            </w:r>
          </w:p>
        </w:tc>
        <w:tc>
          <w:tcPr>
            <w:tcW w:w="304" w:type="pct"/>
            <w:tcBorders>
              <w:tl2br w:val="nil"/>
              <w:tr2bl w:val="nil"/>
            </w:tcBorders>
            <w:noWrap w:val="0"/>
            <w:vAlign w:val="center"/>
          </w:tcPr>
          <w:p w14:paraId="28DEFB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1992</w:t>
            </w:r>
          </w:p>
        </w:tc>
        <w:tc>
          <w:tcPr>
            <w:tcW w:w="583" w:type="pct"/>
            <w:tcBorders>
              <w:tl2br w:val="nil"/>
              <w:tr2bl w:val="nil"/>
            </w:tcBorders>
            <w:noWrap w:val="0"/>
            <w:vAlign w:val="center"/>
          </w:tcPr>
          <w:p w14:paraId="314EE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通用件杂</w:t>
            </w:r>
          </w:p>
        </w:tc>
        <w:tc>
          <w:tcPr>
            <w:tcW w:w="414" w:type="pct"/>
            <w:tcBorders>
              <w:tl2br w:val="nil"/>
              <w:tr2bl w:val="nil"/>
            </w:tcBorders>
            <w:noWrap w:val="0"/>
            <w:vAlign w:val="center"/>
          </w:tcPr>
          <w:p w14:paraId="47705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2</w:t>
            </w:r>
          </w:p>
        </w:tc>
        <w:tc>
          <w:tcPr>
            <w:tcW w:w="459" w:type="pct"/>
            <w:tcBorders>
              <w:tl2br w:val="nil"/>
              <w:tr2bl w:val="nil"/>
            </w:tcBorders>
            <w:noWrap w:val="0"/>
            <w:vAlign w:val="center"/>
          </w:tcPr>
          <w:p w14:paraId="516389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70</w:t>
            </w:r>
          </w:p>
        </w:tc>
        <w:tc>
          <w:tcPr>
            <w:tcW w:w="459" w:type="pct"/>
            <w:tcBorders>
              <w:tl2br w:val="nil"/>
              <w:tr2bl w:val="nil"/>
            </w:tcBorders>
            <w:noWrap w:val="0"/>
            <w:vAlign w:val="center"/>
          </w:tcPr>
          <w:p w14:paraId="4F83A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1</w:t>
            </w:r>
          </w:p>
        </w:tc>
        <w:tc>
          <w:tcPr>
            <w:tcW w:w="459" w:type="pct"/>
            <w:tcBorders>
              <w:tl2br w:val="nil"/>
              <w:tr2bl w:val="nil"/>
            </w:tcBorders>
            <w:noWrap w:val="0"/>
            <w:vAlign w:val="center"/>
          </w:tcPr>
          <w:p w14:paraId="3B419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500</w:t>
            </w:r>
          </w:p>
        </w:tc>
        <w:tc>
          <w:tcPr>
            <w:tcW w:w="458" w:type="pct"/>
            <w:tcBorders>
              <w:tl2br w:val="nil"/>
              <w:tr2bl w:val="nil"/>
            </w:tcBorders>
            <w:noWrap w:val="0"/>
            <w:vAlign w:val="center"/>
          </w:tcPr>
          <w:p w14:paraId="42DE7D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运行</w:t>
            </w:r>
          </w:p>
        </w:tc>
      </w:tr>
      <w:tr w14:paraId="14E4C4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37088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2</w:t>
            </w:r>
          </w:p>
        </w:tc>
        <w:tc>
          <w:tcPr>
            <w:tcW w:w="812" w:type="pct"/>
            <w:tcBorders>
              <w:tl2br w:val="nil"/>
              <w:tr2bl w:val="nil"/>
            </w:tcBorders>
            <w:noWrap w:val="0"/>
            <w:vAlign w:val="center"/>
          </w:tcPr>
          <w:p w14:paraId="269D6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港务公司</w:t>
            </w:r>
          </w:p>
        </w:tc>
        <w:tc>
          <w:tcPr>
            <w:tcW w:w="772" w:type="pct"/>
            <w:tcBorders>
              <w:tl2br w:val="nil"/>
              <w:tr2bl w:val="nil"/>
            </w:tcBorders>
            <w:noWrap w:val="0"/>
            <w:vAlign w:val="center"/>
          </w:tcPr>
          <w:p w14:paraId="67132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鹿角客运</w:t>
            </w:r>
          </w:p>
        </w:tc>
        <w:tc>
          <w:tcPr>
            <w:tcW w:w="304" w:type="pct"/>
            <w:tcBorders>
              <w:tl2br w:val="nil"/>
              <w:tr2bl w:val="nil"/>
            </w:tcBorders>
            <w:noWrap w:val="0"/>
            <w:vAlign w:val="center"/>
          </w:tcPr>
          <w:p w14:paraId="3311C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1978</w:t>
            </w:r>
          </w:p>
        </w:tc>
        <w:tc>
          <w:tcPr>
            <w:tcW w:w="583" w:type="pct"/>
            <w:tcBorders>
              <w:tl2br w:val="nil"/>
              <w:tr2bl w:val="nil"/>
            </w:tcBorders>
            <w:noWrap w:val="0"/>
            <w:vAlign w:val="center"/>
          </w:tcPr>
          <w:p w14:paraId="41AEAE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客运</w:t>
            </w:r>
          </w:p>
        </w:tc>
        <w:tc>
          <w:tcPr>
            <w:tcW w:w="414" w:type="pct"/>
            <w:tcBorders>
              <w:tl2br w:val="nil"/>
              <w:tr2bl w:val="nil"/>
            </w:tcBorders>
            <w:noWrap w:val="0"/>
            <w:vAlign w:val="center"/>
          </w:tcPr>
          <w:p w14:paraId="543E54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1.6</w:t>
            </w:r>
          </w:p>
        </w:tc>
        <w:tc>
          <w:tcPr>
            <w:tcW w:w="459" w:type="pct"/>
            <w:tcBorders>
              <w:tl2br w:val="nil"/>
              <w:tr2bl w:val="nil"/>
            </w:tcBorders>
            <w:noWrap w:val="0"/>
            <w:vAlign w:val="center"/>
          </w:tcPr>
          <w:p w14:paraId="2E8BA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32</w:t>
            </w:r>
          </w:p>
        </w:tc>
        <w:tc>
          <w:tcPr>
            <w:tcW w:w="459" w:type="pct"/>
            <w:tcBorders>
              <w:tl2br w:val="nil"/>
              <w:tr2bl w:val="nil"/>
            </w:tcBorders>
            <w:noWrap w:val="0"/>
            <w:vAlign w:val="center"/>
          </w:tcPr>
          <w:p w14:paraId="683ED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w:t>
            </w:r>
          </w:p>
        </w:tc>
        <w:tc>
          <w:tcPr>
            <w:tcW w:w="459" w:type="pct"/>
            <w:tcBorders>
              <w:tl2br w:val="nil"/>
              <w:tr2bl w:val="nil"/>
            </w:tcBorders>
            <w:noWrap w:val="0"/>
            <w:vAlign w:val="center"/>
          </w:tcPr>
          <w:p w14:paraId="57E91A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200</w:t>
            </w:r>
          </w:p>
        </w:tc>
        <w:tc>
          <w:tcPr>
            <w:tcW w:w="458" w:type="pct"/>
            <w:tcBorders>
              <w:tl2br w:val="nil"/>
              <w:tr2bl w:val="nil"/>
            </w:tcBorders>
            <w:noWrap w:val="0"/>
            <w:vAlign w:val="center"/>
          </w:tcPr>
          <w:p w14:paraId="6E5E2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停运</w:t>
            </w:r>
          </w:p>
        </w:tc>
      </w:tr>
      <w:tr w14:paraId="6A6DE8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2348F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812" w:type="pct"/>
            <w:tcBorders>
              <w:tl2br w:val="nil"/>
              <w:tr2bl w:val="nil"/>
            </w:tcBorders>
            <w:noWrap w:val="0"/>
            <w:vAlign w:val="center"/>
          </w:tcPr>
          <w:p w14:paraId="31DE1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6901棉麻公司</w:t>
            </w:r>
          </w:p>
        </w:tc>
        <w:tc>
          <w:tcPr>
            <w:tcW w:w="772" w:type="pct"/>
            <w:tcBorders>
              <w:tl2br w:val="nil"/>
              <w:tr2bl w:val="nil"/>
            </w:tcBorders>
            <w:noWrap w:val="0"/>
            <w:vAlign w:val="center"/>
          </w:tcPr>
          <w:p w14:paraId="76569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6901码头</w:t>
            </w:r>
          </w:p>
        </w:tc>
        <w:tc>
          <w:tcPr>
            <w:tcW w:w="304" w:type="pct"/>
            <w:tcBorders>
              <w:tl2br w:val="nil"/>
              <w:tr2bl w:val="nil"/>
            </w:tcBorders>
            <w:noWrap w:val="0"/>
            <w:vAlign w:val="center"/>
          </w:tcPr>
          <w:p w14:paraId="1CC207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1972</w:t>
            </w:r>
          </w:p>
        </w:tc>
        <w:tc>
          <w:tcPr>
            <w:tcW w:w="583" w:type="pct"/>
            <w:tcBorders>
              <w:tl2br w:val="nil"/>
              <w:tr2bl w:val="nil"/>
            </w:tcBorders>
            <w:noWrap w:val="0"/>
            <w:vAlign w:val="center"/>
          </w:tcPr>
          <w:p w14:paraId="7CAF5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通用件杂</w:t>
            </w:r>
          </w:p>
        </w:tc>
        <w:tc>
          <w:tcPr>
            <w:tcW w:w="414" w:type="pct"/>
            <w:tcBorders>
              <w:tl2br w:val="nil"/>
              <w:tr2bl w:val="nil"/>
            </w:tcBorders>
            <w:noWrap w:val="0"/>
            <w:vAlign w:val="center"/>
          </w:tcPr>
          <w:p w14:paraId="5E085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459" w:type="pct"/>
            <w:tcBorders>
              <w:tl2br w:val="nil"/>
              <w:tr2bl w:val="nil"/>
            </w:tcBorders>
            <w:noWrap w:val="0"/>
            <w:vAlign w:val="center"/>
          </w:tcPr>
          <w:p w14:paraId="06270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55</w:t>
            </w:r>
          </w:p>
        </w:tc>
        <w:tc>
          <w:tcPr>
            <w:tcW w:w="459" w:type="pct"/>
            <w:tcBorders>
              <w:tl2br w:val="nil"/>
              <w:tr2bl w:val="nil"/>
            </w:tcBorders>
            <w:noWrap w:val="0"/>
            <w:vAlign w:val="center"/>
          </w:tcPr>
          <w:p w14:paraId="1F1B6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459" w:type="pct"/>
            <w:tcBorders>
              <w:tl2br w:val="nil"/>
              <w:tr2bl w:val="nil"/>
            </w:tcBorders>
            <w:noWrap w:val="0"/>
            <w:vAlign w:val="center"/>
          </w:tcPr>
          <w:p w14:paraId="1F04C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w:t>
            </w:r>
          </w:p>
        </w:tc>
        <w:tc>
          <w:tcPr>
            <w:tcW w:w="458" w:type="pct"/>
            <w:tcBorders>
              <w:tl2br w:val="nil"/>
              <w:tr2bl w:val="nil"/>
            </w:tcBorders>
            <w:noWrap w:val="0"/>
            <w:vAlign w:val="center"/>
          </w:tcPr>
          <w:p w14:paraId="6CC4E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运行</w:t>
            </w:r>
          </w:p>
        </w:tc>
      </w:tr>
      <w:tr w14:paraId="6A858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72D14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812" w:type="pct"/>
            <w:tcBorders>
              <w:tl2br w:val="nil"/>
              <w:tr2bl w:val="nil"/>
            </w:tcBorders>
            <w:noWrap w:val="0"/>
            <w:vAlign w:val="center"/>
          </w:tcPr>
          <w:p w14:paraId="3F67B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丰利公司</w:t>
            </w:r>
          </w:p>
        </w:tc>
        <w:tc>
          <w:tcPr>
            <w:tcW w:w="772" w:type="pct"/>
            <w:tcBorders>
              <w:tl2br w:val="nil"/>
              <w:tr2bl w:val="nil"/>
            </w:tcBorders>
            <w:noWrap w:val="0"/>
            <w:vAlign w:val="center"/>
          </w:tcPr>
          <w:p w14:paraId="022C22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岳阳丰利</w:t>
            </w:r>
          </w:p>
        </w:tc>
        <w:tc>
          <w:tcPr>
            <w:tcW w:w="304" w:type="pct"/>
            <w:tcBorders>
              <w:tl2br w:val="nil"/>
              <w:tr2bl w:val="nil"/>
            </w:tcBorders>
            <w:noWrap w:val="0"/>
            <w:vAlign w:val="center"/>
          </w:tcPr>
          <w:p w14:paraId="35E7A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1995</w:t>
            </w:r>
          </w:p>
        </w:tc>
        <w:tc>
          <w:tcPr>
            <w:tcW w:w="583" w:type="pct"/>
            <w:tcBorders>
              <w:tl2br w:val="nil"/>
              <w:tr2bl w:val="nil"/>
            </w:tcBorders>
            <w:noWrap w:val="0"/>
            <w:vAlign w:val="center"/>
          </w:tcPr>
          <w:p w14:paraId="755B7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通用散货</w:t>
            </w:r>
          </w:p>
        </w:tc>
        <w:tc>
          <w:tcPr>
            <w:tcW w:w="414" w:type="pct"/>
            <w:tcBorders>
              <w:tl2br w:val="nil"/>
              <w:tr2bl w:val="nil"/>
            </w:tcBorders>
            <w:noWrap w:val="0"/>
            <w:vAlign w:val="center"/>
          </w:tcPr>
          <w:p w14:paraId="6E746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459" w:type="pct"/>
            <w:tcBorders>
              <w:tl2br w:val="nil"/>
              <w:tr2bl w:val="nil"/>
            </w:tcBorders>
            <w:noWrap w:val="0"/>
            <w:vAlign w:val="center"/>
          </w:tcPr>
          <w:p w14:paraId="38F98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55</w:t>
            </w:r>
          </w:p>
        </w:tc>
        <w:tc>
          <w:tcPr>
            <w:tcW w:w="459" w:type="pct"/>
            <w:tcBorders>
              <w:tl2br w:val="nil"/>
              <w:tr2bl w:val="nil"/>
            </w:tcBorders>
            <w:noWrap w:val="0"/>
            <w:vAlign w:val="center"/>
          </w:tcPr>
          <w:p w14:paraId="6D4E10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459" w:type="pct"/>
            <w:tcBorders>
              <w:tl2br w:val="nil"/>
              <w:tr2bl w:val="nil"/>
            </w:tcBorders>
            <w:noWrap w:val="0"/>
            <w:vAlign w:val="center"/>
          </w:tcPr>
          <w:p w14:paraId="7F91C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w:t>
            </w:r>
          </w:p>
        </w:tc>
        <w:tc>
          <w:tcPr>
            <w:tcW w:w="458" w:type="pct"/>
            <w:tcBorders>
              <w:tl2br w:val="nil"/>
              <w:tr2bl w:val="nil"/>
            </w:tcBorders>
            <w:noWrap w:val="0"/>
            <w:vAlign w:val="center"/>
          </w:tcPr>
          <w:p w14:paraId="60721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运行</w:t>
            </w:r>
          </w:p>
        </w:tc>
      </w:tr>
      <w:tr w14:paraId="78A304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689A6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812" w:type="pct"/>
            <w:tcBorders>
              <w:tl2br w:val="nil"/>
              <w:tr2bl w:val="nil"/>
            </w:tcBorders>
            <w:noWrap w:val="0"/>
            <w:vAlign w:val="center"/>
          </w:tcPr>
          <w:p w14:paraId="5D9DE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南方水泥</w:t>
            </w:r>
          </w:p>
        </w:tc>
        <w:tc>
          <w:tcPr>
            <w:tcW w:w="772" w:type="pct"/>
            <w:tcBorders>
              <w:tl2br w:val="nil"/>
              <w:tr2bl w:val="nil"/>
            </w:tcBorders>
            <w:noWrap w:val="0"/>
            <w:vAlign w:val="center"/>
          </w:tcPr>
          <w:p w14:paraId="55B92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南方水泥专用</w:t>
            </w:r>
          </w:p>
        </w:tc>
        <w:tc>
          <w:tcPr>
            <w:tcW w:w="304" w:type="pct"/>
            <w:tcBorders>
              <w:tl2br w:val="nil"/>
              <w:tr2bl w:val="nil"/>
            </w:tcBorders>
            <w:noWrap w:val="0"/>
            <w:vAlign w:val="center"/>
          </w:tcPr>
          <w:p w14:paraId="34B31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p>
        </w:tc>
        <w:tc>
          <w:tcPr>
            <w:tcW w:w="583" w:type="pct"/>
            <w:tcBorders>
              <w:tl2br w:val="nil"/>
              <w:tr2bl w:val="nil"/>
            </w:tcBorders>
            <w:noWrap w:val="0"/>
            <w:vAlign w:val="center"/>
          </w:tcPr>
          <w:p w14:paraId="0C09E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通用件杂</w:t>
            </w:r>
          </w:p>
        </w:tc>
        <w:tc>
          <w:tcPr>
            <w:tcW w:w="414" w:type="pct"/>
            <w:tcBorders>
              <w:tl2br w:val="nil"/>
              <w:tr2bl w:val="nil"/>
            </w:tcBorders>
            <w:noWrap w:val="0"/>
            <w:vAlign w:val="center"/>
          </w:tcPr>
          <w:p w14:paraId="5A5A66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459" w:type="pct"/>
            <w:tcBorders>
              <w:tl2br w:val="nil"/>
              <w:tr2bl w:val="nil"/>
            </w:tcBorders>
            <w:noWrap w:val="0"/>
            <w:vAlign w:val="center"/>
          </w:tcPr>
          <w:p w14:paraId="2485D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173</w:t>
            </w:r>
          </w:p>
        </w:tc>
        <w:tc>
          <w:tcPr>
            <w:tcW w:w="459" w:type="pct"/>
            <w:tcBorders>
              <w:tl2br w:val="nil"/>
              <w:tr2bl w:val="nil"/>
            </w:tcBorders>
            <w:noWrap w:val="0"/>
            <w:vAlign w:val="center"/>
          </w:tcPr>
          <w:p w14:paraId="47AFAB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459" w:type="pct"/>
            <w:tcBorders>
              <w:tl2br w:val="nil"/>
              <w:tr2bl w:val="nil"/>
            </w:tcBorders>
            <w:noWrap w:val="0"/>
            <w:vAlign w:val="center"/>
          </w:tcPr>
          <w:p w14:paraId="45B36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1000</w:t>
            </w:r>
          </w:p>
        </w:tc>
        <w:tc>
          <w:tcPr>
            <w:tcW w:w="458" w:type="pct"/>
            <w:tcBorders>
              <w:tl2br w:val="nil"/>
              <w:tr2bl w:val="nil"/>
            </w:tcBorders>
            <w:noWrap w:val="0"/>
            <w:vAlign w:val="center"/>
          </w:tcPr>
          <w:p w14:paraId="4B928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运行</w:t>
            </w:r>
          </w:p>
        </w:tc>
      </w:tr>
      <w:tr w14:paraId="4AF189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277" w:type="pct"/>
            <w:tcBorders>
              <w:tl2br w:val="nil"/>
              <w:tr2bl w:val="nil"/>
            </w:tcBorders>
            <w:noWrap/>
            <w:vAlign w:val="center"/>
          </w:tcPr>
          <w:p w14:paraId="0C121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812" w:type="pct"/>
            <w:tcBorders>
              <w:tl2br w:val="nil"/>
              <w:tr2bl w:val="nil"/>
            </w:tcBorders>
            <w:noWrap w:val="0"/>
            <w:vAlign w:val="center"/>
          </w:tcPr>
          <w:p w14:paraId="337D9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荣鹿公路建设开发有限公司</w:t>
            </w:r>
          </w:p>
        </w:tc>
        <w:tc>
          <w:tcPr>
            <w:tcW w:w="772" w:type="pct"/>
            <w:tcBorders>
              <w:tl2br w:val="nil"/>
              <w:tr2bl w:val="nil"/>
            </w:tcBorders>
            <w:noWrap w:val="0"/>
            <w:vAlign w:val="center"/>
          </w:tcPr>
          <w:p w14:paraId="30673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鹿角集装码头</w:t>
            </w:r>
          </w:p>
        </w:tc>
        <w:tc>
          <w:tcPr>
            <w:tcW w:w="304" w:type="pct"/>
            <w:tcBorders>
              <w:tl2br w:val="nil"/>
              <w:tr2bl w:val="nil"/>
            </w:tcBorders>
            <w:noWrap w:val="0"/>
            <w:vAlign w:val="center"/>
          </w:tcPr>
          <w:p w14:paraId="0A772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2016</w:t>
            </w:r>
          </w:p>
        </w:tc>
        <w:tc>
          <w:tcPr>
            <w:tcW w:w="583" w:type="pct"/>
            <w:tcBorders>
              <w:tl2br w:val="nil"/>
              <w:tr2bl w:val="nil"/>
            </w:tcBorders>
            <w:noWrap w:val="0"/>
            <w:vAlign w:val="center"/>
          </w:tcPr>
          <w:p w14:paraId="46817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通用散货多用途</w:t>
            </w:r>
          </w:p>
        </w:tc>
        <w:tc>
          <w:tcPr>
            <w:tcW w:w="414" w:type="pct"/>
            <w:tcBorders>
              <w:tl2br w:val="nil"/>
              <w:tr2bl w:val="nil"/>
            </w:tcBorders>
            <w:noWrap w:val="0"/>
            <w:vAlign w:val="center"/>
          </w:tcPr>
          <w:p w14:paraId="71C26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3.2</w:t>
            </w:r>
          </w:p>
        </w:tc>
        <w:tc>
          <w:tcPr>
            <w:tcW w:w="459" w:type="pct"/>
            <w:tcBorders>
              <w:tl2br w:val="nil"/>
              <w:tr2bl w:val="nil"/>
            </w:tcBorders>
            <w:noWrap w:val="0"/>
            <w:vAlign w:val="center"/>
          </w:tcPr>
          <w:p w14:paraId="47130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216</w:t>
            </w:r>
          </w:p>
        </w:tc>
        <w:tc>
          <w:tcPr>
            <w:tcW w:w="459" w:type="pct"/>
            <w:tcBorders>
              <w:tl2br w:val="nil"/>
              <w:tr2bl w:val="nil"/>
            </w:tcBorders>
            <w:noWrap w:val="0"/>
            <w:vAlign w:val="center"/>
          </w:tcPr>
          <w:p w14:paraId="32B64E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459" w:type="pct"/>
            <w:tcBorders>
              <w:tl2br w:val="nil"/>
              <w:tr2bl w:val="nil"/>
            </w:tcBorders>
            <w:noWrap w:val="0"/>
            <w:vAlign w:val="center"/>
          </w:tcPr>
          <w:p w14:paraId="1E0ED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2000</w:t>
            </w:r>
          </w:p>
        </w:tc>
        <w:tc>
          <w:tcPr>
            <w:tcW w:w="458" w:type="pct"/>
            <w:tcBorders>
              <w:tl2br w:val="nil"/>
              <w:tr2bl w:val="nil"/>
            </w:tcBorders>
            <w:noWrap w:val="0"/>
            <w:vAlign w:val="center"/>
          </w:tcPr>
          <w:p w14:paraId="64D72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运行</w:t>
            </w:r>
          </w:p>
        </w:tc>
      </w:tr>
    </w:tbl>
    <w:p w14:paraId="46752116">
      <w:pPr>
        <w:adjustRightInd w:val="0"/>
        <w:snapToGrid w:val="0"/>
        <w:ind w:firstLine="381" w:firstLineChars="200"/>
        <w:rPr>
          <w:rFonts w:hint="default" w:ascii="Times New Roman" w:hAnsi="Times New Roman" w:eastAsia="宋体" w:cs="Times New Roman"/>
          <w:b/>
          <w:bCs/>
          <w:snapToGrid w:val="0"/>
          <w:color w:val="auto"/>
          <w:spacing w:val="5"/>
          <w:kern w:val="0"/>
          <w:sz w:val="21"/>
          <w:szCs w:val="21"/>
          <w:u w:val="none" w:color="auto"/>
        </w:rPr>
      </w:pPr>
      <w:r>
        <w:rPr>
          <w:rFonts w:hint="default" w:ascii="Times New Roman" w:hAnsi="Times New Roman" w:eastAsia="宋体" w:cs="Times New Roman"/>
          <w:b/>
          <w:bCs/>
          <w:snapToGrid w:val="0"/>
          <w:color w:val="auto"/>
          <w:spacing w:val="5"/>
          <w:kern w:val="0"/>
          <w:sz w:val="18"/>
          <w:szCs w:val="18"/>
          <w:u w:val="none" w:color="auto"/>
        </w:rPr>
        <w:t>注：</w:t>
      </w:r>
      <w:r>
        <w:rPr>
          <w:rFonts w:hint="default" w:ascii="Times New Roman" w:hAnsi="Times New Roman" w:eastAsia="宋体" w:cs="Times New Roman"/>
          <w:b/>
          <w:bCs/>
          <w:color w:val="auto"/>
          <w:sz w:val="18"/>
          <w:szCs w:val="18"/>
          <w:u w:val="none" w:color="auto"/>
        </w:rPr>
        <w:t>鹿角交通综合泊位功能为海事与航道工作船停靠。</w:t>
      </w:r>
    </w:p>
    <w:p w14:paraId="7A9E0BF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u w:val="none" w:color="auto"/>
        </w:rPr>
        <w:t>鹿角港区陆路经县城荣家湾可与京广、武广高速铁路和京珠、岳长、杭瑞、随岳等高速公路及G106、G107国道相联接。</w:t>
      </w:r>
      <w:r>
        <w:rPr>
          <w:rFonts w:hint="default" w:ascii="Times New Roman" w:hAnsi="Times New Roman" w:eastAsia="宋体" w:cs="Times New Roman"/>
          <w:color w:val="auto"/>
          <w:u w:val="none" w:color="auto"/>
          <w:lang w:eastAsia="zh-CN"/>
        </w:rPr>
        <w:t>鹿角交通渔政综合执法码头</w:t>
      </w:r>
      <w:r>
        <w:rPr>
          <w:rFonts w:hint="default" w:ascii="Times New Roman" w:hAnsi="Times New Roman" w:eastAsia="宋体" w:cs="Times New Roman"/>
          <w:color w:val="auto"/>
          <w:u w:val="none" w:color="auto"/>
        </w:rPr>
        <w:t>位于岳阳县港区，该港区仅规划有鹿角作业区，规划该港区主要为当地经济发展服务。</w:t>
      </w:r>
    </w:p>
    <w:p w14:paraId="6C5353DB">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bookmarkStart w:id="420" w:name="_Toc26670"/>
      <w:bookmarkStart w:id="421" w:name="_Toc29344"/>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3 鹿角码头现状</w:t>
      </w:r>
      <w:bookmarkEnd w:id="420"/>
      <w:bookmarkEnd w:id="421"/>
    </w:p>
    <w:p w14:paraId="738776AE">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color w:val="auto"/>
          <w:u w:val="none" w:color="auto"/>
          <w:lang w:eastAsia="zh-CN"/>
        </w:rPr>
        <w:t>岳阳县鹿角交通渔政综合执法码头拟选址在东洞庭湖南部区域，岳阳县原鹿角镇杨庙村的湘江右岸河段，是天然避风港口，防风能力强，位置适中，南下汨罗、湘阴，北上三江口，西到东洞庭湖腹地。紧邻渔民新村，该处水深条件较好，受波浪影响较小，水陆交通方便，便于渔政执法船舶的停靠。故选择此地建设岳阳县鹿角交通渔政综合执法码头是较为合适的，未来将充分发挥</w:t>
      </w:r>
      <w:r>
        <w:rPr>
          <w:rFonts w:hint="default" w:ascii="Times New Roman" w:hAnsi="Times New Roman" w:eastAsia="宋体" w:cs="Times New Roman"/>
          <w:color w:val="auto"/>
          <w:u w:val="none" w:color="auto"/>
          <w:lang w:val="en-US" w:eastAsia="zh-CN"/>
        </w:rPr>
        <w:t>渔政码头执法</w:t>
      </w:r>
      <w:r>
        <w:rPr>
          <w:rFonts w:hint="default" w:ascii="Times New Roman" w:hAnsi="Times New Roman" w:eastAsia="宋体" w:cs="Times New Roman"/>
          <w:color w:val="auto"/>
          <w:u w:val="none" w:color="auto"/>
          <w:lang w:eastAsia="zh-CN"/>
        </w:rPr>
        <w:t>的综合功能。</w:t>
      </w:r>
    </w:p>
    <w:p w14:paraId="318535E1">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eastAsia="zh-CN"/>
        </w:rPr>
        <w:t>鹿角</w:t>
      </w:r>
      <w:r>
        <w:rPr>
          <w:rFonts w:hint="eastAsia" w:ascii="Times New Roman" w:hAnsi="Times New Roman" w:eastAsia="宋体" w:cs="Times New Roman"/>
          <w:color w:val="auto"/>
          <w:u w:val="none" w:color="auto"/>
          <w:lang w:eastAsia="zh-CN"/>
        </w:rPr>
        <w:t>码头</w:t>
      </w:r>
      <w:r>
        <w:rPr>
          <w:rFonts w:hint="eastAsia" w:cs="Times New Roman"/>
          <w:color w:val="auto"/>
          <w:u w:val="none" w:color="auto"/>
          <w:lang w:eastAsia="zh-CN"/>
        </w:rPr>
        <w:t>现有工程内容：交通局泊位趸船一艘，趸船长</w:t>
      </w:r>
      <w:r>
        <w:rPr>
          <w:rFonts w:hint="eastAsia" w:cs="Times New Roman"/>
          <w:color w:val="auto"/>
          <w:u w:val="none" w:color="auto"/>
          <w:lang w:val="en-US" w:eastAsia="zh-CN"/>
        </w:rPr>
        <w:t>36m、宽9m，停靠船只共有13条，趸船日常工作人员共7人，水泥斜坡路面长160m、宽15m，供电由岸电设施供给，生活用水为就地过滤用水，生活污水交由岳阳清源水处理技术服务有限公司处理，趸船设置固体废物收集箱（垃圾箱）4个，各类生活垃圾经分类收集后打包上岸交由当地环卫部门处理。</w:t>
      </w:r>
    </w:p>
    <w:p w14:paraId="3BC187A7">
      <w:pPr>
        <w:bidi w:val="0"/>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s">
            <w:drawing>
              <wp:anchor distT="0" distB="0" distL="114300" distR="114300" simplePos="0" relativeHeight="251671552" behindDoc="0" locked="0" layoutInCell="1" allowOverlap="1">
                <wp:simplePos x="0" y="0"/>
                <wp:positionH relativeFrom="column">
                  <wp:posOffset>3411855</wp:posOffset>
                </wp:positionH>
                <wp:positionV relativeFrom="paragraph">
                  <wp:posOffset>446405</wp:posOffset>
                </wp:positionV>
                <wp:extent cx="1242060" cy="490220"/>
                <wp:effectExtent l="4445" t="4445" r="10795" b="19685"/>
                <wp:wrapNone/>
                <wp:docPr id="125" name="矩形 125"/>
                <wp:cNvGraphicFramePr/>
                <a:graphic xmlns:a="http://schemas.openxmlformats.org/drawingml/2006/main">
                  <a:graphicData uri="http://schemas.microsoft.com/office/word/2010/wordprocessingShape">
                    <wps:wsp>
                      <wps:cNvSpPr/>
                      <wps:spPr>
                        <a:xfrm>
                          <a:off x="0" y="0"/>
                          <a:ext cx="1242060" cy="490220"/>
                        </a:xfrm>
                        <a:prstGeom prst="rect">
                          <a:avLst/>
                        </a:prstGeom>
                        <a:noFill/>
                        <a:ln w="9525" cap="flat" cmpd="sng">
                          <a:solidFill>
                            <a:srgbClr val="C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65pt;margin-top:35.15pt;height:38.6pt;width:97.8pt;z-index:251671552;mso-width-relative:page;mso-height-relative:page;" filled="f" stroked="t" coordsize="21600,21600" o:gfxdata="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zZNf2wAAAAoBAAAPAAAAAAAAAAEAIAAAACIAAABkcnMvZG93bnJl&#10;di54bWxQSwECFAAUAAAACACHTuJACmFHP/oBAAD5AwAADgAAAAAAAAABACAAAAAqAQAAZHJzL2Uy&#10;b0RvYy54bWxQSwUGAAAAAAYABgBZAQAAlgUAAAAA&#10;">
                <v:fill on="f" focussize="0,0"/>
                <v:stroke color="#C00000" joinstyle="miter"/>
                <v:imagedata o:title=""/>
                <o:lock v:ext="edit" aspectratio="f"/>
              </v:rect>
            </w:pict>
          </mc:Fallback>
        </mc:AlternateContent>
      </w:r>
      <w:r>
        <w:rPr>
          <w:rFonts w:hint="default" w:ascii="Times New Roman" w:hAnsi="Times New Roman" w:eastAsia="宋体" w:cs="Times New Roman"/>
          <w:color w:val="auto"/>
        </w:rPr>
        <w:drawing>
          <wp:inline distT="0" distB="0" distL="114300" distR="114300">
            <wp:extent cx="2655570" cy="1800225"/>
            <wp:effectExtent l="0" t="0" r="11430" b="9525"/>
            <wp:docPr id="1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
                    <pic:cNvPicPr>
                      <a:picLocks noChangeAspect="1"/>
                    </pic:cNvPicPr>
                  </pic:nvPicPr>
                  <pic:blipFill>
                    <a:blip r:embed="rId18"/>
                    <a:stretch>
                      <a:fillRect/>
                    </a:stretch>
                  </pic:blipFill>
                  <pic:spPr>
                    <a:xfrm>
                      <a:off x="0" y="0"/>
                      <a:ext cx="2655570" cy="1800225"/>
                    </a:xfrm>
                    <a:prstGeom prst="rect">
                      <a:avLst/>
                    </a:prstGeom>
                    <a:noFill/>
                    <a:ln>
                      <a:noFill/>
                    </a:ln>
                  </pic:spPr>
                </pic:pic>
              </a:graphicData>
            </a:graphic>
          </wp:inline>
        </w:drawing>
      </w:r>
      <w:r>
        <w:rPr>
          <w:rFonts w:hint="default" w:ascii="Times New Roman" w:hAnsi="Times New Roman" w:eastAsia="宋体" w:cs="Times New Roman"/>
          <w:color w:val="auto"/>
        </w:rPr>
        <w:drawing>
          <wp:inline distT="0" distB="0" distL="114300" distR="114300">
            <wp:extent cx="2569210" cy="1800225"/>
            <wp:effectExtent l="0" t="0" r="2540" b="9525"/>
            <wp:docPr id="1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7"/>
                    <pic:cNvPicPr>
                      <a:picLocks noChangeAspect="1"/>
                    </pic:cNvPicPr>
                  </pic:nvPicPr>
                  <pic:blipFill>
                    <a:blip r:embed="rId19"/>
                    <a:srcRect l="17206" t="5121" r="3508" b="5988"/>
                    <a:stretch>
                      <a:fillRect/>
                    </a:stretch>
                  </pic:blipFill>
                  <pic:spPr>
                    <a:xfrm>
                      <a:off x="0" y="0"/>
                      <a:ext cx="2569210" cy="1800225"/>
                    </a:xfrm>
                    <a:prstGeom prst="rect">
                      <a:avLst/>
                    </a:prstGeom>
                    <a:noFill/>
                    <a:ln>
                      <a:noFill/>
                    </a:ln>
                  </pic:spPr>
                </pic:pic>
              </a:graphicData>
            </a:graphic>
          </wp:inline>
        </w:drawing>
      </w:r>
    </w:p>
    <w:p w14:paraId="1F7444A2">
      <w:pPr>
        <w:pStyle w:val="61"/>
        <w:keepNext w:val="0"/>
        <w:keepLines w:val="0"/>
        <w:pageBreakBefore w:val="0"/>
        <w:numPr>
          <w:ilvl w:val="5"/>
          <w:numId w:val="0"/>
        </w:numPr>
        <w:kinsoku/>
        <w:wordWrap/>
        <w:overflowPunct/>
        <w:topLinePunct w:val="0"/>
        <w:autoSpaceDE/>
        <w:autoSpaceDN/>
        <w:bidi w:val="0"/>
        <w:adjustRightInd/>
        <w:snapToGrid/>
        <w:spacing w:after="0" w:afterLines="0" w:line="360" w:lineRule="auto"/>
        <w:ind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图3.1-</w:t>
      </w:r>
      <w:r>
        <w:rPr>
          <w:rFonts w:hint="eastAsia" w:cs="Times New Roman"/>
          <w:color w:val="auto"/>
          <w:lang w:val="en-US" w:eastAsia="zh-CN"/>
        </w:rPr>
        <w:t>1</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地理位置示意图</w:t>
      </w:r>
    </w:p>
    <w:p w14:paraId="5583ACE7">
      <w:pPr>
        <w:bidi w:val="0"/>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54300" cy="1821815"/>
            <wp:effectExtent l="0" t="0" r="12700" b="6985"/>
            <wp:docPr id="1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
                    <pic:cNvPicPr>
                      <a:picLocks noChangeAspect="1"/>
                    </pic:cNvPicPr>
                  </pic:nvPicPr>
                  <pic:blipFill>
                    <a:blip r:embed="rId20"/>
                    <a:stretch>
                      <a:fillRect/>
                    </a:stretch>
                  </pic:blipFill>
                  <pic:spPr>
                    <a:xfrm>
                      <a:off x="0" y="0"/>
                      <a:ext cx="2654300" cy="1821815"/>
                    </a:xfrm>
                    <a:prstGeom prst="rect">
                      <a:avLst/>
                    </a:prstGeom>
                    <a:noFill/>
                    <a:ln>
                      <a:noFill/>
                    </a:ln>
                  </pic:spPr>
                </pic:pic>
              </a:graphicData>
            </a:graphic>
          </wp:inline>
        </w:drawing>
      </w:r>
      <w:r>
        <w:rPr>
          <w:rFonts w:hint="eastAsia" w:cs="Times New Roman"/>
          <w:color w:val="auto"/>
          <w:lang w:val="en-US" w:eastAsia="zh-CN"/>
        </w:rPr>
        <w:t xml:space="preserve"> </w:t>
      </w:r>
      <w:r>
        <w:rPr>
          <w:rFonts w:hint="default" w:ascii="Times New Roman" w:hAnsi="Times New Roman" w:eastAsia="宋体" w:cs="Times New Roman"/>
          <w:color w:val="auto"/>
        </w:rPr>
        <w:drawing>
          <wp:inline distT="0" distB="0" distL="114300" distR="114300">
            <wp:extent cx="2417445" cy="1800225"/>
            <wp:effectExtent l="0" t="0" r="1905" b="9525"/>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
                    <pic:cNvPicPr>
                      <a:picLocks noChangeAspect="1"/>
                    </pic:cNvPicPr>
                  </pic:nvPicPr>
                  <pic:blipFill>
                    <a:blip r:embed="rId21"/>
                    <a:stretch>
                      <a:fillRect/>
                    </a:stretch>
                  </pic:blipFill>
                  <pic:spPr>
                    <a:xfrm>
                      <a:off x="0" y="0"/>
                      <a:ext cx="2417445" cy="1800225"/>
                    </a:xfrm>
                    <a:prstGeom prst="rect">
                      <a:avLst/>
                    </a:prstGeom>
                    <a:noFill/>
                    <a:ln>
                      <a:noFill/>
                    </a:ln>
                  </pic:spPr>
                </pic:pic>
              </a:graphicData>
            </a:graphic>
          </wp:inline>
        </w:drawing>
      </w:r>
    </w:p>
    <w:p w14:paraId="4CEBBD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152015" cy="1800225"/>
            <wp:effectExtent l="0" t="0" r="635" b="9525"/>
            <wp:docPr id="1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4"/>
                    <pic:cNvPicPr>
                      <a:picLocks noChangeAspect="1"/>
                    </pic:cNvPicPr>
                  </pic:nvPicPr>
                  <pic:blipFill>
                    <a:blip r:embed="rId22"/>
                    <a:stretch>
                      <a:fillRect/>
                    </a:stretch>
                  </pic:blipFill>
                  <pic:spPr>
                    <a:xfrm>
                      <a:off x="0" y="0"/>
                      <a:ext cx="2152015" cy="1800225"/>
                    </a:xfrm>
                    <a:prstGeom prst="rect">
                      <a:avLst/>
                    </a:prstGeom>
                    <a:noFill/>
                    <a:ln>
                      <a:noFill/>
                    </a:ln>
                  </pic:spPr>
                </pic:pic>
              </a:graphicData>
            </a:graphic>
          </wp:inline>
        </w:drawing>
      </w:r>
      <w:r>
        <w:rPr>
          <w:rFonts w:hint="eastAsia" w:cs="Times New Roman"/>
          <w:color w:val="auto"/>
          <w:lang w:val="en-US" w:eastAsia="zh-CN"/>
        </w:rPr>
        <w:t xml:space="preserve"> </w:t>
      </w:r>
      <w:r>
        <w:rPr>
          <w:rFonts w:hint="default" w:ascii="Times New Roman" w:hAnsi="Times New Roman" w:eastAsia="宋体" w:cs="Times New Roman"/>
          <w:color w:val="auto"/>
        </w:rPr>
        <w:drawing>
          <wp:inline distT="0" distB="0" distL="114300" distR="114300">
            <wp:extent cx="2906395" cy="1800225"/>
            <wp:effectExtent l="0" t="0" r="8255" b="952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23"/>
                    <a:srcRect l="8405" t="3928" b="5295"/>
                    <a:stretch>
                      <a:fillRect/>
                    </a:stretch>
                  </pic:blipFill>
                  <pic:spPr>
                    <a:xfrm>
                      <a:off x="0" y="0"/>
                      <a:ext cx="2906395" cy="1800225"/>
                    </a:xfrm>
                    <a:prstGeom prst="rect">
                      <a:avLst/>
                    </a:prstGeom>
                    <a:noFill/>
                    <a:ln>
                      <a:noFill/>
                    </a:ln>
                  </pic:spPr>
                </pic:pic>
              </a:graphicData>
            </a:graphic>
          </wp:inline>
        </w:drawing>
      </w:r>
    </w:p>
    <w:p w14:paraId="2D6951CC">
      <w:pPr>
        <w:pStyle w:val="61"/>
        <w:keepNext w:val="0"/>
        <w:keepLines w:val="0"/>
        <w:pageBreakBefore w:val="0"/>
        <w:widowControl w:val="0"/>
        <w:numPr>
          <w:ilvl w:val="5"/>
          <w:numId w:val="0"/>
        </w:numPr>
        <w:kinsoku/>
        <w:wordWrap/>
        <w:overflowPunct/>
        <w:topLinePunct w:val="0"/>
        <w:autoSpaceDE/>
        <w:autoSpaceDN/>
        <w:bidi w:val="0"/>
        <w:adjustRightInd/>
        <w:snapToGrid/>
        <w:spacing w:after="0" w:afterLines="0" w:line="240" w:lineRule="auto"/>
        <w:ind w:lef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图3.1-</w:t>
      </w:r>
      <w:r>
        <w:rPr>
          <w:rFonts w:hint="eastAsia" w:cs="Times New Roman"/>
          <w:color w:val="auto"/>
          <w:lang w:val="en-US" w:eastAsia="zh-CN"/>
        </w:rPr>
        <w:t>2</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鹿角作业区</w:t>
      </w:r>
      <w:r>
        <w:rPr>
          <w:rFonts w:hint="default" w:ascii="Times New Roman" w:hAnsi="Times New Roman" w:eastAsia="宋体" w:cs="Times New Roman"/>
          <w:color w:val="auto"/>
          <w:lang w:val="en-US" w:eastAsia="zh-CN"/>
        </w:rPr>
        <w:t>现状</w:t>
      </w:r>
    </w:p>
    <w:p w14:paraId="66EE7373">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1.4</w:t>
      </w:r>
      <w:r>
        <w:rPr>
          <w:rFonts w:hint="default" w:ascii="Times New Roman" w:hAnsi="Times New Roman" w:eastAsia="宋体" w:cs="Times New Roman"/>
          <w:color w:val="auto"/>
          <w:sz w:val="24"/>
          <w:szCs w:val="24"/>
          <w:u w:val="none" w:color="auto"/>
          <w:lang w:val="en-US" w:eastAsia="zh-CN"/>
        </w:rPr>
        <w:t xml:space="preserve"> 鹿角码头现有环境问题及整改措施</w:t>
      </w:r>
    </w:p>
    <w:p w14:paraId="3388F2F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color w:val="auto"/>
          <w:kern w:val="2"/>
          <w:sz w:val="24"/>
          <w:u w:val="none" w:color="auto"/>
          <w:lang w:val="en-US" w:eastAsia="zh-CN"/>
        </w:rPr>
      </w:pPr>
      <w:r>
        <w:rPr>
          <w:rFonts w:hint="default" w:ascii="Times New Roman" w:hAnsi="Times New Roman" w:eastAsia="宋体" w:cs="Times New Roman"/>
          <w:b w:val="0"/>
          <w:bCs/>
          <w:color w:val="auto"/>
          <w:kern w:val="2"/>
          <w:sz w:val="24"/>
          <w:u w:val="none" w:color="auto"/>
          <w:lang w:val="en-US" w:eastAsia="zh-CN"/>
        </w:rPr>
        <w:t>本项目存在的主要环保问题：由于建成时间较长，现有码头标准较低、安全环保等存在隐患，已不能适应新形势下的发展需要。是规范提升不违背产业政策和规划但手续不齐全的码头，鹿角港渔政综合码头马道因年久失修略面破损崎岖不平，两侧挡土墙垮塌严重，南侧防汛砂卵石临时堆场杂草丛生，部分区段滑坡较大，安全隐患突出；为防止护坡挡墙垮塌、泊岸滑披等危险现象的再次发生，改变路面破败的现状，特对鹿角码头进行提质改造。</w:t>
      </w:r>
    </w:p>
    <w:p w14:paraId="377D9EF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本项目存在环境问题及整改措施见下表3.1-</w:t>
      </w:r>
      <w:r>
        <w:rPr>
          <w:rFonts w:hint="eastAsia" w:cs="Times New Roman"/>
          <w:color w:val="auto"/>
          <w:sz w:val="24"/>
          <w:lang w:val="en-US" w:eastAsia="zh-CN"/>
        </w:rPr>
        <w:t>2</w:t>
      </w:r>
      <w:r>
        <w:rPr>
          <w:rFonts w:hint="eastAsia" w:cs="Times New Roman"/>
          <w:color w:val="auto"/>
          <w:sz w:val="24"/>
          <w:lang w:eastAsia="zh-CN"/>
        </w:rPr>
        <w:t>。</w:t>
      </w:r>
    </w:p>
    <w:p w14:paraId="094966DA">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3.1-2</w:t>
      </w:r>
      <w:r>
        <w:rPr>
          <w:rFonts w:hint="default" w:ascii="Times New Roman" w:hAnsi="Times New Roman" w:eastAsia="宋体" w:cs="Times New Roman"/>
          <w:color w:val="auto"/>
          <w:sz w:val="24"/>
          <w:szCs w:val="24"/>
        </w:rPr>
        <w:t xml:space="preserve">  本项目</w:t>
      </w:r>
      <w:r>
        <w:rPr>
          <w:rFonts w:hint="default" w:ascii="Times New Roman" w:hAnsi="Times New Roman" w:eastAsia="宋体" w:cs="Times New Roman"/>
          <w:color w:val="auto"/>
          <w:sz w:val="24"/>
          <w:szCs w:val="24"/>
          <w:lang w:val="en-US" w:eastAsia="zh-CN"/>
        </w:rPr>
        <w:t>码头</w:t>
      </w:r>
      <w:r>
        <w:rPr>
          <w:rFonts w:hint="default" w:ascii="Times New Roman" w:hAnsi="Times New Roman" w:eastAsia="宋体" w:cs="Times New Roman"/>
          <w:color w:val="auto"/>
          <w:sz w:val="24"/>
          <w:szCs w:val="24"/>
        </w:rPr>
        <w:t>存在环境问题及整改措施表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43"/>
        <w:gridCol w:w="2358"/>
        <w:gridCol w:w="5219"/>
      </w:tblGrid>
      <w:tr w14:paraId="30395A1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91" w:type="pct"/>
            <w:noWrap w:val="0"/>
            <w:vAlign w:val="center"/>
          </w:tcPr>
          <w:p w14:paraId="3FAD80B8">
            <w:pPr>
              <w:pStyle w:val="41"/>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序号</w:t>
            </w:r>
          </w:p>
        </w:tc>
        <w:tc>
          <w:tcPr>
            <w:tcW w:w="1434" w:type="pct"/>
            <w:noWrap w:val="0"/>
            <w:vAlign w:val="center"/>
          </w:tcPr>
          <w:p w14:paraId="36664B75">
            <w:pPr>
              <w:pStyle w:val="41"/>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存在环境问题</w:t>
            </w:r>
          </w:p>
        </w:tc>
        <w:tc>
          <w:tcPr>
            <w:tcW w:w="3174" w:type="pct"/>
            <w:noWrap w:val="0"/>
            <w:vAlign w:val="center"/>
          </w:tcPr>
          <w:p w14:paraId="7AB76A77">
            <w:pPr>
              <w:pStyle w:val="41"/>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整改措施及建议</w:t>
            </w:r>
          </w:p>
        </w:tc>
      </w:tr>
      <w:tr w14:paraId="765A2A9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391" w:type="pct"/>
            <w:noWrap w:val="0"/>
            <w:vAlign w:val="center"/>
          </w:tcPr>
          <w:p w14:paraId="6ECADCCC">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w:t>
            </w:r>
          </w:p>
        </w:tc>
        <w:tc>
          <w:tcPr>
            <w:tcW w:w="1434" w:type="pct"/>
            <w:noWrap w:val="0"/>
            <w:vAlign w:val="center"/>
          </w:tcPr>
          <w:p w14:paraId="235E7F48">
            <w:pPr>
              <w:pStyle w:val="41"/>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码头前沿护岸破损严重，影响湘江水生生态环境和大堤防洪安全。</w:t>
            </w:r>
          </w:p>
        </w:tc>
        <w:tc>
          <w:tcPr>
            <w:tcW w:w="3174" w:type="pct"/>
            <w:noWrap w:val="0"/>
            <w:vAlign w:val="center"/>
          </w:tcPr>
          <w:p w14:paraId="4B676EA7">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对破损区域进行护岸处理，护岸采用生态护岸。有效防止河岸水土流失，减轻对湘江水生生态环境不利影响，加强大堤防洪安全</w:t>
            </w:r>
          </w:p>
        </w:tc>
      </w:tr>
      <w:tr w14:paraId="3BEDC0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391" w:type="pct"/>
            <w:noWrap w:val="0"/>
            <w:vAlign w:val="center"/>
          </w:tcPr>
          <w:p w14:paraId="57C904B5">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w:t>
            </w:r>
          </w:p>
        </w:tc>
        <w:tc>
          <w:tcPr>
            <w:tcW w:w="1434" w:type="pct"/>
            <w:noWrap w:val="0"/>
            <w:vAlign w:val="center"/>
          </w:tcPr>
          <w:p w14:paraId="115A8C46">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码头前沿船舶岸电系统未设置，船舶停靠依靠自身动力系统，发动机持续运行产生燃油废气对大气环境造成不利影响。</w:t>
            </w:r>
          </w:p>
        </w:tc>
        <w:tc>
          <w:tcPr>
            <w:tcW w:w="3174" w:type="pct"/>
            <w:noWrap w:val="0"/>
            <w:vAlign w:val="center"/>
          </w:tcPr>
          <w:p w14:paraId="3FA6157E">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新增码头岸电系统，船舶停靠码头后可关停发动机，减轻了发动机持续运行产生燃油废气对大气环境造成不利影响。</w:t>
            </w:r>
          </w:p>
        </w:tc>
      </w:tr>
      <w:tr w14:paraId="147D25B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391" w:type="pct"/>
            <w:noWrap w:val="0"/>
            <w:vAlign w:val="center"/>
          </w:tcPr>
          <w:p w14:paraId="44114F76">
            <w:pPr>
              <w:pStyle w:val="41"/>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w:t>
            </w:r>
          </w:p>
        </w:tc>
        <w:tc>
          <w:tcPr>
            <w:tcW w:w="1434" w:type="pct"/>
            <w:noWrap w:val="0"/>
            <w:vAlign w:val="center"/>
          </w:tcPr>
          <w:p w14:paraId="5D7D98A3">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码头前沿未设置给排水系统，未设置船舶供水系统。</w:t>
            </w:r>
          </w:p>
        </w:tc>
        <w:tc>
          <w:tcPr>
            <w:tcW w:w="3174" w:type="pct"/>
            <w:noWrap w:val="0"/>
            <w:vAlign w:val="center"/>
          </w:tcPr>
          <w:p w14:paraId="5F427BF8">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新增码头地面硬化、供水系统，</w:t>
            </w:r>
            <w:r>
              <w:rPr>
                <w:rFonts w:hint="default" w:ascii="Times New Roman" w:hAnsi="Times New Roman" w:eastAsia="宋体" w:cs="Times New Roman"/>
                <w:color w:val="auto"/>
                <w:spacing w:val="4"/>
                <w:sz w:val="21"/>
                <w:szCs w:val="21"/>
                <w:lang w:eastAsia="zh-CN"/>
              </w:rPr>
              <w:t>码头员工生活污水</w:t>
            </w:r>
            <w:r>
              <w:rPr>
                <w:rFonts w:hint="default" w:ascii="Times New Roman" w:hAnsi="Times New Roman" w:eastAsia="宋体" w:cs="Times New Roman"/>
                <w:color w:val="auto"/>
                <w:spacing w:val="4"/>
                <w:sz w:val="21"/>
                <w:szCs w:val="21"/>
                <w:lang w:val="en-US" w:eastAsia="zh-CN"/>
              </w:rPr>
              <w:t>排入污水柜</w:t>
            </w:r>
            <w:r>
              <w:rPr>
                <w:rFonts w:hint="default" w:ascii="Times New Roman" w:hAnsi="Times New Roman" w:eastAsia="宋体" w:cs="Times New Roman"/>
                <w:color w:val="auto"/>
                <w:spacing w:val="4"/>
                <w:sz w:val="21"/>
                <w:szCs w:val="21"/>
                <w:lang w:eastAsia="zh-CN"/>
              </w:rPr>
              <w:t>，不外排</w:t>
            </w:r>
          </w:p>
        </w:tc>
      </w:tr>
    </w:tbl>
    <w:p w14:paraId="405B2CAB">
      <w:pPr>
        <w:pStyle w:val="10"/>
        <w:keepNext/>
        <w:keepLines/>
        <w:pageBreakBefore w:val="0"/>
        <w:widowControl w:val="0"/>
        <w:kinsoku/>
        <w:wordWrap/>
        <w:overflowPunct/>
        <w:topLinePunct w:val="0"/>
        <w:autoSpaceDE/>
        <w:autoSpaceDN/>
        <w:bidi w:val="0"/>
        <w:adjustRightInd/>
        <w:snapToGrid/>
        <w:spacing w:before="167" w:beforeLines="50" w:after="0" w:line="360" w:lineRule="auto"/>
        <w:textAlignment w:val="auto"/>
        <w:outlineLvl w:val="3"/>
        <w:rPr>
          <w:rFonts w:hint="default" w:ascii="Times New Roman" w:hAnsi="Times New Roman" w:eastAsia="宋体" w:cs="Times New Roman"/>
          <w:color w:val="auto"/>
          <w:sz w:val="24"/>
          <w:szCs w:val="24"/>
          <w:u w:val="none" w:color="auto"/>
          <w:lang w:val="en-US" w:eastAsia="zh-CN"/>
        </w:rPr>
      </w:pPr>
      <w:bookmarkStart w:id="422" w:name="_Toc26872"/>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lang w:val="en-US" w:eastAsia="zh-CN"/>
        </w:rPr>
        <w:t xml:space="preserve"> 鹿角码头</w:t>
      </w:r>
      <w:r>
        <w:rPr>
          <w:rFonts w:hint="eastAsia" w:cs="Times New Roman"/>
          <w:color w:val="auto"/>
          <w:sz w:val="24"/>
          <w:szCs w:val="24"/>
          <w:u w:val="none" w:color="auto"/>
          <w:lang w:val="en-US" w:eastAsia="zh-CN"/>
        </w:rPr>
        <w:t>环评手续履行情况</w:t>
      </w:r>
    </w:p>
    <w:p w14:paraId="072AB0A0">
      <w:pPr>
        <w:pageBreakBefore w:val="0"/>
        <w:widowControl/>
        <w:kinsoku/>
        <w:wordWrap/>
        <w:overflowPunct/>
        <w:topLinePunct w:val="0"/>
        <w:autoSpaceDE/>
        <w:autoSpaceDN/>
        <w:bidi w:val="0"/>
        <w:adjustRightInd/>
        <w:snapToGrid/>
        <w:spacing w:line="360" w:lineRule="auto"/>
        <w:ind w:firstLine="480"/>
        <w:textAlignment w:val="auto"/>
        <w:rPr>
          <w:rFonts w:hint="eastAsia"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鹿角码头（交通综合码头）</w:t>
      </w:r>
      <w:r>
        <w:rPr>
          <w:rFonts w:hint="eastAsia" w:cs="Times New Roman"/>
          <w:bCs/>
          <w:color w:val="auto"/>
          <w:sz w:val="24"/>
          <w:szCs w:val="24"/>
          <w:lang w:val="en-US" w:eastAsia="zh-CN"/>
        </w:rPr>
        <w:t>自1991年建立后尚未办理环评手续。</w:t>
      </w:r>
    </w:p>
    <w:p w14:paraId="4CCC58DE">
      <w:pPr>
        <w:pStyle w:val="10"/>
        <w:keepNext/>
        <w:keepLines/>
        <w:pageBreakBefore w:val="0"/>
        <w:widowControl w:val="0"/>
        <w:kinsoku/>
        <w:wordWrap/>
        <w:overflowPunct/>
        <w:topLinePunct w:val="0"/>
        <w:autoSpaceDE/>
        <w:autoSpaceDN/>
        <w:bidi w:val="0"/>
        <w:adjustRightInd/>
        <w:snapToGrid/>
        <w:spacing w:beforeLines="0" w:after="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3.1.</w:t>
      </w:r>
      <w:r>
        <w:rPr>
          <w:rFonts w:hint="eastAsia" w:cs="Times New Roman"/>
          <w:color w:val="auto"/>
          <w:sz w:val="24"/>
          <w:szCs w:val="24"/>
          <w:u w:val="none" w:color="auto"/>
          <w:lang w:val="en-US" w:eastAsia="zh-CN"/>
        </w:rPr>
        <w:t>1.6</w:t>
      </w:r>
      <w:r>
        <w:rPr>
          <w:rFonts w:hint="default" w:ascii="Times New Roman" w:hAnsi="Times New Roman" w:eastAsia="宋体" w:cs="Times New Roman"/>
          <w:color w:val="auto"/>
          <w:sz w:val="24"/>
          <w:szCs w:val="24"/>
          <w:u w:val="none" w:color="auto"/>
          <w:lang w:val="en-US" w:eastAsia="zh-CN"/>
        </w:rPr>
        <w:t xml:space="preserve"> 鹿角码头</w:t>
      </w:r>
      <w:r>
        <w:rPr>
          <w:rFonts w:hint="eastAsia" w:cs="Times New Roman"/>
          <w:color w:val="auto"/>
          <w:sz w:val="24"/>
          <w:szCs w:val="24"/>
          <w:u w:val="none" w:color="auto"/>
          <w:lang w:val="en-US" w:eastAsia="zh-CN"/>
        </w:rPr>
        <w:t>现有污染物排放情况</w:t>
      </w:r>
    </w:p>
    <w:p w14:paraId="1FE7FA9A">
      <w:pPr>
        <w:pStyle w:val="2"/>
        <w:rPr>
          <w:rFonts w:hint="default" w:cs="Times New Roman"/>
          <w:bCs/>
          <w:color w:val="auto"/>
          <w:sz w:val="24"/>
          <w:szCs w:val="24"/>
          <w:lang w:val="en-US" w:eastAsia="zh-CN"/>
        </w:rPr>
      </w:pPr>
      <w:r>
        <w:rPr>
          <w:rFonts w:hint="eastAsia" w:cs="Times New Roman"/>
          <w:bCs/>
          <w:color w:val="auto"/>
          <w:sz w:val="24"/>
          <w:szCs w:val="24"/>
          <w:lang w:val="en-US" w:eastAsia="zh-CN"/>
        </w:rPr>
        <w:t>鹿角码头（交通综合码头）属于生态影响类建设项目，运行过程中主要为执法船舶进出港燃油废气；船舶废水（包括船舶舱底油污水、船舶生活污水）、员工生活污水；船舶运行噪声；趸船员工生活垃圾、船舶员工生活垃圾。生活污水经码头生活污水收集泵收集后全部用于区域农灌及林地用水，船舶含油废水由码头上含油污水箱收集后由有资质单位接收处置。生活垃圾经趸船生活垃圾收集箱收集后交环卫部门统一清运。所有排放污染物均得到了妥善处置。</w:t>
      </w:r>
    </w:p>
    <w:p w14:paraId="38B82800">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3.</w:t>
      </w:r>
      <w:r>
        <w:rPr>
          <w:rFonts w:hint="eastAsia"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拟建项目基本情况</w:t>
      </w:r>
      <w:bookmarkEnd w:id="422"/>
    </w:p>
    <w:p w14:paraId="7DA06452">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项目名称：岳阳县鹿角交通渔政综合执法码头提质改造工程 </w:t>
      </w:r>
    </w:p>
    <w:p w14:paraId="6D53C7D0">
      <w:pPr>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bidi="ar"/>
        </w:rPr>
        <w:t>建设性质：</w:t>
      </w:r>
      <w:r>
        <w:rPr>
          <w:rFonts w:hint="eastAsia" w:cs="Times New Roman"/>
          <w:color w:val="auto"/>
          <w:sz w:val="24"/>
          <w:szCs w:val="24"/>
          <w:lang w:val="en-US" w:eastAsia="zh-CN" w:bidi="ar"/>
        </w:rPr>
        <w:t>改建</w:t>
      </w:r>
    </w:p>
    <w:p w14:paraId="7F097F44">
      <w:pPr>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建设单位：</w:t>
      </w:r>
      <w:r>
        <w:rPr>
          <w:rFonts w:hint="default" w:ascii="Times New Roman" w:hAnsi="Times New Roman" w:eastAsia="宋体" w:cs="Times New Roman"/>
          <w:bCs/>
          <w:color w:val="auto"/>
          <w:sz w:val="24"/>
          <w:szCs w:val="24"/>
          <w:lang w:val="en-US" w:eastAsia="zh-CN"/>
        </w:rPr>
        <w:t>岳阳县东洞庭湖渔政监察执法局</w:t>
      </w:r>
    </w:p>
    <w:p w14:paraId="51171843">
      <w:pPr>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建设地点：</w:t>
      </w:r>
      <w:r>
        <w:rPr>
          <w:rFonts w:hint="default" w:ascii="Times New Roman" w:hAnsi="Times New Roman" w:eastAsia="宋体" w:cs="Times New Roman"/>
          <w:bCs/>
          <w:color w:val="auto"/>
          <w:sz w:val="24"/>
          <w:szCs w:val="24"/>
          <w:lang w:val="en-US" w:eastAsia="zh-CN"/>
        </w:rPr>
        <w:t>岳阳县原鹿角镇杨庙村的湘江右岸河段，陆路距岳阳县城10公里，水路距城陵矶港30公里</w:t>
      </w:r>
      <w:r>
        <w:rPr>
          <w:rFonts w:hint="default" w:ascii="Times New Roman" w:hAnsi="Times New Roman" w:eastAsia="宋体" w:cs="Times New Roman"/>
          <w:bCs/>
          <w:color w:val="auto"/>
          <w:sz w:val="24"/>
          <w:szCs w:val="24"/>
        </w:rPr>
        <w:t>，东经：</w:t>
      </w:r>
      <w:r>
        <w:rPr>
          <w:rFonts w:hint="default" w:ascii="Times New Roman" w:hAnsi="Times New Roman" w:eastAsia="宋体" w:cs="Times New Roman"/>
          <w:bCs/>
          <w:color w:val="auto"/>
          <w:sz w:val="24"/>
          <w:szCs w:val="24"/>
          <w:lang w:val="en-US" w:eastAsia="zh-CN"/>
        </w:rPr>
        <w:t>112.9995893</w:t>
      </w:r>
      <w:r>
        <w:rPr>
          <w:rFonts w:hint="default" w:ascii="Times New Roman" w:hAnsi="Times New Roman" w:eastAsia="宋体" w:cs="Times New Roman"/>
          <w:bCs/>
          <w:color w:val="auto"/>
          <w:sz w:val="24"/>
          <w:szCs w:val="24"/>
        </w:rPr>
        <w:t>°，北纬：</w:t>
      </w:r>
      <w:r>
        <w:rPr>
          <w:rFonts w:hint="default" w:ascii="Times New Roman" w:hAnsi="Times New Roman" w:eastAsia="宋体" w:cs="Times New Roman"/>
          <w:bCs/>
          <w:color w:val="auto"/>
          <w:sz w:val="24"/>
          <w:szCs w:val="24"/>
          <w:lang w:val="en-US" w:eastAsia="zh-CN"/>
        </w:rPr>
        <w:t>29.1672122</w:t>
      </w:r>
      <w:r>
        <w:rPr>
          <w:rFonts w:hint="default" w:ascii="Times New Roman" w:hAnsi="Times New Roman" w:eastAsia="宋体" w:cs="Times New Roman"/>
          <w:bCs/>
          <w:color w:val="auto"/>
          <w:sz w:val="24"/>
          <w:szCs w:val="24"/>
        </w:rPr>
        <w:t>°</w:t>
      </w:r>
    </w:p>
    <w:p w14:paraId="4776B73A">
      <w:pPr>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rPr>
        <w:t>投资情况：</w:t>
      </w:r>
      <w:r>
        <w:rPr>
          <w:rFonts w:hint="default" w:ascii="Times New Roman" w:hAnsi="Times New Roman" w:eastAsia="宋体" w:cs="Times New Roman"/>
          <w:color w:val="auto"/>
          <w:sz w:val="24"/>
          <w:szCs w:val="24"/>
          <w:lang w:eastAsia="zh-CN"/>
        </w:rPr>
        <w:t>本项目总投资871.10万元。环保投资131万元，占项目建设投资的比例为15.03％。</w:t>
      </w:r>
    </w:p>
    <w:p w14:paraId="54A15BF8">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23" w:name="_Toc9436"/>
      <w:bookmarkStart w:id="424" w:name="_Toc11915"/>
      <w:r>
        <w:rPr>
          <w:rFonts w:hint="default" w:ascii="Times New Roman" w:hAnsi="Times New Roman" w:eastAsia="宋体" w:cs="Times New Roman"/>
          <w:b/>
          <w:bCs w:val="0"/>
          <w:color w:val="auto"/>
          <w:sz w:val="24"/>
          <w:szCs w:val="24"/>
          <w:lang w:val="en-US" w:eastAsia="zh-CN"/>
        </w:rPr>
        <w:t>3.</w:t>
      </w:r>
      <w:r>
        <w:rPr>
          <w:rFonts w:hint="eastAsia" w:cs="Times New Roman"/>
          <w:b/>
          <w:bCs w:val="0"/>
          <w:color w:val="auto"/>
          <w:sz w:val="24"/>
          <w:szCs w:val="24"/>
          <w:lang w:val="en-US" w:eastAsia="zh-CN"/>
        </w:rPr>
        <w:t>1.3拟建工程</w:t>
      </w:r>
      <w:r>
        <w:rPr>
          <w:rFonts w:hint="default" w:ascii="Times New Roman" w:hAnsi="Times New Roman" w:eastAsia="宋体" w:cs="Times New Roman"/>
          <w:b/>
          <w:bCs w:val="0"/>
          <w:color w:val="auto"/>
          <w:sz w:val="24"/>
          <w:szCs w:val="24"/>
          <w:lang w:val="en-US" w:eastAsia="zh-CN"/>
        </w:rPr>
        <w:t>建设内容</w:t>
      </w:r>
      <w:bookmarkEnd w:id="423"/>
      <w:bookmarkEnd w:id="424"/>
    </w:p>
    <w:p w14:paraId="0A6ABAA9">
      <w:pPr>
        <w:pStyle w:val="38"/>
        <w:pageBreakBefore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鹿角港渔政综合码头位于岳阳县原鹿角镇杨庙村的湘江右岸河段，该处也是渔民习惯停靠的天然港口，考虑到洞庭湖水位差较大，码头结构拟采用趸船式浮码头接引桥的型式。来满足渔船停靠，同时方便渔政船停泊及渔政执法办公需要，设浮趸引桥长</w:t>
      </w:r>
      <w:r>
        <w:rPr>
          <w:rFonts w:hint="eastAsia" w:cs="Times New Roman"/>
          <w:color w:val="auto"/>
          <w:lang w:val="en-US" w:eastAsia="zh-CN"/>
        </w:rPr>
        <w:t>260</w:t>
      </w:r>
      <w:r>
        <w:rPr>
          <w:rFonts w:hint="default" w:ascii="Times New Roman" w:hAnsi="Times New Roman" w:eastAsia="宋体" w:cs="Times New Roman"/>
          <w:color w:val="auto"/>
          <w:lang w:eastAsia="zh-CN"/>
        </w:rPr>
        <w:t>m，宽1.6m一座，连接钢引桥再接趸船，浮趸引桥另一侧与岸相接。接岸处至水侧设置3排现浇砼墩台，该处引桥坡度为1：6.5，起始高程与码头高程一致为33.5m，为趸船码头设置供水、供电设施各1项。</w:t>
      </w:r>
    </w:p>
    <w:p w14:paraId="53A0AD5D">
      <w:pPr>
        <w:pStyle w:val="38"/>
        <w:pageBreakBefore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鹿角港渔政综合码头马道因年久失修略面破损崎岖不平，两侧挡土墙垮塌严重;南侧防汛砂卵石临时堆场杂草丛生，部分区段滑坡较大，安全隐患突出;为防止护坡挡墙垮塌、泊岸滑披等危险现象的再次发生，改变路面破败的现状，特对鹿角码头进行提质改造。码头修复长度为150m，修复码头到浮码头方向坡面进行护面改造，路面道路硬化面积为1283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lang w:eastAsia="zh-CN"/>
        </w:rPr>
        <w:t>。</w:t>
      </w:r>
    </w:p>
    <w:p w14:paraId="7E175CC8">
      <w:pPr>
        <w:pStyle w:val="38"/>
        <w:pageBreakBefore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本项目建设工程主要内容见下表。</w:t>
      </w:r>
    </w:p>
    <w:p w14:paraId="2CD5BA1C">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工程组成一览表</w:t>
      </w:r>
    </w:p>
    <w:tbl>
      <w:tblPr>
        <w:tblStyle w:val="29"/>
        <w:tblW w:w="965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482"/>
        <w:gridCol w:w="490"/>
        <w:gridCol w:w="1707"/>
        <w:gridCol w:w="4896"/>
        <w:gridCol w:w="2083"/>
      </w:tblGrid>
      <w:tr w14:paraId="3B618A5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73" w:hRule="atLeast"/>
          <w:tblHeader/>
          <w:jc w:val="center"/>
        </w:trPr>
        <w:tc>
          <w:tcPr>
            <w:tcW w:w="482" w:type="dxa"/>
            <w:shd w:val="clear" w:color="auto" w:fill="auto"/>
            <w:noWrap w:val="0"/>
            <w:vAlign w:val="center"/>
          </w:tcPr>
          <w:p w14:paraId="400A3EAF">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类别</w:t>
            </w:r>
          </w:p>
        </w:tc>
        <w:tc>
          <w:tcPr>
            <w:tcW w:w="2197" w:type="dxa"/>
            <w:gridSpan w:val="2"/>
            <w:shd w:val="clear" w:color="auto" w:fill="auto"/>
            <w:noWrap w:val="0"/>
            <w:vAlign w:val="center"/>
          </w:tcPr>
          <w:p w14:paraId="220D7C72">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名称</w:t>
            </w:r>
          </w:p>
        </w:tc>
        <w:tc>
          <w:tcPr>
            <w:tcW w:w="4896" w:type="dxa"/>
            <w:shd w:val="clear" w:color="auto" w:fill="auto"/>
            <w:noWrap w:val="0"/>
            <w:vAlign w:val="center"/>
          </w:tcPr>
          <w:p w14:paraId="23CE5A2D">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工程内容、规模</w:t>
            </w:r>
          </w:p>
        </w:tc>
        <w:tc>
          <w:tcPr>
            <w:tcW w:w="2083" w:type="dxa"/>
            <w:shd w:val="clear" w:color="auto" w:fill="auto"/>
            <w:noWrap w:val="0"/>
            <w:vAlign w:val="center"/>
          </w:tcPr>
          <w:p w14:paraId="5ED6D9AC">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2"/>
                <w:sz w:val="21"/>
                <w:szCs w:val="24"/>
                <w:lang w:val="en-US" w:eastAsia="zh-CN"/>
              </w:rPr>
            </w:pPr>
            <w:r>
              <w:rPr>
                <w:rFonts w:hint="eastAsia" w:cs="Times New Roman"/>
                <w:b/>
                <w:bCs/>
                <w:color w:val="auto"/>
                <w:kern w:val="2"/>
                <w:sz w:val="21"/>
                <w:szCs w:val="24"/>
                <w:lang w:val="en-US" w:eastAsia="zh-CN"/>
              </w:rPr>
              <w:t>备注</w:t>
            </w:r>
          </w:p>
        </w:tc>
      </w:tr>
      <w:tr w14:paraId="173A977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restart"/>
            <w:noWrap w:val="0"/>
            <w:vAlign w:val="center"/>
          </w:tcPr>
          <w:p w14:paraId="49EA5CF2">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主体工程</w:t>
            </w:r>
          </w:p>
        </w:tc>
        <w:tc>
          <w:tcPr>
            <w:tcW w:w="2197" w:type="dxa"/>
            <w:gridSpan w:val="2"/>
            <w:noWrap w:val="0"/>
            <w:vAlign w:val="center"/>
          </w:tcPr>
          <w:p w14:paraId="7E6F89F9">
            <w:pPr>
              <w:pStyle w:val="4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趸船带办公用房（艘）</w:t>
            </w:r>
          </w:p>
        </w:tc>
        <w:tc>
          <w:tcPr>
            <w:tcW w:w="4896" w:type="dxa"/>
            <w:noWrap w:val="0"/>
            <w:vAlign w:val="center"/>
          </w:tcPr>
          <w:p w14:paraId="23F07E08">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1.00艘，长</w:t>
            </w:r>
            <w:r>
              <w:rPr>
                <w:rFonts w:hint="eastAsia" w:cs="Times New Roman"/>
                <w:color w:val="auto"/>
                <w:kern w:val="2"/>
                <w:sz w:val="21"/>
                <w:szCs w:val="24"/>
                <w:lang w:val="en-US" w:eastAsia="zh-CN"/>
              </w:rPr>
              <w:t>36</w:t>
            </w:r>
            <w:r>
              <w:rPr>
                <w:rFonts w:hint="default" w:ascii="Times New Roman" w:hAnsi="Times New Roman" w:eastAsia="宋体" w:cs="Times New Roman"/>
                <w:color w:val="auto"/>
                <w:kern w:val="2"/>
                <w:sz w:val="21"/>
                <w:szCs w:val="24"/>
                <w:lang w:val="en-US" w:eastAsia="zh-CN"/>
              </w:rPr>
              <w:t>m，宽</w:t>
            </w:r>
            <w:r>
              <w:rPr>
                <w:rFonts w:hint="eastAsia" w:cs="Times New Roman"/>
                <w:color w:val="auto"/>
                <w:kern w:val="2"/>
                <w:sz w:val="21"/>
                <w:szCs w:val="24"/>
                <w:lang w:val="en-US" w:eastAsia="zh-CN"/>
              </w:rPr>
              <w:t>9</w:t>
            </w:r>
            <w:r>
              <w:rPr>
                <w:rFonts w:hint="default" w:ascii="Times New Roman" w:hAnsi="Times New Roman" w:eastAsia="宋体" w:cs="Times New Roman"/>
                <w:color w:val="auto"/>
                <w:kern w:val="2"/>
                <w:sz w:val="21"/>
                <w:szCs w:val="24"/>
                <w:lang w:val="en-US" w:eastAsia="zh-CN"/>
              </w:rPr>
              <w:t>m</w:t>
            </w:r>
          </w:p>
        </w:tc>
        <w:tc>
          <w:tcPr>
            <w:tcW w:w="2083" w:type="dxa"/>
            <w:noWrap w:val="0"/>
            <w:vAlign w:val="center"/>
          </w:tcPr>
          <w:p w14:paraId="40A686B5">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新建</w:t>
            </w:r>
          </w:p>
        </w:tc>
      </w:tr>
      <w:tr w14:paraId="1DC03FE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continue"/>
            <w:noWrap w:val="0"/>
            <w:vAlign w:val="center"/>
          </w:tcPr>
          <w:p w14:paraId="174DF8EE">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2197" w:type="dxa"/>
            <w:gridSpan w:val="2"/>
            <w:noWrap w:val="0"/>
            <w:vAlign w:val="center"/>
          </w:tcPr>
          <w:p w14:paraId="5702B4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钢引桥（m）</w:t>
            </w:r>
          </w:p>
        </w:tc>
        <w:tc>
          <w:tcPr>
            <w:tcW w:w="4896" w:type="dxa"/>
            <w:noWrap w:val="0"/>
            <w:vAlign w:val="center"/>
          </w:tcPr>
          <w:p w14:paraId="0C0ED0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21×1.6</w:t>
            </w:r>
          </w:p>
        </w:tc>
        <w:tc>
          <w:tcPr>
            <w:tcW w:w="2083" w:type="dxa"/>
            <w:noWrap w:val="0"/>
            <w:vAlign w:val="center"/>
          </w:tcPr>
          <w:p w14:paraId="476D28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cs="Times New Roman"/>
                <w:color w:val="auto"/>
                <w:kern w:val="2"/>
                <w:sz w:val="21"/>
                <w:szCs w:val="24"/>
                <w:lang w:val="en-US" w:eastAsia="zh-CN"/>
              </w:rPr>
              <w:t>新建</w:t>
            </w:r>
          </w:p>
        </w:tc>
      </w:tr>
      <w:tr w14:paraId="004F781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continue"/>
            <w:noWrap w:val="0"/>
            <w:vAlign w:val="center"/>
          </w:tcPr>
          <w:p w14:paraId="3F2C8054">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2197" w:type="dxa"/>
            <w:gridSpan w:val="2"/>
            <w:noWrap w:val="0"/>
            <w:vAlign w:val="center"/>
          </w:tcPr>
          <w:p w14:paraId="13A215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浮趸引桥（m）</w:t>
            </w:r>
          </w:p>
        </w:tc>
        <w:tc>
          <w:tcPr>
            <w:tcW w:w="4896" w:type="dxa"/>
            <w:noWrap w:val="0"/>
            <w:vAlign w:val="center"/>
          </w:tcPr>
          <w:p w14:paraId="4BA3D4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cs="Times New Roman"/>
                <w:color w:val="auto"/>
                <w:kern w:val="0"/>
                <w:sz w:val="22"/>
                <w:szCs w:val="22"/>
                <w:lang w:val="en-US" w:eastAsia="zh-CN" w:bidi="ar"/>
              </w:rPr>
              <w:t>260</w:t>
            </w:r>
            <w:r>
              <w:rPr>
                <w:rFonts w:hint="default" w:ascii="Times New Roman" w:hAnsi="Times New Roman" w:eastAsia="宋体" w:cs="Times New Roman"/>
                <w:color w:val="auto"/>
                <w:kern w:val="0"/>
                <w:sz w:val="22"/>
                <w:szCs w:val="22"/>
                <w:lang w:val="en-US" w:eastAsia="zh-CN" w:bidi="ar"/>
              </w:rPr>
              <w:t>×1.6</w:t>
            </w:r>
          </w:p>
        </w:tc>
        <w:tc>
          <w:tcPr>
            <w:tcW w:w="2083" w:type="dxa"/>
            <w:noWrap w:val="0"/>
            <w:vAlign w:val="center"/>
          </w:tcPr>
          <w:p w14:paraId="3D2EEF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新建</w:t>
            </w:r>
          </w:p>
        </w:tc>
      </w:tr>
      <w:tr w14:paraId="3CEC3A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72" w:hRule="atLeast"/>
          <w:jc w:val="center"/>
        </w:trPr>
        <w:tc>
          <w:tcPr>
            <w:tcW w:w="482" w:type="dxa"/>
            <w:vMerge w:val="continue"/>
            <w:noWrap w:val="0"/>
            <w:vAlign w:val="center"/>
          </w:tcPr>
          <w:p w14:paraId="4341A147">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p>
        </w:tc>
        <w:tc>
          <w:tcPr>
            <w:tcW w:w="2197" w:type="dxa"/>
            <w:gridSpan w:val="2"/>
            <w:noWrap w:val="0"/>
            <w:vAlign w:val="top"/>
          </w:tcPr>
          <w:p w14:paraId="2A84EA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浮码头接岸平台（m</w:t>
            </w:r>
            <w:r>
              <w:rPr>
                <w:rFonts w:hint="default" w:ascii="Times New Roman" w:hAnsi="Times New Roman" w:eastAsia="宋体" w:cs="Times New Roman"/>
                <w:color w:val="auto"/>
                <w:kern w:val="0"/>
                <w:sz w:val="22"/>
                <w:szCs w:val="22"/>
                <w:vertAlign w:val="superscript"/>
                <w:lang w:val="en-US" w:eastAsia="zh-CN" w:bidi="ar"/>
              </w:rPr>
              <w:t>2</w:t>
            </w:r>
            <w:r>
              <w:rPr>
                <w:rFonts w:hint="eastAsia" w:ascii="Times New Roman" w:hAnsi="Times New Roman" w:eastAsia="宋体" w:cs="Times New Roman"/>
                <w:color w:val="auto"/>
                <w:kern w:val="0"/>
                <w:sz w:val="22"/>
                <w:szCs w:val="22"/>
                <w:lang w:val="en-US" w:eastAsia="zh-CN" w:bidi="ar"/>
              </w:rPr>
              <w:t>）</w:t>
            </w:r>
          </w:p>
        </w:tc>
        <w:tc>
          <w:tcPr>
            <w:tcW w:w="4896" w:type="dxa"/>
            <w:noWrap w:val="0"/>
            <w:vAlign w:val="center"/>
          </w:tcPr>
          <w:p w14:paraId="5B110A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1</w:t>
            </w:r>
            <w:r>
              <w:rPr>
                <w:rFonts w:hint="default" w:ascii="Times New Roman" w:hAnsi="Times New Roman" w:eastAsia="宋体" w:cs="Times New Roman"/>
                <w:color w:val="auto"/>
                <w:kern w:val="0"/>
                <w:sz w:val="22"/>
                <w:szCs w:val="22"/>
                <w:lang w:val="en-US" w:eastAsia="zh-CN" w:bidi="ar"/>
              </w:rPr>
              <w:t>2</w:t>
            </w:r>
          </w:p>
        </w:tc>
        <w:tc>
          <w:tcPr>
            <w:tcW w:w="2083" w:type="dxa"/>
            <w:noWrap w:val="0"/>
            <w:vAlign w:val="center"/>
          </w:tcPr>
          <w:p w14:paraId="347F5C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新建</w:t>
            </w:r>
          </w:p>
        </w:tc>
      </w:tr>
      <w:tr w14:paraId="636999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continue"/>
            <w:noWrap w:val="0"/>
            <w:vAlign w:val="center"/>
          </w:tcPr>
          <w:p w14:paraId="7217B1AB">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p>
        </w:tc>
        <w:tc>
          <w:tcPr>
            <w:tcW w:w="2197" w:type="dxa"/>
            <w:gridSpan w:val="2"/>
            <w:noWrap w:val="0"/>
            <w:vAlign w:val="top"/>
          </w:tcPr>
          <w:p w14:paraId="1C9397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码头修复长度（m）</w:t>
            </w:r>
          </w:p>
        </w:tc>
        <w:tc>
          <w:tcPr>
            <w:tcW w:w="4896" w:type="dxa"/>
            <w:noWrap w:val="0"/>
            <w:vAlign w:val="center"/>
          </w:tcPr>
          <w:p w14:paraId="0FE251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150</w:t>
            </w:r>
          </w:p>
        </w:tc>
        <w:tc>
          <w:tcPr>
            <w:tcW w:w="2083" w:type="dxa"/>
            <w:noWrap w:val="0"/>
            <w:vAlign w:val="center"/>
          </w:tcPr>
          <w:p w14:paraId="7DDF7C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cs="Times New Roman"/>
                <w:color w:val="auto"/>
                <w:kern w:val="0"/>
                <w:sz w:val="22"/>
                <w:szCs w:val="22"/>
                <w:lang w:val="en-US" w:eastAsia="zh-CN" w:bidi="ar"/>
              </w:rPr>
              <w:t>新建</w:t>
            </w:r>
          </w:p>
        </w:tc>
      </w:tr>
      <w:tr w14:paraId="501521E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continue"/>
            <w:noWrap w:val="0"/>
            <w:vAlign w:val="center"/>
          </w:tcPr>
          <w:p w14:paraId="7A17CB3B">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p>
        </w:tc>
        <w:tc>
          <w:tcPr>
            <w:tcW w:w="2197" w:type="dxa"/>
            <w:gridSpan w:val="2"/>
            <w:noWrap w:val="0"/>
            <w:vAlign w:val="top"/>
          </w:tcPr>
          <w:p w14:paraId="576FE8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道路路面面积（m</w:t>
            </w:r>
            <w:r>
              <w:rPr>
                <w:rFonts w:hint="default" w:ascii="Times New Roman" w:hAnsi="Times New Roman" w:eastAsia="宋体" w:cs="Times New Roman"/>
                <w:color w:val="auto"/>
                <w:kern w:val="0"/>
                <w:sz w:val="22"/>
                <w:szCs w:val="22"/>
                <w:vertAlign w:val="superscript"/>
                <w:lang w:val="en-US" w:eastAsia="zh-CN" w:bidi="ar"/>
              </w:rPr>
              <w:t>2</w:t>
            </w:r>
            <w:r>
              <w:rPr>
                <w:rFonts w:hint="eastAsia" w:ascii="Times New Roman" w:hAnsi="Times New Roman" w:eastAsia="宋体" w:cs="Times New Roman"/>
                <w:color w:val="auto"/>
                <w:kern w:val="0"/>
                <w:sz w:val="22"/>
                <w:szCs w:val="22"/>
                <w:lang w:val="en-US" w:eastAsia="zh-CN" w:bidi="ar"/>
              </w:rPr>
              <w:t>）</w:t>
            </w:r>
          </w:p>
        </w:tc>
        <w:tc>
          <w:tcPr>
            <w:tcW w:w="4896" w:type="dxa"/>
            <w:noWrap w:val="0"/>
            <w:vAlign w:val="center"/>
          </w:tcPr>
          <w:p w14:paraId="0808C8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1</w:t>
            </w:r>
            <w:r>
              <w:rPr>
                <w:rFonts w:hint="default" w:ascii="Times New Roman" w:hAnsi="Times New Roman" w:eastAsia="宋体" w:cs="Times New Roman"/>
                <w:color w:val="auto"/>
                <w:kern w:val="0"/>
                <w:sz w:val="22"/>
                <w:szCs w:val="22"/>
                <w:lang w:val="en-US" w:eastAsia="zh-CN" w:bidi="ar"/>
              </w:rPr>
              <w:t>283</w:t>
            </w:r>
          </w:p>
        </w:tc>
        <w:tc>
          <w:tcPr>
            <w:tcW w:w="2083" w:type="dxa"/>
            <w:noWrap w:val="0"/>
            <w:vAlign w:val="center"/>
          </w:tcPr>
          <w:p w14:paraId="4524F4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2"/>
                <w:szCs w:val="22"/>
                <w:lang w:val="en-US" w:eastAsia="zh-CN" w:bidi="ar"/>
              </w:rPr>
            </w:pPr>
            <w:r>
              <w:rPr>
                <w:rFonts w:hint="eastAsia" w:cs="Times New Roman"/>
                <w:color w:val="auto"/>
                <w:kern w:val="0"/>
                <w:sz w:val="22"/>
                <w:szCs w:val="22"/>
                <w:lang w:val="en-US" w:eastAsia="zh-CN" w:bidi="ar"/>
              </w:rPr>
              <w:t>新建</w:t>
            </w:r>
          </w:p>
        </w:tc>
      </w:tr>
      <w:tr w14:paraId="19EA54B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restart"/>
            <w:noWrap w:val="0"/>
            <w:vAlign w:val="center"/>
          </w:tcPr>
          <w:p w14:paraId="34BC0426">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公辅</w:t>
            </w:r>
            <w:r>
              <w:rPr>
                <w:rFonts w:hint="default" w:ascii="Times New Roman" w:hAnsi="Times New Roman" w:eastAsia="宋体" w:cs="Times New Roman"/>
                <w:color w:val="auto"/>
                <w:kern w:val="2"/>
                <w:sz w:val="21"/>
                <w:szCs w:val="24"/>
                <w:lang w:val="en-US" w:eastAsia="zh-CN"/>
              </w:rPr>
              <w:t>工程</w:t>
            </w:r>
          </w:p>
        </w:tc>
        <w:tc>
          <w:tcPr>
            <w:tcW w:w="2197" w:type="dxa"/>
            <w:gridSpan w:val="2"/>
            <w:noWrap w:val="0"/>
            <w:vAlign w:val="center"/>
          </w:tcPr>
          <w:p w14:paraId="356007D5">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供电</w:t>
            </w:r>
          </w:p>
        </w:tc>
        <w:tc>
          <w:tcPr>
            <w:tcW w:w="4896" w:type="dxa"/>
            <w:noWrap w:val="0"/>
            <w:vAlign w:val="center"/>
          </w:tcPr>
          <w:p w14:paraId="247DCF25">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建设一座码头供电设施</w:t>
            </w:r>
          </w:p>
        </w:tc>
        <w:tc>
          <w:tcPr>
            <w:tcW w:w="2083" w:type="dxa"/>
            <w:noWrap w:val="0"/>
            <w:vAlign w:val="center"/>
          </w:tcPr>
          <w:p w14:paraId="06143166">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新建</w:t>
            </w:r>
          </w:p>
        </w:tc>
      </w:tr>
      <w:tr w14:paraId="26658EB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82" w:type="dxa"/>
            <w:vMerge w:val="continue"/>
            <w:noWrap w:val="0"/>
            <w:vAlign w:val="center"/>
          </w:tcPr>
          <w:p w14:paraId="4267521E">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2197" w:type="dxa"/>
            <w:gridSpan w:val="2"/>
            <w:noWrap w:val="0"/>
            <w:vAlign w:val="center"/>
          </w:tcPr>
          <w:p w14:paraId="3787CF4D">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供水</w:t>
            </w:r>
          </w:p>
        </w:tc>
        <w:tc>
          <w:tcPr>
            <w:tcW w:w="4896" w:type="dxa"/>
            <w:noWrap w:val="0"/>
            <w:vAlign w:val="center"/>
          </w:tcPr>
          <w:p w14:paraId="63763B62">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趸船设置生活给水系统，并且预留船舶给水接口</w:t>
            </w:r>
          </w:p>
        </w:tc>
        <w:tc>
          <w:tcPr>
            <w:tcW w:w="2083" w:type="dxa"/>
            <w:noWrap w:val="0"/>
            <w:vAlign w:val="center"/>
          </w:tcPr>
          <w:p w14:paraId="4517AB7F">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新建</w:t>
            </w:r>
          </w:p>
        </w:tc>
      </w:tr>
      <w:tr w14:paraId="2BF45F9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482" w:type="dxa"/>
            <w:vMerge w:val="continue"/>
            <w:noWrap w:val="0"/>
            <w:vAlign w:val="center"/>
          </w:tcPr>
          <w:p w14:paraId="68951446">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2197" w:type="dxa"/>
            <w:gridSpan w:val="2"/>
            <w:noWrap w:val="0"/>
            <w:vAlign w:val="center"/>
          </w:tcPr>
          <w:p w14:paraId="0BE21105">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排水</w:t>
            </w:r>
          </w:p>
        </w:tc>
        <w:tc>
          <w:tcPr>
            <w:tcW w:w="4896" w:type="dxa"/>
            <w:noWrap w:val="0"/>
            <w:vAlign w:val="center"/>
          </w:tcPr>
          <w:p w14:paraId="39FD3BAE">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bCs/>
                <w:color w:val="auto"/>
                <w:kern w:val="2"/>
                <w:sz w:val="21"/>
                <w:szCs w:val="21"/>
                <w:lang w:val="en-US" w:eastAsia="zh-CN"/>
              </w:rPr>
              <w:t>趸船设置有污水预处理系统，经</w:t>
            </w:r>
            <w:r>
              <w:rPr>
                <w:rFonts w:hint="eastAsia" w:cs="Times New Roman"/>
                <w:bCs/>
                <w:color w:val="auto"/>
                <w:kern w:val="2"/>
                <w:sz w:val="21"/>
                <w:szCs w:val="21"/>
                <w:lang w:val="en-US" w:eastAsia="zh-CN"/>
              </w:rPr>
              <w:t>预</w:t>
            </w:r>
            <w:r>
              <w:rPr>
                <w:rFonts w:hint="default" w:ascii="Times New Roman" w:hAnsi="Times New Roman" w:eastAsia="宋体" w:cs="Times New Roman"/>
                <w:bCs/>
                <w:color w:val="auto"/>
                <w:kern w:val="2"/>
                <w:sz w:val="21"/>
                <w:szCs w:val="21"/>
                <w:lang w:val="en-US" w:eastAsia="zh-CN"/>
              </w:rPr>
              <w:t>处理后的废水进入区域林地作为灌溉水回用</w:t>
            </w:r>
          </w:p>
        </w:tc>
        <w:tc>
          <w:tcPr>
            <w:tcW w:w="2083" w:type="dxa"/>
            <w:noWrap w:val="0"/>
            <w:vAlign w:val="center"/>
          </w:tcPr>
          <w:p w14:paraId="38978E45">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2"/>
                <w:sz w:val="21"/>
                <w:szCs w:val="21"/>
                <w:lang w:val="en-US" w:eastAsia="zh-CN"/>
              </w:rPr>
            </w:pPr>
            <w:r>
              <w:rPr>
                <w:rFonts w:hint="eastAsia" w:cs="Times New Roman"/>
                <w:color w:val="auto"/>
                <w:kern w:val="2"/>
                <w:sz w:val="21"/>
                <w:szCs w:val="24"/>
                <w:lang w:val="en-US" w:eastAsia="zh-CN"/>
              </w:rPr>
              <w:t>新建</w:t>
            </w:r>
          </w:p>
        </w:tc>
      </w:tr>
      <w:tr w14:paraId="7288E38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482" w:type="dxa"/>
            <w:vMerge w:val="restart"/>
            <w:noWrap w:val="0"/>
            <w:vAlign w:val="center"/>
          </w:tcPr>
          <w:p w14:paraId="63611B46">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环保工程</w:t>
            </w:r>
          </w:p>
        </w:tc>
        <w:tc>
          <w:tcPr>
            <w:tcW w:w="490" w:type="dxa"/>
            <w:tcBorders>
              <w:right w:val="single" w:color="auto" w:sz="4" w:space="0"/>
            </w:tcBorders>
            <w:noWrap w:val="0"/>
            <w:vAlign w:val="center"/>
          </w:tcPr>
          <w:p w14:paraId="0AB35DA5">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废水</w:t>
            </w:r>
          </w:p>
        </w:tc>
        <w:tc>
          <w:tcPr>
            <w:tcW w:w="1707" w:type="dxa"/>
            <w:tcBorders>
              <w:left w:val="single" w:color="auto" w:sz="4" w:space="0"/>
            </w:tcBorders>
            <w:noWrap w:val="0"/>
            <w:vAlign w:val="center"/>
          </w:tcPr>
          <w:p w14:paraId="3260619F">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船舶（趸船）含油废水</w:t>
            </w:r>
          </w:p>
        </w:tc>
        <w:tc>
          <w:tcPr>
            <w:tcW w:w="4896" w:type="dxa"/>
            <w:noWrap w:val="0"/>
            <w:vAlign w:val="center"/>
          </w:tcPr>
          <w:p w14:paraId="516D8784">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在码头一侧设置含油污水箱，收集含油污水后交由有资质公司接受</w:t>
            </w:r>
          </w:p>
        </w:tc>
        <w:tc>
          <w:tcPr>
            <w:tcW w:w="2083" w:type="dxa"/>
            <w:noWrap w:val="0"/>
            <w:vAlign w:val="center"/>
          </w:tcPr>
          <w:p w14:paraId="5F6F9DE3">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新建</w:t>
            </w:r>
          </w:p>
        </w:tc>
      </w:tr>
      <w:tr w14:paraId="65561DA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482" w:type="dxa"/>
            <w:vMerge w:val="continue"/>
            <w:noWrap w:val="0"/>
            <w:vAlign w:val="center"/>
          </w:tcPr>
          <w:p w14:paraId="5DAF016D">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490" w:type="dxa"/>
            <w:tcBorders>
              <w:right w:val="single" w:color="auto" w:sz="4" w:space="0"/>
            </w:tcBorders>
            <w:noWrap w:val="0"/>
            <w:vAlign w:val="center"/>
          </w:tcPr>
          <w:p w14:paraId="6FFE8B25">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噪声</w:t>
            </w:r>
          </w:p>
        </w:tc>
        <w:tc>
          <w:tcPr>
            <w:tcW w:w="1707" w:type="dxa"/>
            <w:tcBorders>
              <w:left w:val="single" w:color="auto" w:sz="4" w:space="0"/>
            </w:tcBorders>
            <w:noWrap w:val="0"/>
            <w:vAlign w:val="center"/>
          </w:tcPr>
          <w:p w14:paraId="509B26B1">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噪声治理</w:t>
            </w:r>
          </w:p>
        </w:tc>
        <w:tc>
          <w:tcPr>
            <w:tcW w:w="4896" w:type="dxa"/>
            <w:noWrap w:val="0"/>
            <w:vAlign w:val="center"/>
          </w:tcPr>
          <w:p w14:paraId="539F2192">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rPr>
              <w:t>隔声、减震、降噪</w:t>
            </w:r>
          </w:p>
        </w:tc>
        <w:tc>
          <w:tcPr>
            <w:tcW w:w="2083" w:type="dxa"/>
            <w:noWrap w:val="0"/>
            <w:vAlign w:val="center"/>
          </w:tcPr>
          <w:p w14:paraId="64844740">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新建</w:t>
            </w:r>
          </w:p>
        </w:tc>
      </w:tr>
      <w:tr w14:paraId="4FB636D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684" w:hRule="atLeast"/>
          <w:jc w:val="center"/>
        </w:trPr>
        <w:tc>
          <w:tcPr>
            <w:tcW w:w="482" w:type="dxa"/>
            <w:vMerge w:val="continue"/>
            <w:noWrap w:val="0"/>
            <w:vAlign w:val="center"/>
          </w:tcPr>
          <w:p w14:paraId="36E064C3">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rPr>
            </w:pPr>
          </w:p>
        </w:tc>
        <w:tc>
          <w:tcPr>
            <w:tcW w:w="490" w:type="dxa"/>
            <w:tcBorders>
              <w:right w:val="single" w:color="auto" w:sz="4" w:space="0"/>
            </w:tcBorders>
            <w:noWrap w:val="0"/>
            <w:vAlign w:val="center"/>
          </w:tcPr>
          <w:p w14:paraId="301CE151">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固废</w:t>
            </w:r>
          </w:p>
        </w:tc>
        <w:tc>
          <w:tcPr>
            <w:tcW w:w="1707" w:type="dxa"/>
            <w:tcBorders>
              <w:left w:val="single" w:color="auto" w:sz="4" w:space="0"/>
            </w:tcBorders>
            <w:noWrap w:val="0"/>
            <w:vAlign w:val="center"/>
          </w:tcPr>
          <w:p w14:paraId="10BE4F8F">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趸船生活垃圾</w:t>
            </w:r>
          </w:p>
        </w:tc>
        <w:tc>
          <w:tcPr>
            <w:tcW w:w="4896" w:type="dxa"/>
            <w:noWrap w:val="0"/>
            <w:vAlign w:val="center"/>
          </w:tcPr>
          <w:p w14:paraId="3FD5C14B">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趸船设固体废弃物收集箱(垃圾箱)4个,每个收集箱50L,共200L。主甲板放置2个（食品类、塑料类各一个），二层甲板放置2个（塑料类、其它类各一个），设有盖板及防止倾覆的固定装置。各类食品类垃圾、塑料类垃圾、其它类垃圾等分类收集,打包后交岸基接收部门处理</w:t>
            </w:r>
            <w:r>
              <w:rPr>
                <w:rFonts w:hint="eastAsia" w:cs="Times New Roman"/>
                <w:color w:val="auto"/>
                <w:kern w:val="2"/>
                <w:sz w:val="21"/>
                <w:szCs w:val="24"/>
                <w:lang w:val="en-US" w:eastAsia="zh-CN" w:bidi="ar-SA"/>
              </w:rPr>
              <w:t>。</w:t>
            </w:r>
          </w:p>
        </w:tc>
        <w:tc>
          <w:tcPr>
            <w:tcW w:w="2083" w:type="dxa"/>
            <w:noWrap w:val="0"/>
            <w:vAlign w:val="center"/>
          </w:tcPr>
          <w:p w14:paraId="693FD272">
            <w:pPr>
              <w:pStyle w:val="41"/>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rPr>
              <w:t>新建</w:t>
            </w:r>
          </w:p>
        </w:tc>
      </w:tr>
    </w:tbl>
    <w:p w14:paraId="59ADA8B3">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25" w:name="_Toc19490"/>
      <w:bookmarkStart w:id="426" w:name="_Toc7843"/>
      <w:r>
        <w:rPr>
          <w:rFonts w:hint="default" w:ascii="Times New Roman" w:hAnsi="Times New Roman" w:eastAsia="宋体" w:cs="Times New Roman"/>
          <w:color w:val="auto"/>
          <w:sz w:val="28"/>
          <w:szCs w:val="28"/>
          <w:lang w:val="en-US" w:eastAsia="zh-CN"/>
        </w:rPr>
        <w:t>3.</w:t>
      </w:r>
      <w:r>
        <w:rPr>
          <w:rFonts w:hint="eastAsia"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 xml:space="preserve"> </w:t>
      </w:r>
      <w:r>
        <w:rPr>
          <w:rFonts w:hint="eastAsia" w:cs="Times New Roman"/>
          <w:color w:val="auto"/>
          <w:sz w:val="28"/>
          <w:szCs w:val="28"/>
          <w:lang w:val="en-US" w:eastAsia="zh-CN"/>
        </w:rPr>
        <w:t>总</w:t>
      </w:r>
      <w:r>
        <w:rPr>
          <w:rFonts w:hint="default" w:ascii="Times New Roman" w:hAnsi="Times New Roman" w:eastAsia="宋体" w:cs="Times New Roman"/>
          <w:color w:val="auto"/>
          <w:sz w:val="28"/>
          <w:szCs w:val="28"/>
          <w:lang w:val="en-US" w:eastAsia="zh-CN"/>
        </w:rPr>
        <w:t>平面布置</w:t>
      </w:r>
      <w:bookmarkEnd w:id="425"/>
      <w:bookmarkEnd w:id="426"/>
    </w:p>
    <w:p w14:paraId="0C42D551">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27" w:name="_Toc6099"/>
      <w:r>
        <w:rPr>
          <w:rFonts w:hint="default" w:ascii="Times New Roman" w:hAnsi="Times New Roman" w:eastAsia="宋体" w:cs="Times New Roman"/>
          <w:b/>
          <w:bCs w:val="0"/>
          <w:color w:val="auto"/>
          <w:sz w:val="24"/>
          <w:szCs w:val="24"/>
          <w:lang w:val="en-US" w:eastAsia="zh-CN"/>
        </w:rPr>
        <w:t>3.</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.1 码头泊位数</w:t>
      </w:r>
      <w:bookmarkEnd w:id="427"/>
    </w:p>
    <w:p w14:paraId="0570F82E">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宋体" w:hAnsi="宋体" w:eastAsia="宋体" w:cs="宋体"/>
          <w:color w:val="auto"/>
          <w:spacing w:val="0"/>
          <w:w w:val="100"/>
          <w:position w:val="0"/>
          <w:sz w:val="24"/>
          <w:szCs w:val="24"/>
          <w:lang w:val="en-US" w:eastAsia="zh-CN"/>
        </w:rPr>
      </w:pPr>
      <w:r>
        <w:rPr>
          <w:rFonts w:hint="default" w:ascii="宋体" w:hAnsi="宋体" w:eastAsia="宋体" w:cs="宋体"/>
          <w:color w:val="auto"/>
          <w:spacing w:val="0"/>
          <w:w w:val="100"/>
          <w:position w:val="0"/>
          <w:sz w:val="24"/>
          <w:szCs w:val="24"/>
          <w:lang w:val="en-US" w:eastAsia="zh-CN"/>
        </w:rPr>
        <w:t>为加强渔政执法，根据现有渔政船和渔政快艇数量，设置渔政船码头泊位1个。</w:t>
      </w:r>
    </w:p>
    <w:p w14:paraId="0D5233E7">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28" w:name="_Toc27656"/>
      <w:r>
        <w:rPr>
          <w:rFonts w:hint="default" w:ascii="Times New Roman" w:hAnsi="Times New Roman" w:eastAsia="宋体" w:cs="Times New Roman"/>
          <w:b/>
          <w:bCs w:val="0"/>
          <w:color w:val="auto"/>
          <w:sz w:val="24"/>
          <w:szCs w:val="24"/>
          <w:lang w:val="en-US" w:eastAsia="zh-CN"/>
        </w:rPr>
        <w:t>3.</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 xml:space="preserve"> 设计代表船型</w:t>
      </w:r>
      <w:bookmarkEnd w:id="428"/>
    </w:p>
    <w:p w14:paraId="15FE90B5">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宋体" w:hAnsi="宋体" w:eastAsia="宋体" w:cs="宋体"/>
          <w:color w:val="auto"/>
          <w:spacing w:val="0"/>
          <w:w w:val="100"/>
          <w:position w:val="0"/>
          <w:sz w:val="24"/>
          <w:szCs w:val="24"/>
          <w:lang w:val="en-US" w:eastAsia="zh-CN"/>
        </w:rPr>
      </w:pPr>
      <w:r>
        <w:rPr>
          <w:rFonts w:hint="default" w:ascii="宋体" w:hAnsi="宋体" w:eastAsia="宋体" w:cs="宋体"/>
          <w:color w:val="auto"/>
          <w:spacing w:val="0"/>
          <w:w w:val="100"/>
          <w:position w:val="0"/>
          <w:sz w:val="24"/>
          <w:szCs w:val="24"/>
          <w:lang w:val="en-US" w:eastAsia="zh-CN"/>
        </w:rPr>
        <w:t>本港以100吨级渔政船作为设计代表船型</w:t>
      </w:r>
      <w:r>
        <w:rPr>
          <w:rFonts w:hint="eastAsia" w:cs="宋体"/>
          <w:color w:val="auto"/>
          <w:spacing w:val="0"/>
          <w:w w:val="100"/>
          <w:position w:val="0"/>
          <w:sz w:val="24"/>
          <w:szCs w:val="24"/>
          <w:lang w:val="en-US" w:eastAsia="zh-CN"/>
        </w:rPr>
        <w:t>。</w:t>
      </w:r>
    </w:p>
    <w:p w14:paraId="189B05A4">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1 </w:t>
      </w:r>
      <w:r>
        <w:rPr>
          <w:rFonts w:hint="default" w:ascii="Times New Roman" w:hAnsi="Times New Roman" w:eastAsia="宋体" w:cs="Times New Roman"/>
          <w:color w:val="auto"/>
          <w:sz w:val="24"/>
          <w:szCs w:val="24"/>
          <w:lang w:val="en-US" w:eastAsia="zh-CN"/>
        </w:rPr>
        <w:t>设计代表船型资料表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644"/>
        <w:gridCol w:w="1491"/>
        <w:gridCol w:w="1583"/>
        <w:gridCol w:w="1858"/>
        <w:gridCol w:w="1644"/>
      </w:tblGrid>
      <w:tr w14:paraId="76F3F50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644" w:type="dxa"/>
            <w:shd w:val="clear" w:color="auto" w:fill="auto"/>
            <w:noWrap w:val="0"/>
            <w:vAlign w:val="center"/>
          </w:tcPr>
          <w:p w14:paraId="7357297A">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船型</w:t>
            </w:r>
          </w:p>
        </w:tc>
        <w:tc>
          <w:tcPr>
            <w:tcW w:w="1491" w:type="dxa"/>
            <w:shd w:val="clear" w:color="auto" w:fill="auto"/>
            <w:noWrap w:val="0"/>
            <w:vAlign w:val="center"/>
          </w:tcPr>
          <w:p w14:paraId="5FB3124E">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船长Lc（m）</w:t>
            </w:r>
          </w:p>
        </w:tc>
        <w:tc>
          <w:tcPr>
            <w:tcW w:w="1583" w:type="dxa"/>
            <w:shd w:val="clear" w:color="auto" w:fill="auto"/>
            <w:noWrap w:val="0"/>
            <w:vAlign w:val="center"/>
          </w:tcPr>
          <w:p w14:paraId="67A5E61F">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船宽Bc（m）</w:t>
            </w:r>
          </w:p>
        </w:tc>
        <w:tc>
          <w:tcPr>
            <w:tcW w:w="1858" w:type="dxa"/>
            <w:shd w:val="clear" w:color="auto" w:fill="auto"/>
            <w:noWrap w:val="0"/>
            <w:vAlign w:val="center"/>
          </w:tcPr>
          <w:p w14:paraId="5E868F59">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满载艉吃水（m）</w:t>
            </w:r>
          </w:p>
        </w:tc>
        <w:tc>
          <w:tcPr>
            <w:tcW w:w="1644" w:type="dxa"/>
            <w:shd w:val="clear" w:color="auto" w:fill="auto"/>
            <w:noWrap w:val="0"/>
            <w:vAlign w:val="center"/>
          </w:tcPr>
          <w:p w14:paraId="25A9489B">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干舷高度（m）</w:t>
            </w:r>
          </w:p>
        </w:tc>
      </w:tr>
      <w:tr w14:paraId="4CEBFBE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644" w:type="dxa"/>
            <w:shd w:val="clear" w:color="auto" w:fill="auto"/>
            <w:noWrap w:val="0"/>
            <w:vAlign w:val="center"/>
          </w:tcPr>
          <w:p w14:paraId="5A681557">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100</w:t>
            </w:r>
            <w:r>
              <w:rPr>
                <w:rFonts w:hint="eastAsia" w:ascii="Times New Roman" w:hAnsi="Times New Roman" w:eastAsia="宋体" w:cs="Times New Roman"/>
                <w:color w:val="auto"/>
                <w:kern w:val="2"/>
                <w:sz w:val="21"/>
                <w:szCs w:val="24"/>
                <w:lang w:val="en-US" w:eastAsia="zh-CN" w:bidi="ar-SA"/>
              </w:rPr>
              <w:t>吨级渔政公务船</w:t>
            </w:r>
          </w:p>
        </w:tc>
        <w:tc>
          <w:tcPr>
            <w:tcW w:w="1491" w:type="dxa"/>
            <w:shd w:val="clear" w:color="auto" w:fill="auto"/>
            <w:noWrap w:val="0"/>
            <w:vAlign w:val="center"/>
          </w:tcPr>
          <w:p w14:paraId="208F3E14">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36</w:t>
            </w:r>
          </w:p>
        </w:tc>
        <w:tc>
          <w:tcPr>
            <w:tcW w:w="1583" w:type="dxa"/>
            <w:shd w:val="clear" w:color="auto" w:fill="auto"/>
            <w:noWrap w:val="0"/>
            <w:vAlign w:val="center"/>
          </w:tcPr>
          <w:p w14:paraId="6E64F614">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9</w:t>
            </w:r>
          </w:p>
        </w:tc>
        <w:tc>
          <w:tcPr>
            <w:tcW w:w="1858" w:type="dxa"/>
            <w:shd w:val="clear" w:color="auto" w:fill="auto"/>
            <w:noWrap w:val="0"/>
            <w:vAlign w:val="center"/>
          </w:tcPr>
          <w:p w14:paraId="78257DEF">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1.2</w:t>
            </w:r>
          </w:p>
        </w:tc>
        <w:tc>
          <w:tcPr>
            <w:tcW w:w="1644" w:type="dxa"/>
            <w:shd w:val="clear" w:color="auto" w:fill="auto"/>
            <w:noWrap w:val="0"/>
            <w:vAlign w:val="center"/>
          </w:tcPr>
          <w:p w14:paraId="0A872AD6">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6.2</w:t>
            </w:r>
          </w:p>
        </w:tc>
      </w:tr>
      <w:tr w14:paraId="61CD644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644" w:type="dxa"/>
            <w:shd w:val="clear" w:color="auto" w:fill="auto"/>
            <w:noWrap w:val="0"/>
            <w:vAlign w:val="center"/>
          </w:tcPr>
          <w:p w14:paraId="34BDE346">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铁船</w:t>
            </w:r>
          </w:p>
        </w:tc>
        <w:tc>
          <w:tcPr>
            <w:tcW w:w="1491" w:type="dxa"/>
            <w:shd w:val="clear" w:color="auto" w:fill="auto"/>
            <w:noWrap w:val="0"/>
            <w:vAlign w:val="top"/>
          </w:tcPr>
          <w:p w14:paraId="14366053">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15</w:t>
            </w:r>
          </w:p>
        </w:tc>
        <w:tc>
          <w:tcPr>
            <w:tcW w:w="1583" w:type="dxa"/>
            <w:shd w:val="clear" w:color="auto" w:fill="auto"/>
            <w:noWrap w:val="0"/>
            <w:vAlign w:val="top"/>
          </w:tcPr>
          <w:p w14:paraId="734C824A">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c>
          <w:tcPr>
            <w:tcW w:w="1858" w:type="dxa"/>
            <w:shd w:val="clear" w:color="auto" w:fill="auto"/>
            <w:noWrap w:val="0"/>
            <w:vAlign w:val="top"/>
          </w:tcPr>
          <w:p w14:paraId="35A8F340">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0.65</w:t>
            </w:r>
          </w:p>
        </w:tc>
        <w:tc>
          <w:tcPr>
            <w:tcW w:w="1644" w:type="dxa"/>
            <w:shd w:val="clear" w:color="auto" w:fill="auto"/>
            <w:noWrap w:val="0"/>
            <w:vAlign w:val="top"/>
          </w:tcPr>
          <w:p w14:paraId="366A440B">
            <w:pPr>
              <w:pStyle w:val="41"/>
              <w:keepNext w:val="0"/>
              <w:keepLines w:val="0"/>
              <w:pageBreakBefore w:val="0"/>
              <w:widowControl/>
              <w:kinsoku/>
              <w:wordWrap/>
              <w:overflowPunct/>
              <w:topLinePunct w:val="0"/>
              <w:autoSpaceDE/>
              <w:autoSpaceDN/>
              <w:bidi w:val="0"/>
              <w:adjustRightInd/>
              <w:snapToGrid/>
              <w:spacing w:line="240" w:lineRule="auto"/>
              <w:ind w:right="178" w:rightChars="74"/>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0.8</w:t>
            </w:r>
          </w:p>
        </w:tc>
      </w:tr>
    </w:tbl>
    <w:p w14:paraId="1A149CFD">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29" w:name="_Toc7052"/>
      <w:r>
        <w:rPr>
          <w:rFonts w:hint="default" w:ascii="Times New Roman" w:hAnsi="Times New Roman" w:eastAsia="宋体" w:cs="Times New Roman"/>
          <w:b/>
          <w:bCs w:val="0"/>
          <w:color w:val="auto"/>
          <w:sz w:val="24"/>
          <w:szCs w:val="24"/>
          <w:lang w:val="en-US" w:eastAsia="zh-CN"/>
        </w:rPr>
        <w:t>3.</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码头尺度</w:t>
      </w:r>
      <w:bookmarkEnd w:id="429"/>
    </w:p>
    <w:p w14:paraId="037D3B91">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（1）码头泊位长度</w:t>
      </w:r>
    </w:p>
    <w:p w14:paraId="6169BB18">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岳阳县鹿角渔港需要建设的码头泊位总数为1个100吨级渔政公务船泊位。趸船位置布置1个100吨级渔政公务船泊位，渔政船停泊趸船长度取为</w:t>
      </w:r>
      <w:r>
        <w:rPr>
          <w:rFonts w:hint="eastAsia" w:ascii="Times New Roman" w:hAnsi="Times New Roman" w:cs="Times New Roman"/>
          <w:color w:val="auto"/>
          <w:spacing w:val="0"/>
          <w:w w:val="100"/>
          <w:position w:val="0"/>
          <w:sz w:val="24"/>
          <w:szCs w:val="24"/>
          <w:lang w:val="en-US" w:eastAsia="zh-CN"/>
        </w:rPr>
        <w:t>36</w:t>
      </w:r>
      <w:r>
        <w:rPr>
          <w:rFonts w:hint="default" w:ascii="Times New Roman" w:hAnsi="Times New Roman" w:eastAsia="宋体" w:cs="Times New Roman"/>
          <w:color w:val="auto"/>
          <w:spacing w:val="0"/>
          <w:w w:val="100"/>
          <w:position w:val="0"/>
          <w:sz w:val="24"/>
          <w:szCs w:val="24"/>
          <w:lang w:val="en-US" w:eastAsia="zh-CN"/>
        </w:rPr>
        <w:t>m。</w:t>
      </w:r>
    </w:p>
    <w:p w14:paraId="3074E625">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（2）</w:t>
      </w:r>
      <w:r>
        <w:rPr>
          <w:rFonts w:hint="default" w:ascii="Times New Roman" w:hAnsi="Times New Roman" w:eastAsia="宋体" w:cs="Times New Roman"/>
          <w:color w:val="auto"/>
          <w:spacing w:val="0"/>
          <w:w w:val="100"/>
          <w:position w:val="0"/>
          <w:sz w:val="24"/>
          <w:szCs w:val="24"/>
          <w:lang w:val="en-US" w:eastAsia="zh-CN"/>
        </w:rPr>
        <w:t>码头前水域宽度（港池宽度）</w:t>
      </w:r>
    </w:p>
    <w:p w14:paraId="4FBA6E1E">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码头前水域宽度（港池宽度）包括供渔船停靠、装卸作业及回转所需水域宽度。供渔船停靠和铁船装卸作业水域宽度取10米宽。供渔船回转水域宽度取30米宽。港池总宽度</w:t>
      </w:r>
      <w:r>
        <w:rPr>
          <w:rFonts w:hint="eastAsia" w:ascii="Times New Roman" w:hAnsi="Times New Roman" w:eastAsia="宋体" w:cs="Times New Roman"/>
          <w:color w:val="auto"/>
          <w:spacing w:val="0"/>
          <w:w w:val="100"/>
          <w:position w:val="0"/>
          <w:sz w:val="24"/>
          <w:szCs w:val="24"/>
          <w:lang w:val="en-US" w:eastAsia="zh-CN"/>
        </w:rPr>
        <w:t>为40米</w:t>
      </w:r>
      <w:r>
        <w:rPr>
          <w:rFonts w:hint="eastAsia" w:ascii="Times New Roman" w:hAnsi="Times New Roman" w:cs="Times New Roman"/>
          <w:color w:val="auto"/>
          <w:spacing w:val="0"/>
          <w:w w:val="100"/>
          <w:position w:val="0"/>
          <w:sz w:val="24"/>
          <w:szCs w:val="24"/>
          <w:lang w:val="en-US" w:eastAsia="zh-CN"/>
        </w:rPr>
        <w:t>。</w:t>
      </w:r>
    </w:p>
    <w:p w14:paraId="5B5276D4">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（3）码头前沿高程</w:t>
      </w:r>
    </w:p>
    <w:p w14:paraId="4F479BF2">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考虑到后方与码头引桥相接的路顶标高是33.50m，引桥起始高程取33.50m，与岸侧道路高程一致。</w:t>
      </w:r>
    </w:p>
    <w:p w14:paraId="55C08282">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（4）码头前沿设计水深</w:t>
      </w:r>
    </w:p>
    <w:p w14:paraId="0E0843E1">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根据《渔港总体设计规范》，码头前沿设计水深公务船1.5m</w:t>
      </w:r>
      <w:r>
        <w:rPr>
          <w:rFonts w:hint="eastAsia"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铁船1.15m</w:t>
      </w:r>
      <w:r>
        <w:rPr>
          <w:rFonts w:hint="eastAsia" w:cs="Times New Roman"/>
          <w:color w:val="auto"/>
          <w:kern w:val="2"/>
          <w:sz w:val="24"/>
          <w:szCs w:val="24"/>
          <w:lang w:val="en-US" w:eastAsia="zh-CN"/>
        </w:rPr>
        <w:t>。</w:t>
      </w:r>
    </w:p>
    <w:p w14:paraId="3A3F842D">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（5）码头前沿水域底高程</w:t>
      </w:r>
    </w:p>
    <w:p w14:paraId="14FB4A6E">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码头前沿水域底高程是指设计低水位下能够保证渔船和渔政船在满载情况下安全进出港和停靠。根据《渔港总体设计规范》，码头前沿水域底高程=设计低水位-码头前沿设计水深。计算结果</w:t>
      </w:r>
      <w:r>
        <w:rPr>
          <w:rFonts w:hint="eastAsia" w:ascii="Times New Roman" w:hAnsi="Times New Roman" w:cs="Times New Roman"/>
          <w:color w:val="auto"/>
          <w:spacing w:val="0"/>
          <w:w w:val="100"/>
          <w:position w:val="0"/>
          <w:sz w:val="24"/>
          <w:szCs w:val="24"/>
          <w:lang w:val="en-US" w:eastAsia="zh-CN"/>
        </w:rPr>
        <w:t>为17米</w:t>
      </w:r>
      <w:r>
        <w:rPr>
          <w:rFonts w:hint="default" w:ascii="Times New Roman" w:hAnsi="Times New Roman" w:eastAsia="宋体" w:cs="Times New Roman"/>
          <w:color w:val="auto"/>
          <w:spacing w:val="0"/>
          <w:w w:val="100"/>
          <w:position w:val="0"/>
          <w:sz w:val="24"/>
          <w:szCs w:val="24"/>
          <w:lang w:val="en-US" w:eastAsia="zh-CN"/>
        </w:rPr>
        <w:t>。</w:t>
      </w:r>
    </w:p>
    <w:p w14:paraId="0CAA0A46">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（6）航道宽度</w:t>
      </w:r>
    </w:p>
    <w:p w14:paraId="6DB58707">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根据《渔港总体设计规范》，渔港航道应同时满足捕捞设计代表渔船双向通航和大型船舶单向通航的需要，航道宽度24m。</w:t>
      </w:r>
    </w:p>
    <w:p w14:paraId="4FCC857A">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3.</w:t>
      </w:r>
      <w:r>
        <w:rPr>
          <w:rFonts w:hint="eastAsia"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码头岸线长度</w:t>
      </w:r>
    </w:p>
    <w:p w14:paraId="0413DE34">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鹿角码头</w:t>
      </w:r>
      <w:r>
        <w:rPr>
          <w:rFonts w:hint="eastAsia" w:ascii="Times New Roman" w:hAnsi="Times New Roman" w:cs="Times New Roman"/>
          <w:color w:val="auto"/>
          <w:spacing w:val="0"/>
          <w:w w:val="100"/>
          <w:position w:val="0"/>
          <w:sz w:val="24"/>
          <w:szCs w:val="24"/>
          <w:lang w:val="en-US" w:eastAsia="zh-CN"/>
        </w:rPr>
        <w:t>目前占用</w:t>
      </w:r>
      <w:r>
        <w:rPr>
          <w:rFonts w:hint="default" w:ascii="Times New Roman" w:hAnsi="Times New Roman" w:eastAsia="宋体" w:cs="Times New Roman"/>
          <w:color w:val="auto"/>
          <w:spacing w:val="0"/>
          <w:w w:val="100"/>
          <w:position w:val="0"/>
          <w:sz w:val="24"/>
          <w:szCs w:val="24"/>
          <w:lang w:val="en-US" w:eastAsia="zh-CN"/>
        </w:rPr>
        <w:t>岸线长度</w:t>
      </w:r>
      <w:r>
        <w:rPr>
          <w:rFonts w:hint="eastAsia" w:ascii="Times New Roman" w:hAnsi="Times New Roman" w:cs="Times New Roman"/>
          <w:color w:val="auto"/>
          <w:spacing w:val="0"/>
          <w:w w:val="100"/>
          <w:position w:val="0"/>
          <w:sz w:val="24"/>
          <w:szCs w:val="24"/>
          <w:lang w:val="en-US" w:eastAsia="zh-CN"/>
        </w:rPr>
        <w:t>100m，本次扩建不扩展占用长度，依旧为100m。</w:t>
      </w:r>
    </w:p>
    <w:p w14:paraId="1BB2421B">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30" w:name="_Toc26695"/>
      <w:bookmarkStart w:id="431" w:name="_Toc1607"/>
      <w:r>
        <w:rPr>
          <w:rFonts w:hint="default" w:ascii="Times New Roman" w:hAnsi="Times New Roman" w:eastAsia="宋体" w:cs="Times New Roman"/>
          <w:color w:val="auto"/>
          <w:sz w:val="28"/>
          <w:szCs w:val="28"/>
          <w:lang w:val="en-US" w:eastAsia="zh-CN"/>
        </w:rPr>
        <w:t>3.</w:t>
      </w:r>
      <w:r>
        <w:rPr>
          <w:rFonts w:hint="eastAsia"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 xml:space="preserve"> </w:t>
      </w:r>
      <w:r>
        <w:rPr>
          <w:rFonts w:hint="eastAsia" w:cs="Times New Roman"/>
          <w:color w:val="auto"/>
          <w:sz w:val="28"/>
          <w:szCs w:val="28"/>
          <w:lang w:val="en-US" w:eastAsia="zh-CN"/>
        </w:rPr>
        <w:t>水工建筑物</w:t>
      </w:r>
      <w:bookmarkEnd w:id="430"/>
      <w:bookmarkEnd w:id="431"/>
    </w:p>
    <w:p w14:paraId="637F43CF">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水工建筑物为浮码头结构型式，建筑物安全等级为Ⅱ级。</w:t>
      </w:r>
    </w:p>
    <w:p w14:paraId="4877B92C">
      <w:pPr>
        <w:pStyle w:val="38"/>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val="en-US" w:eastAsia="zh-CN"/>
        </w:rPr>
        <w:t>浮码头结构方案</w:t>
      </w:r>
    </w:p>
    <w:p w14:paraId="746F75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考虑到洞庭湖水位差较大，码头结构拟采用趸船式浮码头接引桥的型式。趸船长</w:t>
      </w:r>
      <w:r>
        <w:rPr>
          <w:rFonts w:hint="eastAsia" w:cs="Times New Roman"/>
          <w:color w:val="auto"/>
          <w:spacing w:val="0"/>
          <w:w w:val="100"/>
          <w:position w:val="0"/>
          <w:sz w:val="24"/>
          <w:szCs w:val="24"/>
          <w:lang w:val="en-US" w:eastAsia="zh-CN"/>
        </w:rPr>
        <w:t>36</w:t>
      </w:r>
      <w:r>
        <w:rPr>
          <w:rFonts w:hint="default" w:ascii="Times New Roman" w:hAnsi="Times New Roman" w:eastAsia="宋体" w:cs="Times New Roman"/>
          <w:color w:val="auto"/>
          <w:spacing w:val="0"/>
          <w:w w:val="100"/>
          <w:position w:val="0"/>
          <w:sz w:val="24"/>
          <w:szCs w:val="24"/>
        </w:rPr>
        <w:t>m宽</w:t>
      </w:r>
      <w:r>
        <w:rPr>
          <w:rFonts w:hint="eastAsia" w:cs="Times New Roman"/>
          <w:color w:val="auto"/>
          <w:spacing w:val="0"/>
          <w:w w:val="100"/>
          <w:position w:val="0"/>
          <w:sz w:val="24"/>
          <w:szCs w:val="24"/>
          <w:lang w:val="en-US" w:eastAsia="zh-CN"/>
        </w:rPr>
        <w:t>9</w:t>
      </w:r>
      <w:r>
        <w:rPr>
          <w:rFonts w:hint="default" w:ascii="Times New Roman" w:hAnsi="Times New Roman" w:eastAsia="宋体" w:cs="Times New Roman"/>
          <w:color w:val="auto"/>
          <w:spacing w:val="0"/>
          <w:w w:val="100"/>
          <w:position w:val="0"/>
          <w:sz w:val="24"/>
          <w:szCs w:val="24"/>
        </w:rPr>
        <w:t>m，来满足渔船停靠，同时方便渔政船停泊及渔政执法办公需要，设浮趸引桥长桥长2</w:t>
      </w:r>
      <w:r>
        <w:rPr>
          <w:rFonts w:hint="eastAsia" w:cs="Times New Roman"/>
          <w:color w:val="auto"/>
          <w:spacing w:val="0"/>
          <w:w w:val="100"/>
          <w:position w:val="0"/>
          <w:sz w:val="24"/>
          <w:szCs w:val="24"/>
          <w:lang w:val="en-US" w:eastAsia="zh-CN"/>
        </w:rPr>
        <w:t>60</w:t>
      </w:r>
      <w:r>
        <w:rPr>
          <w:rFonts w:hint="default" w:ascii="Times New Roman" w:hAnsi="Times New Roman" w:eastAsia="宋体" w:cs="Times New Roman"/>
          <w:color w:val="auto"/>
          <w:spacing w:val="0"/>
          <w:w w:val="100"/>
          <w:position w:val="0"/>
          <w:sz w:val="24"/>
          <w:szCs w:val="24"/>
        </w:rPr>
        <w:t>m，宽1.6m一座，连接钢引桥再接趸船，浮趸引桥另一侧与岸相接。趸船上设设有二层甲板室，便于渔政执法人员办公及值班。接岸处至水侧设置3排现浇砼墩台，该处引桥坡度为1：6.5，起始高程与码头高程一致为33.5m，为趸船码头设置供水、供电设施各1项。</w:t>
      </w:r>
    </w:p>
    <w:p w14:paraId="2FBD36F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pacing w:val="0"/>
          <w:w w:val="100"/>
          <w:position w:val="0"/>
          <w:sz w:val="24"/>
          <w:szCs w:val="24"/>
        </w:rPr>
      </w:pPr>
      <w:r>
        <w:rPr>
          <w:rFonts w:hint="eastAsia" w:ascii="宋体" w:hAnsi="宋体" w:cs="宋体"/>
          <w:color w:val="auto"/>
          <w:spacing w:val="0"/>
          <w:w w:val="100"/>
          <w:position w:val="0"/>
          <w:sz w:val="24"/>
          <w:szCs w:val="24"/>
          <w:lang w:eastAsia="zh-CN"/>
        </w:rPr>
        <w:t>（</w:t>
      </w:r>
      <w:r>
        <w:rPr>
          <w:rFonts w:hint="eastAsia" w:ascii="宋体" w:hAnsi="宋体" w:cs="宋体"/>
          <w:color w:val="auto"/>
          <w:spacing w:val="0"/>
          <w:w w:val="100"/>
          <w:position w:val="0"/>
          <w:sz w:val="24"/>
          <w:szCs w:val="24"/>
          <w:lang w:val="en-US" w:eastAsia="zh-CN"/>
        </w:rPr>
        <w:t>2</w:t>
      </w:r>
      <w:r>
        <w:rPr>
          <w:rFonts w:hint="eastAsia" w:ascii="宋体" w:hAnsi="宋体" w:cs="宋体"/>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接岸平台结构</w:t>
      </w:r>
    </w:p>
    <w:p w14:paraId="2377326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接岸平台位于新建浮码头北侧与老护岸南侧之间海域，透空式平台结构采用桩基梁板式结构，码头桩基采用钻孔灌注桩。接岸平台上部结构为现浇砼，为梯形结构，上部接浮引桥的钢板，坡度为1:6</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平台中心轴线厚血，从岸侧至水侧三个平台的高程依次为33.5m、30.5m、27. 5m，其下打设2根直径中700mm灌注桩桩基为钻孔灌注嵌岩桩，桩基持力层为第④圆砾，桩长12m。</w:t>
      </w:r>
    </w:p>
    <w:p w14:paraId="02E8A67F">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32" w:name="_Toc16293"/>
      <w:bookmarkStart w:id="433" w:name="_Toc8502"/>
      <w:r>
        <w:rPr>
          <w:rFonts w:hint="default" w:ascii="Times New Roman" w:hAnsi="Times New Roman" w:eastAsia="宋体" w:cs="Times New Roman"/>
          <w:color w:val="auto"/>
          <w:sz w:val="28"/>
          <w:szCs w:val="28"/>
          <w:lang w:val="en-US" w:eastAsia="zh-CN"/>
        </w:rPr>
        <w:t xml:space="preserve">3.4 </w:t>
      </w:r>
      <w:r>
        <w:rPr>
          <w:rFonts w:hint="eastAsia" w:cs="Times New Roman"/>
          <w:color w:val="auto"/>
          <w:sz w:val="28"/>
          <w:szCs w:val="28"/>
          <w:lang w:val="en-US" w:eastAsia="zh-CN"/>
        </w:rPr>
        <w:t>趸船工程及码头浮桥</w:t>
      </w:r>
      <w:bookmarkEnd w:id="432"/>
      <w:bookmarkEnd w:id="433"/>
    </w:p>
    <w:p w14:paraId="0377CAC5">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val="en-US" w:eastAsia="zh-CN"/>
        </w:rPr>
        <w:t>带办公用房趸船工程</w:t>
      </w:r>
    </w:p>
    <w:p w14:paraId="1F0DB3DF">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jc w:val="left"/>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趸船为岳阳县鹿角交通渔政综合</w:t>
      </w:r>
      <w:r>
        <w:rPr>
          <w:rFonts w:hint="eastAsia" w:ascii="Times New Roman" w:hAnsi="Times New Roman" w:cs="Times New Roman"/>
          <w:color w:val="auto"/>
          <w:spacing w:val="0"/>
          <w:w w:val="100"/>
          <w:position w:val="0"/>
          <w:sz w:val="24"/>
          <w:szCs w:val="24"/>
          <w:lang w:val="en-US" w:eastAsia="zh-CN"/>
        </w:rPr>
        <w:t>执法</w:t>
      </w:r>
      <w:r>
        <w:rPr>
          <w:rFonts w:hint="default" w:ascii="Times New Roman" w:hAnsi="Times New Roman" w:eastAsia="宋体" w:cs="Times New Roman"/>
          <w:color w:val="auto"/>
          <w:spacing w:val="0"/>
          <w:w w:val="100"/>
          <w:position w:val="0"/>
          <w:sz w:val="24"/>
          <w:szCs w:val="24"/>
        </w:rPr>
        <w:t>码头的趸船，按照内河B级航区进行设 计。船舶与岸基之间采用浮码头（固定平台+浮趸+钢引桥）连接。</w:t>
      </w:r>
    </w:p>
    <w:p w14:paraId="1FE2D4DB">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jc w:val="left"/>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pacing w:val="0"/>
          <w:w w:val="100"/>
          <w:position w:val="0"/>
          <w:sz w:val="24"/>
          <w:szCs w:val="24"/>
          <w:lang w:val="en-US" w:eastAsia="zh-CN"/>
        </w:rPr>
        <w:t>①</w:t>
      </w:r>
      <w:r>
        <w:rPr>
          <w:rFonts w:hint="eastAsia" w:ascii="Times New Roman" w:hAnsi="Times New Roman" w:cs="Times New Roman"/>
          <w:color w:val="auto"/>
          <w:spacing w:val="0"/>
          <w:w w:val="100"/>
          <w:position w:val="0"/>
          <w:sz w:val="24"/>
          <w:szCs w:val="24"/>
          <w:lang w:val="en-US" w:eastAsia="zh-CN"/>
        </w:rPr>
        <w:t>船形：</w:t>
      </w:r>
      <w:r>
        <w:rPr>
          <w:rFonts w:hint="default" w:ascii="Times New Roman" w:hAnsi="Times New Roman" w:eastAsia="宋体" w:cs="Times New Roman"/>
          <w:color w:val="auto"/>
          <w:spacing w:val="0"/>
          <w:w w:val="100"/>
          <w:position w:val="0"/>
          <w:sz w:val="24"/>
          <w:szCs w:val="24"/>
        </w:rPr>
        <w:t>趸船为单底、单舷、单甲板全电焊结构的钢质趸船，主船体为横骨架式，全船为首、尾底部起翘、对称，圆舭，主甲板以上设有二层钢质甲板室。主要数据</w:t>
      </w:r>
      <w:r>
        <w:rPr>
          <w:rFonts w:hint="default" w:ascii="Times New Roman" w:hAnsi="Times New Roman" w:eastAsia="宋体" w:cs="Times New Roman"/>
          <w:color w:val="auto"/>
          <w:spacing w:val="0"/>
          <w:w w:val="100"/>
          <w:position w:val="0"/>
          <w:sz w:val="24"/>
          <w:szCs w:val="24"/>
          <w:lang w:val="en-US" w:eastAsia="zh-CN"/>
        </w:rPr>
        <w:t>如下：</w:t>
      </w:r>
    </w:p>
    <w:p w14:paraId="66445E24">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60"/>
        <w:jc w:val="left"/>
        <w:textAlignment w:val="auto"/>
        <w:rPr>
          <w:rFonts w:hint="default"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lang w:eastAsia="zh-CN"/>
        </w:rPr>
        <w:t>总长</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36</w:t>
      </w:r>
      <w:r>
        <w:rPr>
          <w:rFonts w:hint="default" w:ascii="Times New Roman" w:hAnsi="Times New Roman" w:eastAsia="宋体" w:cs="Times New Roman"/>
          <w:color w:val="auto"/>
          <w:spacing w:val="0"/>
          <w:w w:val="100"/>
          <w:position w:val="0"/>
          <w:sz w:val="24"/>
          <w:szCs w:val="24"/>
          <w:lang w:eastAsia="zh-CN"/>
        </w:rPr>
        <w:t>.00m</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型宽</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9</w:t>
      </w:r>
      <w:r>
        <w:rPr>
          <w:rFonts w:hint="default" w:ascii="Times New Roman" w:hAnsi="Times New Roman" w:eastAsia="宋体" w:cs="Times New Roman"/>
          <w:color w:val="auto"/>
          <w:spacing w:val="0"/>
          <w:w w:val="100"/>
          <w:position w:val="0"/>
          <w:sz w:val="24"/>
          <w:szCs w:val="24"/>
          <w:lang w:eastAsia="zh-CN"/>
        </w:rPr>
        <w:t>.00m</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型深</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1.50m</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设计吃水</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0.80m</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肋距</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lang w:eastAsia="zh-CN"/>
        </w:rPr>
        <w:t>0.50m</w:t>
      </w:r>
      <w:r>
        <w:rPr>
          <w:rFonts w:hint="eastAsia" w:ascii="Times New Roman" w:hAnsi="Times New Roman" w:cs="Times New Roman"/>
          <w:color w:val="auto"/>
          <w:spacing w:val="0"/>
          <w:w w:val="100"/>
          <w:position w:val="0"/>
          <w:sz w:val="24"/>
          <w:szCs w:val="24"/>
          <w:lang w:eastAsia="zh-CN"/>
        </w:rPr>
        <w:t>，停泊航区：B级，甲板层高2.80m。</w:t>
      </w:r>
    </w:p>
    <w:p w14:paraId="4B43523D">
      <w:pPr>
        <w:pStyle w:val="45"/>
        <w:keepNext w:val="0"/>
        <w:keepLines w:val="0"/>
        <w:pageBreakBefore w:val="0"/>
        <w:widowControl w:val="0"/>
        <w:shd w:val="clear" w:color="auto" w:fill="auto"/>
        <w:tabs>
          <w:tab w:val="left" w:pos="1173"/>
        </w:tabs>
        <w:kinsoku/>
        <w:wordWrap/>
        <w:overflowPunct/>
        <w:topLinePunct w:val="0"/>
        <w:autoSpaceDE/>
        <w:autoSpaceDN/>
        <w:bidi w:val="0"/>
        <w:adjustRightInd/>
        <w:snapToGrid/>
        <w:spacing w:before="0" w:after="0" w:line="360" w:lineRule="auto"/>
        <w:ind w:left="0" w:right="0" w:firstLine="560"/>
        <w:jc w:val="left"/>
        <w:textAlignment w:val="auto"/>
        <w:rPr>
          <w:rFonts w:hint="default" w:ascii="Times New Roman" w:hAnsi="Times New Roman" w:eastAsia="宋体" w:cs="Times New Roman"/>
          <w:color w:val="auto"/>
          <w:sz w:val="24"/>
          <w:szCs w:val="24"/>
        </w:rPr>
      </w:pPr>
      <w:r>
        <w:rPr>
          <w:rFonts w:hint="eastAsia" w:ascii="宋体" w:hAnsi="宋体" w:eastAsia="宋体" w:cs="宋体"/>
          <w:color w:val="auto"/>
          <w:spacing w:val="0"/>
          <w:w w:val="100"/>
          <w:position w:val="0"/>
          <w:sz w:val="24"/>
          <w:szCs w:val="24"/>
        </w:rPr>
        <w:t>②</w:t>
      </w:r>
      <w:r>
        <w:rPr>
          <w:rFonts w:hint="eastAsia" w:cs="宋体"/>
          <w:color w:val="auto"/>
          <w:spacing w:val="0"/>
          <w:w w:val="100"/>
          <w:position w:val="0"/>
          <w:sz w:val="24"/>
          <w:szCs w:val="24"/>
          <w:lang w:val="en-US" w:eastAsia="zh-CN"/>
        </w:rPr>
        <w:t>总体布置：</w:t>
      </w:r>
      <w:r>
        <w:rPr>
          <w:rFonts w:hint="default" w:ascii="Times New Roman" w:hAnsi="Times New Roman" w:eastAsia="宋体" w:cs="Times New Roman"/>
          <w:color w:val="auto"/>
          <w:spacing w:val="0"/>
          <w:w w:val="100"/>
          <w:position w:val="0"/>
          <w:sz w:val="24"/>
          <w:szCs w:val="24"/>
        </w:rPr>
        <w:t>趸船主甲板以下设置</w:t>
      </w:r>
      <w:r>
        <w:rPr>
          <w:rFonts w:hint="eastAsia" w:ascii="Times New Roman" w:hAnsi="Times New Roman" w:cs="Times New Roman"/>
          <w:color w:val="auto"/>
          <w:spacing w:val="0"/>
          <w:w w:val="100"/>
          <w:position w:val="0"/>
          <w:sz w:val="24"/>
          <w:szCs w:val="24"/>
          <w:lang w:val="en-US" w:eastAsia="zh-CN"/>
        </w:rPr>
        <w:t>5</w:t>
      </w:r>
      <w:r>
        <w:rPr>
          <w:rFonts w:hint="default" w:ascii="Times New Roman" w:hAnsi="Times New Roman" w:eastAsia="宋体" w:cs="Times New Roman"/>
          <w:color w:val="auto"/>
          <w:spacing w:val="0"/>
          <w:w w:val="100"/>
          <w:position w:val="0"/>
          <w:sz w:val="24"/>
          <w:szCs w:val="24"/>
        </w:rPr>
        <w:t>道水密横舱壁，主甲板上设有二层甲板室。主甲板尾部为尾锚泊系泊区域。中部为主甲板室区域，主甲板室内布置卫生间1间、厨房1间、餐厅1间、船员室（办公室）1间、配电间1间、储物间1间、会议室1间。首部布置锚泊系泊区域。</w:t>
      </w:r>
    </w:p>
    <w:p w14:paraId="6BAB5242">
      <w:pPr>
        <w:pStyle w:val="4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480" w:leftChars="0" w:right="0" w:rightChars="0"/>
        <w:jc w:val="both"/>
        <w:textAlignment w:val="auto"/>
        <w:rPr>
          <w:rFonts w:hint="eastAsia" w:ascii="Times New Roman" w:hAnsi="Times New Roman" w:cs="Times New Roman"/>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③</w:t>
      </w:r>
      <w:r>
        <w:rPr>
          <w:rFonts w:hint="eastAsia" w:ascii="Times New Roman" w:hAnsi="Times New Roman" w:cs="Times New Roman"/>
          <w:color w:val="auto"/>
          <w:spacing w:val="0"/>
          <w:w w:val="100"/>
          <w:position w:val="0"/>
          <w:sz w:val="24"/>
          <w:szCs w:val="24"/>
          <w:lang w:val="en-US" w:eastAsia="zh-CN"/>
        </w:rPr>
        <w:t>防污染系统</w:t>
      </w:r>
    </w:p>
    <w:p w14:paraId="0A89550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在泵舱内设生活污水处理装置二套（满足MEPC.159(55)决议），处理后的污水达到排污标准后排至舷外或岸上接收设备。</w:t>
      </w:r>
    </w:p>
    <w:p w14:paraId="3ECED1B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在泵舱内设设固体废弃物收集箱(垃圾箱)4个，每个收集箱50L，共200L。主甲板放置2个（食品类、塑料类各一个），二层甲板放置2个（塑料类、其它类各一个），设有盖板及防止倾覆的固定装置。各类食品类垃圾、塑料类垃圾、其它类垃圾等分类收集，打包后交岸基接收部门处理</w:t>
      </w:r>
      <w:r>
        <w:rPr>
          <w:rFonts w:hint="eastAsia" w:cs="Times New Roman"/>
          <w:color w:val="auto"/>
          <w:spacing w:val="0"/>
          <w:w w:val="100"/>
          <w:position w:val="0"/>
          <w:sz w:val="24"/>
          <w:szCs w:val="24"/>
          <w:lang w:val="en-US" w:eastAsia="zh-CN"/>
        </w:rPr>
        <w:t>。</w:t>
      </w:r>
    </w:p>
    <w:p w14:paraId="17CDAEE3">
      <w:pPr>
        <w:pStyle w:val="4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480" w:leftChars="0" w:right="0" w:rightChars="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eastAsia" w:ascii="Times New Roman" w:hAnsi="Times New Roman" w:cs="Times New Roman"/>
          <w:color w:val="auto"/>
          <w:spacing w:val="0"/>
          <w:w w:val="100"/>
          <w:position w:val="0"/>
          <w:sz w:val="24"/>
          <w:szCs w:val="24"/>
          <w:lang w:val="en-US" w:eastAsia="zh-CN"/>
        </w:rPr>
        <w:t>（2）码头浮桥工程</w:t>
      </w:r>
    </w:p>
    <w:p w14:paraId="42B79AE8">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en-US"/>
        </w:rPr>
      </w:pPr>
      <w:r>
        <w:rPr>
          <w:rFonts w:hint="default" w:ascii="Times New Roman" w:hAnsi="Times New Roman" w:eastAsia="宋体" w:cs="Times New Roman"/>
          <w:color w:val="auto"/>
          <w:spacing w:val="0"/>
          <w:w w:val="100"/>
          <w:position w:val="0"/>
          <w:sz w:val="24"/>
          <w:szCs w:val="24"/>
        </w:rPr>
        <w:t>码头浮桥由岸边硬化平台以及码头的接岸平台加上浮趸和钢引桥组成。岸上的接岸平台至码头浮趸岸舷的距离约</w:t>
      </w:r>
      <w:r>
        <w:rPr>
          <w:rFonts w:hint="default" w:ascii="Times New Roman" w:hAnsi="Times New Roman" w:eastAsia="宋体" w:cs="Times New Roman"/>
          <w:color w:val="auto"/>
          <w:spacing w:val="0"/>
          <w:w w:val="100"/>
          <w:position w:val="0"/>
          <w:sz w:val="24"/>
          <w:szCs w:val="24"/>
          <w:lang w:val="en-US" w:eastAsia="en-US"/>
        </w:rPr>
        <w:t>260m。</w:t>
      </w:r>
      <w:r>
        <w:rPr>
          <w:rFonts w:hint="default" w:ascii="Times New Roman" w:hAnsi="Times New Roman" w:eastAsia="宋体" w:cs="Times New Roman"/>
          <w:color w:val="auto"/>
          <w:spacing w:val="0"/>
          <w:w w:val="100"/>
          <w:position w:val="0"/>
          <w:sz w:val="24"/>
          <w:szCs w:val="24"/>
        </w:rPr>
        <w:t>岸上硬化平台及码头独立平台由水工建设完成，平台间距离为</w:t>
      </w:r>
      <w:r>
        <w:rPr>
          <w:rFonts w:hint="default" w:ascii="Times New Roman" w:hAnsi="Times New Roman" w:eastAsia="宋体" w:cs="Times New Roman"/>
          <w:color w:val="auto"/>
          <w:spacing w:val="0"/>
          <w:w w:val="100"/>
          <w:position w:val="0"/>
          <w:sz w:val="24"/>
          <w:szCs w:val="24"/>
          <w:lang w:val="en-US" w:eastAsia="en-US"/>
        </w:rPr>
        <w:t>18m。</w:t>
      </w:r>
    </w:p>
    <w:p w14:paraId="11E6B04E">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①</w:t>
      </w:r>
      <w:r>
        <w:rPr>
          <w:rFonts w:hint="default" w:ascii="Times New Roman" w:hAnsi="Times New Roman" w:eastAsia="宋体" w:cs="Times New Roman"/>
          <w:color w:val="auto"/>
          <w:spacing w:val="0"/>
          <w:w w:val="100"/>
          <w:position w:val="0"/>
          <w:sz w:val="24"/>
          <w:szCs w:val="24"/>
        </w:rPr>
        <w:t>浮趸</w:t>
      </w:r>
    </w:p>
    <w:p w14:paraId="4553315A">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浮趸为岳阳鹿角</w:t>
      </w:r>
      <w:r>
        <w:rPr>
          <w:rFonts w:hint="default" w:ascii="Times New Roman" w:hAnsi="Times New Roman" w:eastAsia="宋体" w:cs="Times New Roman"/>
          <w:color w:val="auto"/>
          <w:spacing w:val="0"/>
          <w:w w:val="100"/>
          <w:position w:val="0"/>
          <w:sz w:val="24"/>
          <w:szCs w:val="24"/>
          <w:lang w:val="en-US" w:eastAsia="zh-CN"/>
        </w:rPr>
        <w:t>渔政执法</w:t>
      </w:r>
      <w:r>
        <w:rPr>
          <w:rFonts w:hint="default" w:ascii="Times New Roman" w:hAnsi="Times New Roman" w:eastAsia="宋体" w:cs="Times New Roman"/>
          <w:color w:val="auto"/>
          <w:spacing w:val="0"/>
          <w:w w:val="100"/>
          <w:position w:val="0"/>
          <w:sz w:val="24"/>
          <w:szCs w:val="24"/>
        </w:rPr>
        <w:t>码头的配套垫挡趸船。跳板及船体结构均按现行规范CCS《钢质内河船舶建造规范》（2016）相关要求进行核算。本工程共设</w:t>
      </w:r>
      <w:r>
        <w:rPr>
          <w:rFonts w:hint="eastAsia" w:ascii="Times New Roman" w:hAnsi="Times New Roman" w:cs="Times New Roman"/>
          <w:color w:val="auto"/>
          <w:spacing w:val="0"/>
          <w:w w:val="100"/>
          <w:position w:val="0"/>
          <w:sz w:val="24"/>
          <w:szCs w:val="24"/>
          <w:lang w:val="en-US" w:eastAsia="zh-CN"/>
        </w:rPr>
        <w:t>1</w:t>
      </w:r>
      <w:r>
        <w:rPr>
          <w:rFonts w:hint="default" w:ascii="Times New Roman" w:hAnsi="Times New Roman" w:eastAsia="宋体" w:cs="Times New Roman"/>
          <w:color w:val="auto"/>
          <w:spacing w:val="0"/>
          <w:w w:val="100"/>
          <w:position w:val="0"/>
          <w:sz w:val="24"/>
          <w:szCs w:val="24"/>
        </w:rPr>
        <w:t>0只浮趸支撑钢引桥。浮趸主要参数如下：</w:t>
      </w:r>
    </w:p>
    <w:p w14:paraId="1AA8BADA">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总长</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7.00m</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型宽</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3.50m</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型深</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0.90m</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设计吃水</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0.50m</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肋距</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0.50m</w:t>
      </w:r>
      <w:r>
        <w:rPr>
          <w:rFonts w:hint="default" w:ascii="Times New Roman" w:hAnsi="Times New Roman" w:eastAsia="宋体" w:cs="Times New Roman"/>
          <w:color w:val="auto"/>
          <w:spacing w:val="0"/>
          <w:w w:val="100"/>
          <w:position w:val="0"/>
          <w:sz w:val="24"/>
          <w:szCs w:val="24"/>
          <w:lang w:eastAsia="zh-CN"/>
        </w:rPr>
        <w:t>。</w:t>
      </w:r>
    </w:p>
    <w:p w14:paraId="7A241521">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浮趸均采用钢质材料焊接而成</w:t>
      </w:r>
      <w:r>
        <w:rPr>
          <w:rFonts w:hint="eastAsia" w:ascii="Times New Roman" w:hAnsi="Times New Roman" w:cs="Times New Roman"/>
          <w:color w:val="auto"/>
          <w:spacing w:val="0"/>
          <w:w w:val="100"/>
          <w:position w:val="0"/>
          <w:sz w:val="24"/>
          <w:szCs w:val="24"/>
          <w:lang w:eastAsia="zh-CN"/>
        </w:rPr>
        <w:t>，主船体材料均采用CCSA级钢。</w:t>
      </w:r>
      <w:r>
        <w:rPr>
          <w:rFonts w:hint="default" w:ascii="Times New Roman" w:hAnsi="Times New Roman" w:eastAsia="宋体" w:cs="Times New Roman"/>
          <w:color w:val="auto"/>
          <w:spacing w:val="0"/>
          <w:w w:val="100"/>
          <w:position w:val="0"/>
          <w:sz w:val="24"/>
          <w:szCs w:val="24"/>
        </w:rPr>
        <w:t>结构尺寸按</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内钢规</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对A级航区船舶的要求进行计算取值，主船体采用横骨架式，中纵剖面处设一道贯通艏艉双向纵桁架。两舷侧外设置一道半圆型钢质护舷材。</w:t>
      </w:r>
    </w:p>
    <w:p w14:paraId="31A49D2E">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eastAsia="zh-CN"/>
        </w:rPr>
        <w:t>②</w:t>
      </w:r>
      <w:r>
        <w:rPr>
          <w:rFonts w:hint="eastAsia" w:ascii="Times New Roman" w:hAnsi="Times New Roman" w:cs="Times New Roman"/>
          <w:color w:val="auto"/>
          <w:spacing w:val="0"/>
          <w:w w:val="100"/>
          <w:position w:val="0"/>
          <w:sz w:val="24"/>
          <w:szCs w:val="24"/>
          <w:lang w:val="en-US" w:eastAsia="zh-CN"/>
        </w:rPr>
        <w:t>刚引桥</w:t>
      </w:r>
    </w:p>
    <w:p w14:paraId="7CE69594">
      <w:pPr>
        <w:pStyle w:val="4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本工程共设13座钢引桥。钢引桥长</w:t>
      </w:r>
      <w:r>
        <w:rPr>
          <w:rFonts w:hint="eastAsia" w:ascii="Times New Roman" w:hAnsi="Times New Roman" w:cs="Times New Roman"/>
          <w:color w:val="auto"/>
          <w:spacing w:val="0"/>
          <w:w w:val="100"/>
          <w:position w:val="0"/>
          <w:sz w:val="24"/>
          <w:szCs w:val="24"/>
          <w:lang w:val="en-US" w:eastAsia="zh-CN"/>
        </w:rPr>
        <w:t>21</w:t>
      </w:r>
      <w:r>
        <w:rPr>
          <w:rFonts w:hint="default" w:ascii="Times New Roman" w:hAnsi="Times New Roman" w:eastAsia="宋体" w:cs="Times New Roman"/>
          <w:color w:val="auto"/>
          <w:spacing w:val="0"/>
          <w:w w:val="100"/>
          <w:position w:val="0"/>
          <w:sz w:val="24"/>
          <w:szCs w:val="24"/>
          <w:lang w:val="en-US" w:eastAsia="zh-CN"/>
        </w:rPr>
        <w:t>.00m，引桥宽度1.60m。引桥主体采用Q235B钢材制作，桥面采用4mm花钢板铺设。钢引桥两边设1.00m高栏杆，以保证人员通行安全。</w:t>
      </w:r>
    </w:p>
    <w:p w14:paraId="75544A31">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34" w:name="_Toc8788"/>
      <w:bookmarkStart w:id="435" w:name="_Toc10806"/>
      <w:r>
        <w:rPr>
          <w:rFonts w:hint="default" w:ascii="Times New Roman" w:hAnsi="Times New Roman" w:eastAsia="宋体" w:cs="Times New Roman"/>
          <w:color w:val="auto"/>
          <w:sz w:val="28"/>
          <w:szCs w:val="28"/>
          <w:lang w:val="en-US" w:eastAsia="zh-CN"/>
        </w:rPr>
        <w:t>3.5 公用工程</w:t>
      </w:r>
      <w:bookmarkEnd w:id="434"/>
      <w:bookmarkEnd w:id="435"/>
    </w:p>
    <w:p w14:paraId="38E8F294">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36" w:name="_Toc63"/>
      <w:r>
        <w:rPr>
          <w:rFonts w:hint="default" w:ascii="Times New Roman" w:hAnsi="Times New Roman" w:eastAsia="宋体" w:cs="Times New Roman"/>
          <w:b/>
          <w:bCs w:val="0"/>
          <w:color w:val="auto"/>
          <w:sz w:val="24"/>
          <w:szCs w:val="24"/>
          <w:lang w:val="en-US" w:eastAsia="zh-CN"/>
        </w:rPr>
        <w:t>3.5.1 供水</w:t>
      </w:r>
      <w:bookmarkEnd w:id="436"/>
    </w:p>
    <w:p w14:paraId="0861A5AB">
      <w:pPr>
        <w:keepNext w:val="0"/>
        <w:keepLines w:val="0"/>
        <w:pageBreakBefore w:val="0"/>
        <w:kinsoku/>
        <w:wordWrap/>
        <w:overflowPunct/>
        <w:topLinePunct w:val="0"/>
        <w:autoSpaceDE w:val="0"/>
        <w:autoSpaceDN w:val="0"/>
        <w:bidi w:val="0"/>
        <w:adjustRightInd w:val="0"/>
        <w:snapToGrid/>
        <w:spacing w:line="360" w:lineRule="auto"/>
        <w:ind w:left="0" w:leftChars="0" w:firstLine="42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给水水源</w:t>
      </w:r>
    </w:p>
    <w:p w14:paraId="48482961">
      <w:pPr>
        <w:keepNext w:val="0"/>
        <w:keepLines w:val="0"/>
        <w:pageBreakBefore w:val="0"/>
        <w:kinsoku/>
        <w:wordWrap/>
        <w:overflowPunct/>
        <w:topLinePunct w:val="0"/>
        <w:autoSpaceDE w:val="0"/>
        <w:autoSpaceDN w:val="0"/>
        <w:bidi w:val="0"/>
        <w:adjustRightInd w:val="0"/>
        <w:snapToGrid/>
        <w:spacing w:line="360" w:lineRule="auto"/>
        <w:ind w:left="0" w:leftChars="0" w:firstLine="420" w:firstLineChars="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工程生活用水水源为城市自来水，从主路引入一根DN100给水干管，消防与生活用水合用，市政给水管供水压力为0.25MPa。供水压力可保证最不利供水点的供水压力大于0.15MPa。码头设置总水表，方便后期码头区域管理，其他陆域地块根据后期使用区域划分安装水表。</w:t>
      </w:r>
    </w:p>
    <w:p w14:paraId="7E8C39F5">
      <w:pPr>
        <w:keepNext w:val="0"/>
        <w:keepLines w:val="0"/>
        <w:pageBreakBefore w:val="0"/>
        <w:kinsoku/>
        <w:wordWrap/>
        <w:overflowPunct/>
        <w:topLinePunct w:val="0"/>
        <w:autoSpaceDE w:val="0"/>
        <w:autoSpaceDN w:val="0"/>
        <w:bidi w:val="0"/>
        <w:adjustRightInd w:val="0"/>
        <w:snapToGrid/>
        <w:spacing w:line="360" w:lineRule="auto"/>
        <w:ind w:left="17" w:leftChars="7" w:firstLine="415" w:firstLineChars="173"/>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给水管材及安装</w:t>
      </w:r>
    </w:p>
    <w:p w14:paraId="265F71E3">
      <w:pPr>
        <w:keepNext w:val="0"/>
        <w:keepLines w:val="0"/>
        <w:pageBreakBefore w:val="0"/>
        <w:kinsoku/>
        <w:wordWrap/>
        <w:overflowPunct/>
        <w:topLinePunct w:val="0"/>
        <w:autoSpaceDE w:val="0"/>
        <w:autoSpaceDN w:val="0"/>
        <w:bidi w:val="0"/>
        <w:adjustRightInd w:val="0"/>
        <w:snapToGrid/>
        <w:spacing w:line="360" w:lineRule="auto"/>
        <w:ind w:left="17" w:leftChars="7" w:firstLine="415" w:firstLineChars="173"/>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室外给水管采用内外涂塑钢管。管内壁涂塑材质应符合《生活饮用水输配水设备及防护材料的安全性评价标准》的要求。管道沿道路下敷设，覆土深度不小于1m，管道穿市政路采取钢套管保护措施。管道、管件及阀门的工作压力为1.0MPa。水表井和阀门井均采用混凝土井。井盖采用球墨铸铁井盖和盖座，位于行车道上者为重型；位于非行车道上者为轻型。</w:t>
      </w:r>
    </w:p>
    <w:p w14:paraId="59251D3B">
      <w:pPr>
        <w:keepNext w:val="0"/>
        <w:keepLines w:val="0"/>
        <w:pageBreakBefore w:val="0"/>
        <w:kinsoku/>
        <w:wordWrap/>
        <w:overflowPunct/>
        <w:topLinePunct w:val="0"/>
        <w:autoSpaceDE w:val="0"/>
        <w:autoSpaceDN w:val="0"/>
        <w:bidi w:val="0"/>
        <w:adjustRightInd w:val="0"/>
        <w:snapToGrid/>
        <w:spacing w:line="360" w:lineRule="auto"/>
        <w:ind w:left="17" w:leftChars="7" w:firstLine="415" w:firstLineChars="173"/>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排水工程</w:t>
      </w:r>
    </w:p>
    <w:p w14:paraId="0C865604">
      <w:pPr>
        <w:keepNext w:val="0"/>
        <w:keepLines w:val="0"/>
        <w:pageBreakBefore w:val="0"/>
        <w:kinsoku/>
        <w:wordWrap/>
        <w:overflowPunct/>
        <w:topLinePunct w:val="0"/>
        <w:autoSpaceDE w:val="0"/>
        <w:autoSpaceDN w:val="0"/>
        <w:bidi w:val="0"/>
        <w:adjustRightInd w:val="0"/>
        <w:snapToGrid/>
        <w:spacing w:line="360" w:lineRule="auto"/>
        <w:ind w:left="17" w:leftChars="7" w:firstLine="415" w:firstLineChars="173"/>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color w:val="auto"/>
          <w:kern w:val="0"/>
          <w:sz w:val="24"/>
          <w:szCs w:val="24"/>
        </w:rPr>
        <w:t>本工程港区排水体制采用分流制，即生活、生产污水和雨水分别设置排水系统。港区及道路雨水自然排放，不设雨水收集系统。趸船产生的生活污水在船上积水池暂存，定期通过水泵抽提排出外运。</w:t>
      </w:r>
    </w:p>
    <w:p w14:paraId="41014009">
      <w:pPr>
        <w:pageBreakBefore w:val="0"/>
        <w:widowControl/>
        <w:kinsoku/>
        <w:wordWrap/>
        <w:overflowPunct/>
        <w:topLinePunct w:val="0"/>
        <w:autoSpaceDE/>
        <w:autoSpaceDN/>
        <w:bidi w:val="0"/>
        <w:adjustRightInd/>
        <w:snapToGrid/>
        <w:spacing w:line="360" w:lineRule="auto"/>
        <w:ind w:left="0" w:leftChars="0" w:firstLine="420" w:firstLineChars="0"/>
        <w:textAlignment w:val="auto"/>
        <w:outlineLvl w:val="2"/>
        <w:rPr>
          <w:rFonts w:hint="default" w:ascii="Times New Roman" w:hAnsi="Times New Roman" w:eastAsia="宋体" w:cs="Times New Roman"/>
          <w:b/>
          <w:bCs w:val="0"/>
          <w:color w:val="auto"/>
          <w:sz w:val="24"/>
          <w:szCs w:val="24"/>
          <w:lang w:val="en-US" w:eastAsia="zh-CN"/>
        </w:rPr>
      </w:pPr>
      <w:bookmarkStart w:id="437" w:name="_Toc28599"/>
      <w:r>
        <w:rPr>
          <w:rFonts w:hint="default" w:ascii="Times New Roman" w:hAnsi="Times New Roman" w:eastAsia="宋体" w:cs="Times New Roman"/>
          <w:b/>
          <w:bCs w:val="0"/>
          <w:color w:val="auto"/>
          <w:sz w:val="24"/>
          <w:szCs w:val="24"/>
          <w:lang w:val="en-US" w:eastAsia="zh-CN"/>
        </w:rPr>
        <w:t>3.5.2 供电</w:t>
      </w:r>
      <w:bookmarkEnd w:id="437"/>
    </w:p>
    <w:p w14:paraId="3E3958C0">
      <w:pPr>
        <w:keepNext w:val="0"/>
        <w:keepLines w:val="0"/>
        <w:pageBreakBefore w:val="0"/>
        <w:tabs>
          <w:tab w:val="left" w:pos="0"/>
        </w:tabs>
        <w:kinsoku/>
        <w:wordWrap/>
        <w:overflowPunct/>
        <w:topLinePunct w:val="0"/>
        <w:autoSpaceDE w:val="0"/>
        <w:autoSpaceDN w:val="0"/>
        <w:bidi w:val="0"/>
        <w:adjustRightInd w:val="0"/>
        <w:snapToGrid/>
        <w:spacing w:line="360" w:lineRule="auto"/>
        <w:ind w:left="0" w:leftChars="0" w:firstLine="412" w:firstLineChars="171"/>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供电电源</w:t>
      </w:r>
    </w:p>
    <w:p w14:paraId="584114EA">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outlineLvl w:val="9"/>
        <w:rPr>
          <w:rFonts w:hint="default" w:ascii="Times New Roman" w:hAnsi="Times New Roman" w:eastAsia="宋体" w:cs="Times New Roman"/>
          <w:color w:val="auto"/>
          <w:kern w:val="0"/>
          <w:sz w:val="24"/>
          <w:szCs w:val="24"/>
          <w:lang w:val="zh-CN"/>
        </w:rPr>
      </w:pPr>
      <w:bookmarkStart w:id="438" w:name="_Toc17214"/>
      <w:r>
        <w:rPr>
          <w:rFonts w:hint="default" w:ascii="Times New Roman" w:hAnsi="Times New Roman" w:eastAsia="宋体" w:cs="Times New Roman"/>
          <w:color w:val="auto"/>
          <w:kern w:val="0"/>
          <w:sz w:val="24"/>
          <w:szCs w:val="24"/>
          <w:lang w:val="zh-CN"/>
        </w:rPr>
        <w:t>1.</w:t>
      </w:r>
      <w:r>
        <w:rPr>
          <w:rFonts w:hint="default" w:ascii="Times New Roman" w:hAnsi="Times New Roman" w:eastAsia="宋体" w:cs="Times New Roman"/>
          <w:color w:val="auto"/>
          <w:kern w:val="0"/>
          <w:sz w:val="24"/>
          <w:szCs w:val="24"/>
          <w:lang w:val="zh-CN" w:eastAsia="zh-TW"/>
        </w:rPr>
        <w:t>负荷等级：</w:t>
      </w:r>
      <w:bookmarkEnd w:id="438"/>
    </w:p>
    <w:p w14:paraId="4AE2517A">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rPr>
          <w:rFonts w:hint="default" w:ascii="Times New Roman" w:hAnsi="Times New Roman" w:eastAsia="宋体" w:cs="Times New Roman"/>
          <w:color w:val="auto"/>
          <w:kern w:val="0"/>
          <w:sz w:val="24"/>
          <w:szCs w:val="24"/>
          <w:lang w:val="zh-CN"/>
        </w:rPr>
      </w:pPr>
      <w:r>
        <w:rPr>
          <w:rFonts w:hint="default" w:ascii="Times New Roman" w:hAnsi="Times New Roman" w:eastAsia="宋体" w:cs="Times New Roman"/>
          <w:color w:val="auto"/>
          <w:kern w:val="0"/>
          <w:sz w:val="24"/>
          <w:szCs w:val="24"/>
          <w:lang w:val="zh-CN" w:eastAsia="zh-TW"/>
        </w:rPr>
        <w:t>本项目</w:t>
      </w:r>
      <w:r>
        <w:rPr>
          <w:rFonts w:hint="default" w:ascii="Times New Roman" w:hAnsi="Times New Roman" w:eastAsia="宋体" w:cs="Times New Roman"/>
          <w:color w:val="auto"/>
          <w:kern w:val="0"/>
          <w:sz w:val="24"/>
          <w:szCs w:val="24"/>
          <w:lang w:val="zh-CN"/>
        </w:rPr>
        <w:t>钢趸船负荷等级</w:t>
      </w:r>
      <w:r>
        <w:rPr>
          <w:rFonts w:hint="default" w:ascii="Times New Roman" w:hAnsi="Times New Roman" w:eastAsia="宋体" w:cs="Times New Roman"/>
          <w:color w:val="auto"/>
          <w:kern w:val="0"/>
          <w:sz w:val="24"/>
          <w:szCs w:val="24"/>
          <w:lang w:val="zh-CN" w:eastAsia="zh-TW"/>
        </w:rPr>
        <w:t>为三级，正常电源引自岸上</w:t>
      </w:r>
      <w:r>
        <w:rPr>
          <w:rFonts w:hint="default" w:ascii="Times New Roman" w:hAnsi="Times New Roman" w:eastAsia="宋体" w:cs="Times New Roman"/>
          <w:color w:val="auto"/>
          <w:kern w:val="0"/>
          <w:sz w:val="24"/>
          <w:szCs w:val="24"/>
        </w:rPr>
        <w:t>已建变配电室</w:t>
      </w:r>
      <w:r>
        <w:rPr>
          <w:rFonts w:hint="default" w:ascii="Times New Roman" w:hAnsi="Times New Roman" w:eastAsia="宋体" w:cs="Times New Roman"/>
          <w:color w:val="auto"/>
          <w:kern w:val="0"/>
          <w:sz w:val="24"/>
          <w:szCs w:val="24"/>
          <w:lang w:val="zh-CN"/>
        </w:rPr>
        <w:t>。</w:t>
      </w:r>
    </w:p>
    <w:p w14:paraId="0CC1F345">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outlineLvl w:val="9"/>
        <w:rPr>
          <w:rFonts w:hint="default" w:ascii="Times New Roman" w:hAnsi="Times New Roman" w:eastAsia="宋体" w:cs="Times New Roman"/>
          <w:color w:val="auto"/>
          <w:kern w:val="0"/>
          <w:sz w:val="24"/>
          <w:szCs w:val="24"/>
          <w:lang w:val="zh-CN"/>
        </w:rPr>
      </w:pPr>
      <w:bookmarkStart w:id="439" w:name="_Toc3810"/>
      <w:r>
        <w:rPr>
          <w:rFonts w:hint="default" w:ascii="Times New Roman" w:hAnsi="Times New Roman" w:eastAsia="宋体" w:cs="Times New Roman"/>
          <w:color w:val="auto"/>
          <w:kern w:val="0"/>
          <w:sz w:val="24"/>
          <w:szCs w:val="24"/>
          <w:lang w:val="zh-CN"/>
        </w:rPr>
        <w:t>2.</w:t>
      </w:r>
      <w:r>
        <w:rPr>
          <w:rFonts w:hint="default" w:ascii="Times New Roman" w:hAnsi="Times New Roman" w:eastAsia="宋体" w:cs="Times New Roman"/>
          <w:color w:val="auto"/>
          <w:kern w:val="0"/>
          <w:sz w:val="24"/>
          <w:szCs w:val="24"/>
          <w:lang w:val="zh-CN" w:eastAsia="zh-TW"/>
        </w:rPr>
        <w:t>供电电源及电压：</w:t>
      </w:r>
      <w:bookmarkEnd w:id="439"/>
    </w:p>
    <w:p w14:paraId="55C1DB21">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rPr>
          <w:rFonts w:hint="default" w:ascii="Times New Roman" w:hAnsi="Times New Roman" w:eastAsia="宋体" w:cs="Times New Roman"/>
          <w:color w:val="auto"/>
          <w:kern w:val="0"/>
          <w:sz w:val="24"/>
          <w:szCs w:val="24"/>
          <w:lang w:val="zh-CN" w:eastAsia="zh-TW"/>
        </w:rPr>
      </w:pPr>
      <w:r>
        <w:rPr>
          <w:rFonts w:hint="default" w:ascii="Times New Roman" w:hAnsi="Times New Roman" w:eastAsia="宋体" w:cs="Times New Roman"/>
          <w:color w:val="auto"/>
          <w:kern w:val="0"/>
          <w:sz w:val="24"/>
          <w:szCs w:val="24"/>
          <w:lang w:val="zh-CN" w:eastAsia="zh-TW"/>
        </w:rPr>
        <w:t>本项目趸船总用电装机</w:t>
      </w:r>
      <w:r>
        <w:rPr>
          <w:rFonts w:hint="default" w:ascii="Times New Roman" w:hAnsi="Times New Roman" w:eastAsia="宋体" w:cs="Times New Roman"/>
          <w:color w:val="auto"/>
          <w:kern w:val="0"/>
          <w:sz w:val="24"/>
          <w:szCs w:val="24"/>
          <w:lang w:val="zh-CN"/>
        </w:rPr>
        <w:t>功率</w:t>
      </w:r>
      <w:r>
        <w:rPr>
          <w:rFonts w:hint="default" w:ascii="Times New Roman" w:hAnsi="Times New Roman" w:eastAsia="宋体" w:cs="Times New Roman"/>
          <w:color w:val="auto"/>
          <w:kern w:val="0"/>
          <w:sz w:val="24"/>
          <w:szCs w:val="24"/>
          <w:lang w:val="zh-CN" w:eastAsia="zh-TW"/>
        </w:rPr>
        <w:t>约为</w:t>
      </w:r>
      <w:r>
        <w:rPr>
          <w:rFonts w:hint="default" w:ascii="Times New Roman" w:hAnsi="Times New Roman" w:eastAsia="宋体" w:cs="Times New Roman"/>
          <w:color w:val="auto"/>
          <w:kern w:val="0"/>
          <w:sz w:val="24"/>
          <w:szCs w:val="24"/>
        </w:rPr>
        <w:t>160</w:t>
      </w:r>
      <w:r>
        <w:rPr>
          <w:rFonts w:hint="default" w:ascii="Times New Roman" w:hAnsi="Times New Roman" w:eastAsia="宋体" w:cs="Times New Roman"/>
          <w:color w:val="auto"/>
          <w:kern w:val="0"/>
          <w:sz w:val="24"/>
          <w:szCs w:val="24"/>
          <w:lang w:val="zh-CN" w:eastAsia="zh-TW"/>
        </w:rPr>
        <w:t>kW，计算</w:t>
      </w:r>
      <w:r>
        <w:rPr>
          <w:rFonts w:hint="default" w:ascii="Times New Roman" w:hAnsi="Times New Roman" w:eastAsia="宋体" w:cs="Times New Roman"/>
          <w:color w:val="auto"/>
          <w:kern w:val="0"/>
          <w:sz w:val="24"/>
          <w:szCs w:val="24"/>
          <w:lang w:val="zh-CN"/>
        </w:rPr>
        <w:t>功率</w:t>
      </w:r>
      <w:r>
        <w:rPr>
          <w:rFonts w:hint="default" w:ascii="Times New Roman" w:hAnsi="Times New Roman" w:eastAsia="宋体" w:cs="Times New Roman"/>
          <w:color w:val="auto"/>
          <w:kern w:val="0"/>
          <w:sz w:val="24"/>
          <w:szCs w:val="24"/>
        </w:rPr>
        <w:t>约为100</w:t>
      </w:r>
      <w:r>
        <w:rPr>
          <w:rFonts w:hint="default" w:ascii="Times New Roman" w:hAnsi="Times New Roman" w:eastAsia="宋体" w:cs="Times New Roman"/>
          <w:color w:val="auto"/>
          <w:kern w:val="0"/>
          <w:sz w:val="24"/>
          <w:szCs w:val="24"/>
          <w:lang w:val="zh-CN" w:eastAsia="zh-TW"/>
        </w:rPr>
        <w:t>kW，设置一台岸电箱供电，电源引自岸上</w:t>
      </w:r>
      <w:r>
        <w:rPr>
          <w:rFonts w:hint="default" w:ascii="Times New Roman" w:hAnsi="Times New Roman" w:eastAsia="宋体" w:cs="Times New Roman"/>
          <w:color w:val="auto"/>
          <w:kern w:val="0"/>
          <w:sz w:val="24"/>
          <w:szCs w:val="24"/>
        </w:rPr>
        <w:t>已建变配电室</w:t>
      </w:r>
      <w:r>
        <w:rPr>
          <w:rFonts w:hint="default" w:ascii="Times New Roman" w:hAnsi="Times New Roman" w:eastAsia="宋体" w:cs="Times New Roman"/>
          <w:color w:val="auto"/>
          <w:kern w:val="0"/>
          <w:sz w:val="24"/>
          <w:szCs w:val="24"/>
          <w:lang w:val="zh-CN" w:eastAsia="zh-TW"/>
        </w:rPr>
        <w:t>。</w:t>
      </w:r>
      <w:r>
        <w:rPr>
          <w:rFonts w:hint="default" w:ascii="Times New Roman" w:hAnsi="Times New Roman" w:eastAsia="宋体" w:cs="Times New Roman"/>
          <w:color w:val="auto"/>
          <w:kern w:val="0"/>
          <w:sz w:val="24"/>
          <w:szCs w:val="24"/>
          <w:lang w:val="zh-CN"/>
        </w:rPr>
        <w:t>低压：380/220V</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zh-CN"/>
        </w:rPr>
        <w:t>50Hz。</w:t>
      </w:r>
    </w:p>
    <w:p w14:paraId="31FFEC76">
      <w:pPr>
        <w:keepNext w:val="0"/>
        <w:keepLines w:val="0"/>
        <w:pageBreakBefore w:val="0"/>
        <w:tabs>
          <w:tab w:val="left" w:pos="0"/>
        </w:tabs>
        <w:kinsoku/>
        <w:wordWrap/>
        <w:overflowPunct/>
        <w:topLinePunct w:val="0"/>
        <w:autoSpaceDE w:val="0"/>
        <w:autoSpaceDN w:val="0"/>
        <w:bidi w:val="0"/>
        <w:adjustRightInd w:val="0"/>
        <w:snapToGrid/>
        <w:spacing w:line="360" w:lineRule="auto"/>
        <w:ind w:left="0" w:leftChars="0" w:firstLine="412" w:firstLineChars="171"/>
        <w:textAlignment w:val="auto"/>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val="zh-CN"/>
        </w:rPr>
        <w:t>）电缆敷设</w:t>
      </w:r>
    </w:p>
    <w:p w14:paraId="3C0AB1D0">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zh-CN"/>
        </w:rPr>
        <w:t>本项目变配电室出线选用STABILOY-ACWU90铝合金导体交联聚乙烯绝缘铝合金联锁铠装聚氯乙烯护套电缆直埋敷设至岸电箱，埋深大于</w:t>
      </w:r>
      <w:r>
        <w:rPr>
          <w:rFonts w:hint="default" w:ascii="Times New Roman" w:hAnsi="Times New Roman" w:eastAsia="宋体" w:cs="Times New Roman"/>
          <w:color w:val="auto"/>
          <w:kern w:val="0"/>
          <w:sz w:val="24"/>
          <w:szCs w:val="24"/>
        </w:rPr>
        <w:t>0.7m</w:t>
      </w:r>
      <w:r>
        <w:rPr>
          <w:rFonts w:hint="default" w:ascii="Times New Roman" w:hAnsi="Times New Roman" w:eastAsia="宋体" w:cs="Times New Roman"/>
          <w:color w:val="auto"/>
          <w:kern w:val="0"/>
          <w:sz w:val="24"/>
          <w:szCs w:val="24"/>
          <w:lang w:val="zh-CN"/>
        </w:rPr>
        <w:t>。出岸电箱后选用</w:t>
      </w:r>
      <w:r>
        <w:rPr>
          <w:rFonts w:hint="default" w:ascii="Times New Roman" w:hAnsi="Times New Roman" w:eastAsia="宋体" w:cs="Times New Roman"/>
          <w:color w:val="auto"/>
          <w:kern w:val="0"/>
          <w:sz w:val="24"/>
          <w:szCs w:val="24"/>
        </w:rPr>
        <w:t>CEFR/DA乙丙绝缘氯丁护套船用电力软电缆</w:t>
      </w:r>
      <w:r>
        <w:rPr>
          <w:rFonts w:hint="default" w:ascii="Times New Roman" w:hAnsi="Times New Roman" w:eastAsia="宋体" w:cs="Times New Roman"/>
          <w:color w:val="auto"/>
          <w:kern w:val="0"/>
          <w:sz w:val="24"/>
          <w:szCs w:val="24"/>
          <w:lang w:val="zh-CN"/>
        </w:rPr>
        <w:t>穿</w:t>
      </w:r>
      <w:r>
        <w:rPr>
          <w:rFonts w:hint="default" w:ascii="Times New Roman" w:hAnsi="Times New Roman" w:eastAsia="宋体" w:cs="Times New Roman"/>
          <w:color w:val="auto"/>
          <w:kern w:val="0"/>
          <w:sz w:val="24"/>
          <w:szCs w:val="24"/>
        </w:rPr>
        <w:t>RC钢管沿浮趸敷设至趸船上配电装置，电缆长度应有一定富裕并配备电缆绞车，保证水位变化时的供电安全。</w:t>
      </w:r>
    </w:p>
    <w:p w14:paraId="12573936">
      <w:pPr>
        <w:keepNext w:val="0"/>
        <w:keepLines w:val="0"/>
        <w:pageBreakBefore w:val="0"/>
        <w:tabs>
          <w:tab w:val="left" w:pos="0"/>
        </w:tabs>
        <w:kinsoku/>
        <w:wordWrap/>
        <w:overflowPunct/>
        <w:topLinePunct w:val="0"/>
        <w:autoSpaceDE w:val="0"/>
        <w:autoSpaceDN w:val="0"/>
        <w:bidi w:val="0"/>
        <w:adjustRightInd w:val="0"/>
        <w:snapToGrid/>
        <w:spacing w:line="360" w:lineRule="auto"/>
        <w:ind w:left="0" w:leftChars="0" w:firstLine="412" w:firstLineChars="171"/>
        <w:textAlignment w:val="auto"/>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val="zh-CN"/>
        </w:rPr>
        <w:t>）防雷接地：</w:t>
      </w:r>
    </w:p>
    <w:p w14:paraId="1747E29B">
      <w:pPr>
        <w:keepNext w:val="0"/>
        <w:keepLines w:val="0"/>
        <w:pageBreakBefore w:val="0"/>
        <w:kinsoku/>
        <w:wordWrap/>
        <w:overflowPunct/>
        <w:topLinePunct w:val="0"/>
        <w:autoSpaceDE w:val="0"/>
        <w:autoSpaceDN w:val="0"/>
        <w:bidi w:val="0"/>
        <w:adjustRightInd w:val="0"/>
        <w:snapToGrid/>
        <w:spacing w:line="360" w:lineRule="auto"/>
        <w:ind w:left="0" w:leftChars="0" w:firstLine="410" w:firstLineChars="171"/>
        <w:textAlignment w:val="auto"/>
        <w:rPr>
          <w:rFonts w:hint="default" w:ascii="Times New Roman" w:hAnsi="Times New Roman" w:eastAsia="宋体" w:cs="Times New Roman"/>
          <w:color w:val="auto"/>
          <w:kern w:val="0"/>
          <w:sz w:val="24"/>
          <w:szCs w:val="24"/>
          <w:lang w:val="zh-CN"/>
        </w:rPr>
      </w:pPr>
      <w:r>
        <w:rPr>
          <w:rFonts w:hint="default" w:ascii="Times New Roman" w:hAnsi="Times New Roman" w:eastAsia="宋体" w:cs="Times New Roman"/>
          <w:color w:val="auto"/>
          <w:kern w:val="0"/>
          <w:sz w:val="24"/>
          <w:szCs w:val="24"/>
          <w:lang w:val="zh-CN"/>
        </w:rPr>
        <w:t>1.本项目低压配电系统接地形式采用TN-C-S系统。岸电箱安装防雷浪涌保护装置，处理接地电阻不大于4欧姆。</w:t>
      </w:r>
    </w:p>
    <w:p w14:paraId="610E836C">
      <w:pPr>
        <w:keepNext w:val="0"/>
        <w:keepLines w:val="0"/>
        <w:pageBreakBefore w:val="0"/>
        <w:kinsoku/>
        <w:wordWrap/>
        <w:overflowPunct/>
        <w:topLinePunct w:val="0"/>
        <w:autoSpaceDE w:val="0"/>
        <w:autoSpaceDN w:val="0"/>
        <w:bidi w:val="0"/>
        <w:adjustRightInd w:val="0"/>
        <w:snapToGrid/>
        <w:spacing w:line="440" w:lineRule="exact"/>
        <w:ind w:left="0" w:leftChars="0" w:firstLine="410" w:firstLineChars="171"/>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zh-CN"/>
        </w:rPr>
        <w:t>2.中性线不准再与任何“地”作电气连接。凡正常情况下不带电的用电设备金属外壳均应与专用PE线可靠连接，PE线为黄/绿色标线。</w:t>
      </w:r>
    </w:p>
    <w:p w14:paraId="1551E75B">
      <w:pPr>
        <w:keepNext w:val="0"/>
        <w:keepLines w:val="0"/>
        <w:pageBreakBefore w:val="0"/>
        <w:tabs>
          <w:tab w:val="left" w:pos="0"/>
        </w:tabs>
        <w:kinsoku/>
        <w:wordWrap/>
        <w:overflowPunct/>
        <w:topLinePunct w:val="0"/>
        <w:autoSpaceDE w:val="0"/>
        <w:autoSpaceDN w:val="0"/>
        <w:bidi w:val="0"/>
        <w:adjustRightInd w:val="0"/>
        <w:snapToGrid/>
        <w:spacing w:line="440" w:lineRule="exact"/>
        <w:ind w:left="0" w:leftChars="0" w:firstLine="412" w:firstLineChars="171"/>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电气节能</w:t>
      </w:r>
    </w:p>
    <w:p w14:paraId="1E4047B9">
      <w:pPr>
        <w:keepNext w:val="0"/>
        <w:keepLines w:val="0"/>
        <w:pageBreakBefore w:val="0"/>
        <w:kinsoku/>
        <w:wordWrap/>
        <w:overflowPunct/>
        <w:topLinePunct w:val="0"/>
        <w:autoSpaceDE w:val="0"/>
        <w:autoSpaceDN w:val="0"/>
        <w:bidi w:val="0"/>
        <w:adjustRightInd w:val="0"/>
        <w:snapToGrid/>
        <w:spacing w:line="440" w:lineRule="exact"/>
        <w:ind w:left="0" w:leftChars="0" w:firstLine="410" w:firstLineChars="171"/>
        <w:textAlignment w:val="auto"/>
        <w:rPr>
          <w:rFonts w:hint="default" w:ascii="Times New Roman" w:hAnsi="Times New Roman" w:eastAsia="宋体" w:cs="Times New Roman"/>
          <w:color w:val="auto"/>
          <w:kern w:val="0"/>
          <w:sz w:val="24"/>
          <w:szCs w:val="24"/>
          <w:lang w:val="zh-CN" w:eastAsia="zh-TW"/>
        </w:rPr>
      </w:pPr>
      <w:r>
        <w:rPr>
          <w:rFonts w:hint="default" w:ascii="Times New Roman" w:hAnsi="Times New Roman" w:eastAsia="宋体" w:cs="Times New Roman"/>
          <w:color w:val="auto"/>
          <w:kern w:val="0"/>
          <w:sz w:val="24"/>
          <w:szCs w:val="24"/>
        </w:rPr>
        <w:t>1</w:t>
      </w:r>
      <w:r>
        <w:rPr>
          <w:rFonts w:hint="default" w:ascii="Times New Roman" w:hAnsi="Times New Roman" w:eastAsia="宋体" w:cs="Times New Roman"/>
          <w:color w:val="auto"/>
          <w:kern w:val="0"/>
          <w:sz w:val="24"/>
          <w:szCs w:val="24"/>
          <w:lang w:val="zh-CN" w:eastAsia="zh-TW"/>
        </w:rPr>
        <w:t>.采用三相供电以减少电压损失，设计中已并尽量使三相负荷平衡。</w:t>
      </w:r>
    </w:p>
    <w:p w14:paraId="6EE04EC8">
      <w:pPr>
        <w:keepNext w:val="0"/>
        <w:keepLines w:val="0"/>
        <w:pageBreakBefore w:val="0"/>
        <w:kinsoku/>
        <w:wordWrap/>
        <w:overflowPunct/>
        <w:topLinePunct w:val="0"/>
        <w:autoSpaceDE w:val="0"/>
        <w:autoSpaceDN w:val="0"/>
        <w:bidi w:val="0"/>
        <w:adjustRightInd w:val="0"/>
        <w:snapToGrid/>
        <w:spacing w:line="440" w:lineRule="exact"/>
        <w:ind w:left="0" w:leftChars="0" w:firstLine="410" w:firstLineChars="171"/>
        <w:textAlignment w:val="auto"/>
        <w:rPr>
          <w:rFonts w:hint="default" w:ascii="Times New Roman" w:hAnsi="Times New Roman" w:eastAsia="宋体" w:cs="Times New Roman"/>
          <w:color w:val="auto"/>
          <w:kern w:val="0"/>
          <w:sz w:val="24"/>
          <w:szCs w:val="24"/>
          <w:lang w:val="zh-CN" w:eastAsia="zh-TW"/>
        </w:rPr>
      </w:pPr>
      <w:r>
        <w:rPr>
          <w:rFonts w:hint="default" w:ascii="Times New Roman" w:hAnsi="Times New Roman" w:eastAsia="宋体" w:cs="Times New Roman"/>
          <w:color w:val="auto"/>
          <w:kern w:val="0"/>
          <w:sz w:val="24"/>
          <w:szCs w:val="24"/>
        </w:rPr>
        <w:t>2</w:t>
      </w:r>
      <w:r>
        <w:rPr>
          <w:rFonts w:hint="default" w:ascii="Times New Roman" w:hAnsi="Times New Roman" w:eastAsia="宋体" w:cs="Times New Roman"/>
          <w:color w:val="auto"/>
          <w:kern w:val="0"/>
          <w:sz w:val="24"/>
          <w:szCs w:val="24"/>
          <w:lang w:val="zh-CN" w:eastAsia="zh-TW"/>
        </w:rPr>
        <w:t>.配电设备尽量设置在负荷中心，缩短了配电线路，以节省材料，减少电能损耗。低压电缆供电半径不大于</w:t>
      </w:r>
      <w:r>
        <w:rPr>
          <w:rFonts w:hint="default" w:ascii="Times New Roman" w:hAnsi="Times New Roman" w:eastAsia="宋体" w:cs="Times New Roman"/>
          <w:color w:val="auto"/>
          <w:kern w:val="0"/>
          <w:sz w:val="24"/>
          <w:szCs w:val="24"/>
        </w:rPr>
        <w:t>300</w:t>
      </w:r>
      <w:r>
        <w:rPr>
          <w:rFonts w:hint="default" w:ascii="Times New Roman" w:hAnsi="Times New Roman" w:eastAsia="宋体" w:cs="Times New Roman"/>
          <w:color w:val="auto"/>
          <w:kern w:val="0"/>
          <w:sz w:val="24"/>
          <w:szCs w:val="24"/>
          <w:lang w:val="zh-CN" w:eastAsia="zh-TW"/>
        </w:rPr>
        <w:t>m。</w:t>
      </w:r>
    </w:p>
    <w:p w14:paraId="712A1B96">
      <w:pPr>
        <w:keepNext w:val="0"/>
        <w:keepLines w:val="0"/>
        <w:pageBreakBefore w:val="0"/>
        <w:widowControl/>
        <w:kinsoku/>
        <w:wordWrap/>
        <w:overflowPunct/>
        <w:topLinePunct w:val="0"/>
        <w:autoSpaceDE/>
        <w:autoSpaceDN/>
        <w:bidi w:val="0"/>
        <w:adjustRightInd/>
        <w:snapToGrid/>
        <w:spacing w:line="440" w:lineRule="exact"/>
        <w:ind w:left="0" w:leftChars="0" w:firstLine="410" w:firstLineChars="171"/>
        <w:textAlignment w:val="auto"/>
        <w:outlineLvl w:val="9"/>
        <w:rPr>
          <w:rFonts w:hint="default" w:ascii="Times New Roman" w:hAnsi="Times New Roman" w:eastAsia="宋体" w:cs="Times New Roman"/>
          <w:color w:val="auto"/>
          <w:kern w:val="0"/>
          <w:sz w:val="24"/>
          <w:szCs w:val="24"/>
          <w:lang w:val="zh-CN" w:eastAsia="zh-TW"/>
        </w:rPr>
      </w:pP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zh-CN" w:eastAsia="zh-TW"/>
        </w:rPr>
        <w:t>.适当选取配电电缆、导线的截面，考虑电缆、导线初投资和长期运行的节能效果，尽量减少线路上的能量损耗。</w:t>
      </w:r>
    </w:p>
    <w:p w14:paraId="3655A72C">
      <w:pPr>
        <w:keepNext w:val="0"/>
        <w:keepLines w:val="0"/>
        <w:pageBreakBefore w:val="0"/>
        <w:kinsoku/>
        <w:wordWrap/>
        <w:overflowPunct/>
        <w:topLinePunct w:val="0"/>
        <w:autoSpaceDE w:val="0"/>
        <w:autoSpaceDN w:val="0"/>
        <w:bidi w:val="0"/>
        <w:adjustRightInd w:val="0"/>
        <w:snapToGrid/>
        <w:spacing w:line="440" w:lineRule="exact"/>
        <w:ind w:left="0" w:leftChars="0"/>
        <w:textAlignment w:val="auto"/>
        <w:outlineLvl w:val="2"/>
        <w:rPr>
          <w:rFonts w:hint="default" w:ascii="Times New Roman" w:hAnsi="Times New Roman" w:eastAsia="宋体" w:cs="Times New Roman"/>
          <w:b/>
          <w:bCs/>
          <w:color w:val="auto"/>
          <w:kern w:val="0"/>
          <w:sz w:val="24"/>
          <w:szCs w:val="24"/>
        </w:rPr>
      </w:pPr>
      <w:bookmarkStart w:id="440" w:name="_Toc16006"/>
      <w:r>
        <w:rPr>
          <w:rFonts w:hint="default" w:ascii="Times New Roman" w:hAnsi="Times New Roman" w:eastAsia="宋体" w:cs="Times New Roman"/>
          <w:b/>
          <w:bCs w:val="0"/>
          <w:color w:val="auto"/>
          <w:sz w:val="24"/>
          <w:szCs w:val="24"/>
          <w:lang w:val="en-US" w:eastAsia="zh-CN"/>
        </w:rPr>
        <w:t xml:space="preserve">3.5.3 </w:t>
      </w:r>
      <w:r>
        <w:rPr>
          <w:rFonts w:hint="default" w:ascii="Times New Roman" w:hAnsi="Times New Roman" w:eastAsia="宋体" w:cs="Times New Roman"/>
          <w:b/>
          <w:bCs/>
          <w:color w:val="auto"/>
          <w:sz w:val="24"/>
          <w:szCs w:val="24"/>
        </w:rPr>
        <w:t>消防</w:t>
      </w:r>
      <w:bookmarkEnd w:id="440"/>
    </w:p>
    <w:p w14:paraId="02C2FF7E">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（1）总平面布置及工艺简述</w:t>
      </w:r>
    </w:p>
    <w:p w14:paraId="3708CB1D">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本期工程主要建设趸船及码头生产道路。码头正常情况下无货物堆放。</w:t>
      </w:r>
    </w:p>
    <w:p w14:paraId="2941A240">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室外消防水源采用城市自来水。项目点供水压力（进港路）≥0.15MPa。室外消防采用低压制给水系统，由市政管网直接供水。发生火灾时，由城市消防车从现场室外消火栓取水经加压进行灭火或经消防水泵接合器供室内消防灭火用水。</w:t>
      </w:r>
    </w:p>
    <w:p w14:paraId="1AF62C10">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（3）消防用水量，室外消火栓用水量15L/s，火灾延续时间2小时，同时火灾次数1次，一次消防用水量108立方。无室内消防。</w:t>
      </w:r>
    </w:p>
    <w:p w14:paraId="3CB2E929">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（4）室外采用生活用水与消防用水合用管道系统。沿码头及道路布置消火栓，距道路边不大于2.0m。码头消防采用地上式消火栓，消火栓配有消防水带。</w:t>
      </w:r>
    </w:p>
    <w:p w14:paraId="0157F30A">
      <w:pPr>
        <w:keepNext w:val="0"/>
        <w:keepLines w:val="0"/>
        <w:pageBreakBefore w:val="0"/>
        <w:kinsoku/>
        <w:wordWrap/>
        <w:overflowPunct/>
        <w:topLinePunct w:val="0"/>
        <w:autoSpaceDE w:val="0"/>
        <w:autoSpaceDN w:val="0"/>
        <w:bidi w:val="0"/>
        <w:adjustRightInd w:val="0"/>
        <w:snapToGrid/>
        <w:spacing w:line="440" w:lineRule="exact"/>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（5）移动式灭火装置。趸船按中危险级设手提式磷酸铵盐干粉式灭火器，具体设计见趸船设计资料。</w:t>
      </w:r>
    </w:p>
    <w:p w14:paraId="7FC60682">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outlineLvl w:val="2"/>
        <w:rPr>
          <w:rFonts w:hint="default" w:ascii="Times New Roman" w:hAnsi="Times New Roman" w:eastAsia="宋体" w:cs="Times New Roman"/>
          <w:b/>
          <w:bCs/>
          <w:color w:val="auto"/>
          <w:kern w:val="0"/>
          <w:sz w:val="24"/>
          <w:szCs w:val="24"/>
        </w:rPr>
      </w:pPr>
      <w:bookmarkStart w:id="441" w:name="_Toc25770"/>
      <w:r>
        <w:rPr>
          <w:rFonts w:hint="default" w:ascii="Times New Roman" w:hAnsi="Times New Roman" w:eastAsia="宋体" w:cs="Times New Roman"/>
          <w:b/>
          <w:bCs w:val="0"/>
          <w:color w:val="auto"/>
          <w:sz w:val="24"/>
          <w:szCs w:val="24"/>
          <w:lang w:val="en-US" w:eastAsia="zh-CN"/>
        </w:rPr>
        <w:t xml:space="preserve">3.5.4 </w:t>
      </w:r>
      <w:r>
        <w:rPr>
          <w:rFonts w:hint="default" w:ascii="Times New Roman" w:hAnsi="Times New Roman" w:eastAsia="宋体" w:cs="Times New Roman"/>
          <w:b/>
          <w:bCs/>
          <w:color w:val="auto"/>
          <w:kern w:val="0"/>
          <w:sz w:val="24"/>
          <w:szCs w:val="24"/>
        </w:rPr>
        <w:t>卫生防疫措施</w:t>
      </w:r>
      <w:bookmarkEnd w:id="441"/>
    </w:p>
    <w:p w14:paraId="32E41DA1">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本工程总水表之后设管道倒流防止器，防止红线内给水管网之水倒流污染城市给水。公共卫生间内的蹲式大便器采用脚踏开关冲洗阀，防止人手接触产生交叉感染疾病。室内所用排水地漏的水封高度不小于50mm。</w:t>
      </w:r>
    </w:p>
    <w:p w14:paraId="33258356">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42" w:name="_Toc15351"/>
      <w:bookmarkStart w:id="443" w:name="_Toc9631"/>
      <w:bookmarkStart w:id="444" w:name="_Toc175"/>
      <w:bookmarkStart w:id="445" w:name="_Toc15201"/>
      <w:r>
        <w:rPr>
          <w:rFonts w:hint="default" w:ascii="Times New Roman" w:hAnsi="Times New Roman" w:eastAsia="宋体" w:cs="Times New Roman"/>
          <w:color w:val="auto"/>
          <w:sz w:val="28"/>
          <w:szCs w:val="28"/>
          <w:lang w:val="en-US" w:eastAsia="zh-CN"/>
        </w:rPr>
        <w:t>3.6施工</w:t>
      </w:r>
      <w:r>
        <w:rPr>
          <w:rFonts w:hint="eastAsia" w:cs="Times New Roman"/>
          <w:color w:val="auto"/>
          <w:sz w:val="28"/>
          <w:szCs w:val="28"/>
          <w:lang w:val="en-US" w:eastAsia="zh-CN"/>
        </w:rPr>
        <w:t>组织方案</w:t>
      </w:r>
      <w:r>
        <w:rPr>
          <w:rFonts w:hint="default" w:ascii="Times New Roman" w:hAnsi="Times New Roman" w:eastAsia="宋体" w:cs="Times New Roman"/>
          <w:color w:val="auto"/>
          <w:sz w:val="28"/>
          <w:szCs w:val="28"/>
          <w:lang w:val="en-US" w:eastAsia="zh-CN"/>
        </w:rPr>
        <w:t>方法及施工流程</w:t>
      </w:r>
      <w:bookmarkEnd w:id="442"/>
      <w:bookmarkEnd w:id="443"/>
      <w:bookmarkEnd w:id="444"/>
      <w:bookmarkEnd w:id="445"/>
    </w:p>
    <w:p w14:paraId="00A7A84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kern w:val="2"/>
          <w:sz w:val="24"/>
          <w:szCs w:val="24"/>
          <w:lang w:val="en-US" w:eastAsia="zh-CN" w:bidi="ar-SA"/>
        </w:rPr>
      </w:pPr>
      <w:bookmarkStart w:id="446" w:name="_Toc5265"/>
      <w:r>
        <w:rPr>
          <w:rFonts w:hint="default" w:ascii="Times New Roman" w:hAnsi="Times New Roman" w:eastAsia="宋体"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6</w:t>
      </w:r>
      <w:r>
        <w:rPr>
          <w:rFonts w:hint="default" w:ascii="Times New Roman" w:hAnsi="Times New Roman" w:eastAsia="宋体" w:cs="Times New Roman"/>
          <w:b/>
          <w:color w:val="auto"/>
          <w:kern w:val="2"/>
          <w:sz w:val="24"/>
          <w:szCs w:val="24"/>
          <w:lang w:val="en-US" w:eastAsia="zh-CN" w:bidi="ar-SA"/>
        </w:rPr>
        <w:t>.1施工期</w:t>
      </w:r>
      <w:r>
        <w:rPr>
          <w:rFonts w:hint="eastAsia" w:ascii="Times New Roman" w:hAnsi="Times New Roman" w:eastAsia="宋体" w:cs="Times New Roman"/>
          <w:b/>
          <w:color w:val="auto"/>
          <w:kern w:val="2"/>
          <w:sz w:val="24"/>
          <w:szCs w:val="24"/>
          <w:lang w:val="en-US" w:eastAsia="zh-CN" w:bidi="ar-SA"/>
        </w:rPr>
        <w:t>临时场地布设</w:t>
      </w:r>
      <w:bookmarkEnd w:id="446"/>
    </w:p>
    <w:p w14:paraId="4EDFC8B7">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施工人员租用附近民宅作为办公休息地点，项目不设施工生活区。施工临时场地</w:t>
      </w:r>
      <w:r>
        <w:rPr>
          <w:rFonts w:hint="eastAsia" w:cs="Times New Roman"/>
          <w:color w:val="auto"/>
          <w:kern w:val="0"/>
          <w:sz w:val="24"/>
          <w:szCs w:val="24"/>
          <w:lang w:val="en-US" w:eastAsia="zh-CN"/>
        </w:rPr>
        <w:t>如材料堆放场、堆土场等</w:t>
      </w:r>
      <w:r>
        <w:rPr>
          <w:rFonts w:hint="default" w:ascii="Times New Roman" w:hAnsi="Times New Roman" w:eastAsia="宋体" w:cs="Times New Roman"/>
          <w:color w:val="auto"/>
          <w:kern w:val="0"/>
          <w:sz w:val="24"/>
          <w:szCs w:val="24"/>
        </w:rPr>
        <w:t>均布设在项目用地范围内，不新增用地。</w:t>
      </w:r>
    </w:p>
    <w:p w14:paraId="2ABB033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kern w:val="2"/>
          <w:sz w:val="24"/>
          <w:szCs w:val="24"/>
          <w:lang w:val="en-US" w:eastAsia="zh-CN" w:bidi="ar-SA"/>
        </w:rPr>
      </w:pPr>
      <w:bookmarkStart w:id="447" w:name="_Toc31800"/>
      <w:r>
        <w:rPr>
          <w:rFonts w:hint="default" w:ascii="Times New Roman" w:hAnsi="Times New Roman" w:eastAsia="宋体"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6</w:t>
      </w: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kern w:val="2"/>
          <w:sz w:val="24"/>
          <w:szCs w:val="24"/>
          <w:lang w:val="en-US" w:eastAsia="zh-CN" w:bidi="ar-SA"/>
        </w:rPr>
        <w:t>施工期</w:t>
      </w:r>
      <w:r>
        <w:rPr>
          <w:rFonts w:hint="eastAsia" w:ascii="Times New Roman" w:hAnsi="Times New Roman" w:eastAsia="宋体" w:cs="Times New Roman"/>
          <w:b/>
          <w:color w:val="auto"/>
          <w:kern w:val="2"/>
          <w:sz w:val="24"/>
          <w:szCs w:val="24"/>
          <w:lang w:val="en-US" w:eastAsia="zh-CN" w:bidi="ar-SA"/>
        </w:rPr>
        <w:t>临时道路</w:t>
      </w:r>
      <w:bookmarkEnd w:id="447"/>
    </w:p>
    <w:p w14:paraId="17CBFC6A">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本项目改建项目，周边交通方便，本项目陆域可由后边现有公路进入现场，可满足施工机械进出施工现场要求。</w:t>
      </w:r>
    </w:p>
    <w:p w14:paraId="0DB5BDD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kern w:val="2"/>
          <w:sz w:val="24"/>
          <w:szCs w:val="24"/>
          <w:lang w:val="en-US" w:eastAsia="zh-CN" w:bidi="ar-SA"/>
        </w:rPr>
      </w:pPr>
      <w:bookmarkStart w:id="448" w:name="_Toc2581"/>
      <w:r>
        <w:rPr>
          <w:rFonts w:hint="default" w:ascii="Times New Roman" w:hAnsi="Times New Roman" w:eastAsia="宋体"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6</w:t>
      </w: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3</w:t>
      </w:r>
      <w:r>
        <w:rPr>
          <w:rFonts w:hint="default" w:ascii="Times New Roman" w:hAnsi="Times New Roman" w:eastAsia="宋体" w:cs="Times New Roman"/>
          <w:b/>
          <w:color w:val="auto"/>
          <w:kern w:val="2"/>
          <w:sz w:val="24"/>
          <w:szCs w:val="24"/>
          <w:lang w:val="en-US" w:eastAsia="zh-CN" w:bidi="ar-SA"/>
        </w:rPr>
        <w:t>施工期</w:t>
      </w:r>
      <w:r>
        <w:rPr>
          <w:rFonts w:hint="eastAsia" w:ascii="Times New Roman" w:hAnsi="Times New Roman" w:eastAsia="宋体" w:cs="Times New Roman"/>
          <w:b/>
          <w:color w:val="auto"/>
          <w:kern w:val="2"/>
          <w:sz w:val="24"/>
          <w:szCs w:val="24"/>
          <w:lang w:val="en-US" w:eastAsia="zh-CN" w:bidi="ar-SA"/>
        </w:rPr>
        <w:t>土石方平衡</w:t>
      </w:r>
      <w:bookmarkEnd w:id="448"/>
    </w:p>
    <w:p w14:paraId="05DB5AE0">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根据土石方平衡结果，本项目不需弃渣，本方案未设置弃渣场。</w:t>
      </w:r>
    </w:p>
    <w:p w14:paraId="21182B0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kern w:val="2"/>
          <w:sz w:val="24"/>
          <w:szCs w:val="24"/>
          <w:lang w:val="en-US" w:eastAsia="zh-CN" w:bidi="ar-SA"/>
        </w:rPr>
      </w:pPr>
      <w:bookmarkStart w:id="449" w:name="_Toc1654"/>
      <w:r>
        <w:rPr>
          <w:rFonts w:hint="default" w:ascii="Times New Roman" w:hAnsi="Times New Roman" w:eastAsia="宋体"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6</w:t>
      </w: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4</w:t>
      </w:r>
      <w:r>
        <w:rPr>
          <w:rFonts w:hint="default" w:ascii="Times New Roman" w:hAnsi="Times New Roman" w:eastAsia="宋体" w:cs="Times New Roman"/>
          <w:b/>
          <w:color w:val="auto"/>
          <w:kern w:val="2"/>
          <w:sz w:val="24"/>
          <w:szCs w:val="24"/>
          <w:lang w:val="en-US" w:eastAsia="zh-CN" w:bidi="ar-SA"/>
        </w:rPr>
        <w:t>施工期</w:t>
      </w:r>
      <w:r>
        <w:rPr>
          <w:rFonts w:hint="eastAsia" w:ascii="Times New Roman" w:hAnsi="Times New Roman" w:eastAsia="宋体" w:cs="Times New Roman"/>
          <w:b/>
          <w:color w:val="auto"/>
          <w:kern w:val="2"/>
          <w:sz w:val="24"/>
          <w:szCs w:val="24"/>
          <w:lang w:val="en-US" w:eastAsia="zh-CN" w:bidi="ar-SA"/>
        </w:rPr>
        <w:t>进度计划</w:t>
      </w:r>
      <w:bookmarkEnd w:id="449"/>
    </w:p>
    <w:p w14:paraId="3FA2C30B">
      <w:pPr>
        <w:keepNext w:val="0"/>
        <w:keepLines w:val="0"/>
        <w:pageBreakBefore w:val="0"/>
        <w:kinsoku/>
        <w:wordWrap/>
        <w:overflowPunct/>
        <w:topLinePunct w:val="0"/>
        <w:autoSpaceDE w:val="0"/>
        <w:autoSpaceDN w:val="0"/>
        <w:bidi w:val="0"/>
        <w:adjustRightInd w:val="0"/>
        <w:snapToGrid/>
        <w:spacing w:line="440" w:lineRule="exact"/>
        <w:ind w:left="0" w:leftChars="0" w:firstLine="420" w:firstLineChars="0"/>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工程拟于202</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年</w:t>
      </w:r>
      <w:r>
        <w:rPr>
          <w:rFonts w:hint="eastAsia"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月开工建设，预计202</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年12月建成，施工期为6个月（180d）</w:t>
      </w:r>
      <w:r>
        <w:rPr>
          <w:rFonts w:hint="eastAsia" w:cs="Times New Roman"/>
          <w:color w:val="auto"/>
          <w:kern w:val="0"/>
          <w:sz w:val="24"/>
          <w:szCs w:val="24"/>
          <w:lang w:eastAsia="zh-CN"/>
        </w:rPr>
        <w:t>。</w:t>
      </w:r>
    </w:p>
    <w:p w14:paraId="6C71618C">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50" w:name="_Toc25902"/>
      <w:bookmarkStart w:id="451" w:name="_Toc31394"/>
      <w:bookmarkStart w:id="452" w:name="_Toc537"/>
      <w:r>
        <w:rPr>
          <w:rFonts w:hint="default" w:ascii="Times New Roman" w:hAnsi="Times New Roman" w:eastAsia="宋体" w:cs="Times New Roman"/>
          <w:color w:val="auto"/>
          <w:sz w:val="28"/>
          <w:szCs w:val="28"/>
          <w:lang w:val="en-US" w:eastAsia="zh-CN"/>
        </w:rPr>
        <w:t>3.7</w:t>
      </w:r>
      <w:bookmarkEnd w:id="450"/>
      <w:r>
        <w:rPr>
          <w:rFonts w:hint="default" w:ascii="Times New Roman" w:hAnsi="Times New Roman" w:eastAsia="宋体" w:cs="Times New Roman"/>
          <w:color w:val="auto"/>
          <w:sz w:val="28"/>
          <w:szCs w:val="28"/>
          <w:lang w:val="en-US" w:eastAsia="zh-CN"/>
        </w:rPr>
        <w:t xml:space="preserve"> 环境影响因素分析</w:t>
      </w:r>
      <w:bookmarkEnd w:id="451"/>
      <w:bookmarkEnd w:id="452"/>
    </w:p>
    <w:p w14:paraId="57072B6B">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453" w:name="_Toc10899"/>
      <w:bookmarkStart w:id="454" w:name="_Toc21711"/>
      <w:bookmarkStart w:id="455" w:name="_Toc19778"/>
      <w:bookmarkStart w:id="456" w:name="_Toc5079"/>
      <w:bookmarkStart w:id="457" w:name="_Toc30176"/>
      <w:bookmarkStart w:id="458" w:name="_Toc25656"/>
      <w:r>
        <w:rPr>
          <w:rFonts w:hint="default" w:ascii="Times New Roman" w:hAnsi="Times New Roman" w:eastAsia="宋体" w:cs="Times New Roman"/>
          <w:color w:val="auto"/>
          <w:sz w:val="24"/>
          <w:szCs w:val="24"/>
          <w:lang w:val="en-US" w:eastAsia="zh-CN"/>
        </w:rPr>
        <w:t>3.7.1施工期工艺流程</w:t>
      </w:r>
      <w:bookmarkEnd w:id="453"/>
      <w:bookmarkEnd w:id="454"/>
      <w:bookmarkEnd w:id="455"/>
    </w:p>
    <w:p w14:paraId="531EFAF5">
      <w:pPr>
        <w:pStyle w:val="3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本项目建设的内容主要为码头修复、道路路面硬化、趸船定位安装、码头平台建设、钢引桥安装以及趸船和钢引桥上设施安装及配套供排水、供电管网工程。施工顺序按先临时再主体后配套的原则进行，具体为：</w:t>
      </w:r>
      <w:r>
        <w:rPr>
          <w:rFonts w:hint="eastAsia" w:cs="Times New Roman"/>
          <w:color w:val="auto"/>
          <w:sz w:val="24"/>
          <w:szCs w:val="24"/>
          <w:lang w:val="en-US" w:eastAsia="zh-CN"/>
        </w:rPr>
        <w:t>修复码头</w:t>
      </w:r>
      <w:r>
        <w:rPr>
          <w:rFonts w:hint="default" w:ascii="Times New Roman" w:hAnsi="Times New Roman" w:eastAsia="宋体" w:cs="Times New Roman"/>
          <w:color w:val="auto"/>
          <w:sz w:val="24"/>
          <w:szCs w:val="24"/>
          <w:lang w:val="en-US" w:eastAsia="zh-CN"/>
        </w:rPr>
        <w:t>→道路施工→</w:t>
      </w:r>
      <w:r>
        <w:rPr>
          <w:rFonts w:hint="eastAsia" w:cs="Times New Roman"/>
          <w:color w:val="auto"/>
          <w:sz w:val="24"/>
          <w:szCs w:val="24"/>
          <w:lang w:val="en-US" w:eastAsia="zh-CN"/>
        </w:rPr>
        <w:t>浮趸施工、钢引桥施工</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接岸平台施工</w:t>
      </w:r>
      <w:r>
        <w:rPr>
          <w:rFonts w:hint="default" w:ascii="Times New Roman" w:hAnsi="Times New Roman" w:eastAsia="宋体" w:cs="Times New Roman"/>
          <w:color w:val="auto"/>
          <w:sz w:val="24"/>
          <w:szCs w:val="24"/>
          <w:lang w:val="en-US" w:eastAsia="zh-CN"/>
        </w:rPr>
        <w:t>→趸船安装。</w:t>
      </w:r>
    </w:p>
    <w:p w14:paraId="1D1A0E6A">
      <w:pPr>
        <w:pStyle w:val="3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码头施工内容主要包括码头平台建设、趸船定位安装及配套运输设施及管线等。钢质趸船由专门船舶制造企业制造并负责出运安装。钢引桥工厂制作，主体构件现场拼接、吊装，从水路运入，采用浮吊进行安装。固定埋件通过焊接方式连接。</w:t>
      </w:r>
    </w:p>
    <w:p w14:paraId="64C1DB7E">
      <w:pPr>
        <w:pStyle w:val="3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本项目具体施工流程见下图：</w:t>
      </w:r>
    </w:p>
    <w:p w14:paraId="63AFA171">
      <w:pPr>
        <w:pStyle w:val="3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color w:val="auto"/>
        </w:rPr>
        <w:drawing>
          <wp:inline distT="0" distB="0" distL="114300" distR="114300">
            <wp:extent cx="5266690" cy="798830"/>
            <wp:effectExtent l="0" t="0" r="10160"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4"/>
                    <a:stretch>
                      <a:fillRect/>
                    </a:stretch>
                  </pic:blipFill>
                  <pic:spPr>
                    <a:xfrm>
                      <a:off x="0" y="0"/>
                      <a:ext cx="5266690" cy="798830"/>
                    </a:xfrm>
                    <a:prstGeom prst="rect">
                      <a:avLst/>
                    </a:prstGeom>
                    <a:noFill/>
                    <a:ln>
                      <a:noFill/>
                    </a:ln>
                  </pic:spPr>
                </pic:pic>
              </a:graphicData>
            </a:graphic>
          </wp:inline>
        </w:drawing>
      </w:r>
    </w:p>
    <w:p w14:paraId="7C8C681E">
      <w:pPr>
        <w:pStyle w:val="3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图3.7-1</w:t>
      </w:r>
      <w:r>
        <w:rPr>
          <w:rFonts w:hint="default" w:ascii="Times New Roman" w:hAnsi="Times New Roman" w:eastAsia="宋体" w:cs="Times New Roman"/>
          <w:b/>
          <w:bCs/>
          <w:color w:val="auto"/>
          <w:sz w:val="21"/>
          <w:szCs w:val="21"/>
          <w:lang w:eastAsia="zh-CN"/>
        </w:rPr>
        <w:t xml:space="preserve">  项目码头施工期工艺流程</w:t>
      </w:r>
      <w:r>
        <w:rPr>
          <w:rFonts w:hint="default" w:ascii="Times New Roman" w:hAnsi="Times New Roman" w:eastAsia="宋体" w:cs="Times New Roman"/>
          <w:b/>
          <w:bCs/>
          <w:color w:val="auto"/>
          <w:sz w:val="21"/>
          <w:szCs w:val="21"/>
        </w:rPr>
        <w:t>及排污节点图</w:t>
      </w:r>
    </w:p>
    <w:p w14:paraId="0B644BCC">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施工期各主要施工阶段产污环节及污染物类型、污染因子见下表。</w:t>
      </w:r>
    </w:p>
    <w:p w14:paraId="01905F69">
      <w:pPr>
        <w:pStyle w:val="38"/>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3.7</w:t>
      </w:r>
      <w:r>
        <w:rPr>
          <w:rFonts w:hint="default" w:ascii="Times New Roman" w:hAnsi="Times New Roman" w:eastAsia="宋体" w:cs="Times New Roman"/>
          <w:b/>
          <w:bCs/>
          <w:color w:val="auto"/>
        </w:rPr>
        <w:t>-1  施工期污染因子一览表</w:t>
      </w:r>
    </w:p>
    <w:tbl>
      <w:tblPr>
        <w:tblStyle w:val="29"/>
        <w:tblW w:w="5016"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299"/>
        <w:gridCol w:w="3522"/>
        <w:gridCol w:w="3516"/>
      </w:tblGrid>
      <w:tr w14:paraId="19CB95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59" w:hRule="exact"/>
          <w:jc w:val="center"/>
        </w:trPr>
        <w:tc>
          <w:tcPr>
            <w:tcW w:w="779" w:type="pct"/>
            <w:tcBorders>
              <w:bottom w:val="single" w:color="000000" w:sz="4" w:space="0"/>
              <w:right w:val="single" w:color="000000" w:sz="4" w:space="0"/>
            </w:tcBorders>
            <w:vAlign w:val="center"/>
          </w:tcPr>
          <w:p w14:paraId="0CED7DB4">
            <w:pPr>
              <w:pStyle w:val="53"/>
              <w:rPr>
                <w:rFonts w:hint="default" w:ascii="Times New Roman" w:hAnsi="Times New Roman" w:eastAsia="宋体" w:cs="Times New Roman"/>
                <w:b/>
                <w:bCs/>
                <w:color w:val="auto"/>
              </w:rPr>
            </w:pPr>
            <w:bookmarkStart w:id="459" w:name="_Toc19310"/>
            <w:bookmarkStart w:id="460" w:name="_Toc10234"/>
            <w:r>
              <w:rPr>
                <w:rFonts w:hint="default" w:ascii="Times New Roman" w:hAnsi="Times New Roman" w:eastAsia="宋体" w:cs="Times New Roman"/>
                <w:b/>
                <w:bCs/>
                <w:color w:val="auto"/>
              </w:rPr>
              <w:t>污染类型</w:t>
            </w:r>
          </w:p>
        </w:tc>
        <w:tc>
          <w:tcPr>
            <w:tcW w:w="2112" w:type="pct"/>
            <w:tcBorders>
              <w:left w:val="single" w:color="000000" w:sz="4" w:space="0"/>
              <w:bottom w:val="single" w:color="000000" w:sz="4" w:space="0"/>
              <w:right w:val="single" w:color="000000" w:sz="4" w:space="0"/>
            </w:tcBorders>
            <w:vAlign w:val="center"/>
          </w:tcPr>
          <w:p w14:paraId="77E12746">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产污环节说明</w:t>
            </w:r>
          </w:p>
        </w:tc>
        <w:tc>
          <w:tcPr>
            <w:tcW w:w="2108" w:type="pct"/>
            <w:tcBorders>
              <w:left w:val="single" w:color="000000" w:sz="4" w:space="0"/>
              <w:bottom w:val="single" w:color="000000" w:sz="4" w:space="0"/>
            </w:tcBorders>
            <w:vAlign w:val="center"/>
          </w:tcPr>
          <w:p w14:paraId="0D89180A">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主要污染因子</w:t>
            </w:r>
          </w:p>
        </w:tc>
      </w:tr>
      <w:tr w14:paraId="67DFE7C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exact"/>
          <w:jc w:val="center"/>
        </w:trPr>
        <w:tc>
          <w:tcPr>
            <w:tcW w:w="779" w:type="pct"/>
            <w:vMerge w:val="restart"/>
            <w:tcBorders>
              <w:top w:val="single" w:color="000000" w:sz="4" w:space="0"/>
              <w:bottom w:val="single" w:color="000000" w:sz="4" w:space="0"/>
              <w:right w:val="single" w:color="000000" w:sz="4" w:space="0"/>
            </w:tcBorders>
            <w:vAlign w:val="center"/>
          </w:tcPr>
          <w:p w14:paraId="700DDBE7">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2112" w:type="pct"/>
            <w:tcBorders>
              <w:top w:val="single" w:color="000000" w:sz="4" w:space="0"/>
              <w:left w:val="single" w:color="000000" w:sz="4" w:space="0"/>
              <w:bottom w:val="single" w:color="000000" w:sz="4" w:space="0"/>
              <w:right w:val="single" w:color="000000" w:sz="4" w:space="0"/>
            </w:tcBorders>
            <w:vAlign w:val="center"/>
          </w:tcPr>
          <w:p w14:paraId="5A94FFDF">
            <w:pPr>
              <w:pStyle w:val="53"/>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施工</w:t>
            </w:r>
            <w:r>
              <w:rPr>
                <w:rFonts w:hint="default" w:ascii="Times New Roman" w:hAnsi="Times New Roman" w:eastAsia="宋体" w:cs="Times New Roman"/>
                <w:color w:val="auto"/>
              </w:rPr>
              <w:t>废水</w:t>
            </w:r>
          </w:p>
        </w:tc>
        <w:tc>
          <w:tcPr>
            <w:tcW w:w="2108" w:type="pct"/>
            <w:tcBorders>
              <w:top w:val="single" w:color="000000" w:sz="4" w:space="0"/>
              <w:left w:val="single" w:color="000000" w:sz="4" w:space="0"/>
              <w:bottom w:val="single" w:color="000000" w:sz="4" w:space="0"/>
            </w:tcBorders>
            <w:vAlign w:val="center"/>
          </w:tcPr>
          <w:p w14:paraId="3115DFB5">
            <w:pPr>
              <w:pStyle w:val="53"/>
              <w:rPr>
                <w:rFonts w:hint="default" w:ascii="Times New Roman" w:hAnsi="Times New Roman" w:eastAsia="宋体" w:cs="Times New Roman"/>
                <w:color w:val="auto"/>
              </w:rPr>
            </w:pPr>
            <w:r>
              <w:rPr>
                <w:rFonts w:hint="default" w:ascii="Times New Roman" w:hAnsi="Times New Roman" w:eastAsia="宋体" w:cs="Times New Roman"/>
                <w:color w:val="auto"/>
                <w:spacing w:val="-1"/>
              </w:rPr>
              <w:t>SS</w:t>
            </w:r>
            <w:r>
              <w:rPr>
                <w:rFonts w:hint="default" w:ascii="Times New Roman" w:hAnsi="Times New Roman" w:eastAsia="宋体" w:cs="Times New Roman"/>
                <w:color w:val="auto"/>
              </w:rPr>
              <w:t>、石油类等</w:t>
            </w:r>
          </w:p>
        </w:tc>
      </w:tr>
      <w:tr w14:paraId="626183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exact"/>
          <w:jc w:val="center"/>
        </w:trPr>
        <w:tc>
          <w:tcPr>
            <w:tcW w:w="779" w:type="pct"/>
            <w:vMerge w:val="continue"/>
            <w:tcBorders>
              <w:top w:val="single" w:color="000000" w:sz="4" w:space="0"/>
              <w:bottom w:val="single" w:color="000000" w:sz="4" w:space="0"/>
              <w:right w:val="single" w:color="000000" w:sz="4" w:space="0"/>
            </w:tcBorders>
            <w:vAlign w:val="center"/>
          </w:tcPr>
          <w:p w14:paraId="4F24C512">
            <w:pPr>
              <w:pStyle w:val="53"/>
              <w:rPr>
                <w:rFonts w:hint="default" w:ascii="Times New Roman" w:hAnsi="Times New Roman" w:eastAsia="宋体" w:cs="Times New Roman"/>
                <w:color w:val="auto"/>
              </w:rPr>
            </w:pPr>
          </w:p>
        </w:tc>
        <w:tc>
          <w:tcPr>
            <w:tcW w:w="2112" w:type="pct"/>
            <w:tcBorders>
              <w:top w:val="single" w:color="000000" w:sz="4" w:space="0"/>
              <w:left w:val="single" w:color="000000" w:sz="4" w:space="0"/>
              <w:bottom w:val="single" w:color="000000" w:sz="4" w:space="0"/>
              <w:right w:val="single" w:color="000000" w:sz="4" w:space="0"/>
            </w:tcBorders>
            <w:vAlign w:val="center"/>
          </w:tcPr>
          <w:p w14:paraId="70F43AA5">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施工船舶污水</w:t>
            </w:r>
          </w:p>
        </w:tc>
        <w:tc>
          <w:tcPr>
            <w:tcW w:w="2108" w:type="pct"/>
            <w:tcBorders>
              <w:top w:val="single" w:color="000000" w:sz="4" w:space="0"/>
              <w:left w:val="single" w:color="000000" w:sz="4" w:space="0"/>
              <w:bottom w:val="single" w:color="000000" w:sz="4" w:space="0"/>
            </w:tcBorders>
            <w:vAlign w:val="center"/>
          </w:tcPr>
          <w:p w14:paraId="1AB6B1D6">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CO</w:t>
            </w:r>
            <w:r>
              <w:rPr>
                <w:rFonts w:hint="default" w:ascii="Times New Roman" w:hAnsi="Times New Roman" w:eastAsia="宋体" w:cs="Times New Roman"/>
                <w:color w:val="auto"/>
                <w:spacing w:val="-1"/>
              </w:rPr>
              <w:t>D</w:t>
            </w: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-N、SS、石油类等</w:t>
            </w:r>
          </w:p>
        </w:tc>
      </w:tr>
      <w:tr w14:paraId="08A78A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9" w:hRule="exact"/>
          <w:jc w:val="center"/>
        </w:trPr>
        <w:tc>
          <w:tcPr>
            <w:tcW w:w="779" w:type="pct"/>
            <w:vMerge w:val="continue"/>
            <w:tcBorders>
              <w:top w:val="single" w:color="000000" w:sz="4" w:space="0"/>
              <w:bottom w:val="single" w:color="000000" w:sz="4" w:space="0"/>
              <w:right w:val="single" w:color="000000" w:sz="4" w:space="0"/>
            </w:tcBorders>
            <w:vAlign w:val="center"/>
          </w:tcPr>
          <w:p w14:paraId="42B00FA9">
            <w:pPr>
              <w:pStyle w:val="53"/>
              <w:rPr>
                <w:rFonts w:hint="default" w:ascii="Times New Roman" w:hAnsi="Times New Roman" w:eastAsia="宋体" w:cs="Times New Roman"/>
                <w:color w:val="auto"/>
              </w:rPr>
            </w:pPr>
          </w:p>
        </w:tc>
        <w:tc>
          <w:tcPr>
            <w:tcW w:w="2112" w:type="pct"/>
            <w:tcBorders>
              <w:top w:val="single" w:color="000000" w:sz="4" w:space="0"/>
              <w:left w:val="single" w:color="000000" w:sz="4" w:space="0"/>
              <w:bottom w:val="single" w:color="000000" w:sz="4" w:space="0"/>
              <w:right w:val="single" w:color="000000" w:sz="4" w:space="0"/>
            </w:tcBorders>
            <w:vAlign w:val="center"/>
          </w:tcPr>
          <w:p w14:paraId="4B97FAFD">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2108" w:type="pct"/>
            <w:tcBorders>
              <w:top w:val="single" w:color="000000" w:sz="4" w:space="0"/>
              <w:left w:val="single" w:color="000000" w:sz="4" w:space="0"/>
              <w:bottom w:val="single" w:color="000000" w:sz="4" w:space="0"/>
            </w:tcBorders>
            <w:vAlign w:val="center"/>
          </w:tcPr>
          <w:p w14:paraId="06FBC993">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CO</w:t>
            </w:r>
            <w:r>
              <w:rPr>
                <w:rFonts w:hint="default" w:ascii="Times New Roman" w:hAnsi="Times New Roman" w:eastAsia="宋体" w:cs="Times New Roman"/>
                <w:color w:val="auto"/>
                <w:spacing w:val="-1"/>
              </w:rPr>
              <w:t>D</w:t>
            </w: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-N、SS等</w:t>
            </w:r>
          </w:p>
        </w:tc>
      </w:tr>
      <w:tr w14:paraId="55B704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exact"/>
          <w:jc w:val="center"/>
        </w:trPr>
        <w:tc>
          <w:tcPr>
            <w:tcW w:w="779" w:type="pct"/>
            <w:vMerge w:val="restart"/>
            <w:tcBorders>
              <w:top w:val="single" w:color="000000" w:sz="4" w:space="0"/>
              <w:bottom w:val="single" w:color="000000" w:sz="4" w:space="0"/>
              <w:right w:val="single" w:color="000000" w:sz="4" w:space="0"/>
            </w:tcBorders>
            <w:vAlign w:val="center"/>
          </w:tcPr>
          <w:p w14:paraId="6BB49666">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2112" w:type="pct"/>
            <w:tcBorders>
              <w:top w:val="single" w:color="000000" w:sz="4" w:space="0"/>
              <w:left w:val="single" w:color="000000" w:sz="4" w:space="0"/>
              <w:bottom w:val="single" w:color="000000" w:sz="4" w:space="0"/>
              <w:right w:val="single" w:color="000000" w:sz="4" w:space="0"/>
            </w:tcBorders>
            <w:vAlign w:val="center"/>
          </w:tcPr>
          <w:p w14:paraId="7D3CD216">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施工扬尘、运输扬尘</w:t>
            </w:r>
          </w:p>
        </w:tc>
        <w:tc>
          <w:tcPr>
            <w:tcW w:w="2108" w:type="pct"/>
            <w:tcBorders>
              <w:top w:val="single" w:color="000000" w:sz="4" w:space="0"/>
              <w:left w:val="single" w:color="000000" w:sz="4" w:space="0"/>
              <w:bottom w:val="single" w:color="000000" w:sz="4" w:space="0"/>
            </w:tcBorders>
            <w:vAlign w:val="center"/>
          </w:tcPr>
          <w:p w14:paraId="2DAA3000">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TSP</w:t>
            </w:r>
          </w:p>
        </w:tc>
      </w:tr>
      <w:tr w14:paraId="398CA9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exact"/>
          <w:jc w:val="center"/>
        </w:trPr>
        <w:tc>
          <w:tcPr>
            <w:tcW w:w="779" w:type="pct"/>
            <w:vMerge w:val="continue"/>
            <w:tcBorders>
              <w:top w:val="single" w:color="000000" w:sz="4" w:space="0"/>
              <w:bottom w:val="single" w:color="000000" w:sz="4" w:space="0"/>
              <w:right w:val="single" w:color="000000" w:sz="4" w:space="0"/>
            </w:tcBorders>
            <w:vAlign w:val="center"/>
          </w:tcPr>
          <w:p w14:paraId="6C7C7BA7">
            <w:pPr>
              <w:pStyle w:val="53"/>
              <w:rPr>
                <w:rFonts w:hint="default" w:ascii="Times New Roman" w:hAnsi="Times New Roman" w:eastAsia="宋体" w:cs="Times New Roman"/>
                <w:color w:val="auto"/>
              </w:rPr>
            </w:pPr>
          </w:p>
        </w:tc>
        <w:tc>
          <w:tcPr>
            <w:tcW w:w="2112" w:type="pct"/>
            <w:tcBorders>
              <w:top w:val="single" w:color="000000" w:sz="4" w:space="0"/>
              <w:left w:val="single" w:color="000000" w:sz="4" w:space="0"/>
              <w:bottom w:val="single" w:color="000000" w:sz="4" w:space="0"/>
              <w:right w:val="single" w:color="000000" w:sz="4" w:space="0"/>
            </w:tcBorders>
            <w:vAlign w:val="center"/>
          </w:tcPr>
          <w:p w14:paraId="362BF306">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施工船舶、车辆和机械燃油废气</w:t>
            </w:r>
          </w:p>
        </w:tc>
        <w:tc>
          <w:tcPr>
            <w:tcW w:w="2108" w:type="pct"/>
            <w:tcBorders>
              <w:top w:val="single" w:color="000000" w:sz="4" w:space="0"/>
              <w:left w:val="single" w:color="000000" w:sz="4" w:space="0"/>
              <w:bottom w:val="single" w:color="000000" w:sz="4" w:space="0"/>
            </w:tcBorders>
            <w:vAlign w:val="center"/>
          </w:tcPr>
          <w:p w14:paraId="0D9B282A">
            <w:pPr>
              <w:pStyle w:val="53"/>
              <w:rPr>
                <w:rFonts w:hint="default" w:ascii="Times New Roman" w:hAnsi="Times New Roman" w:eastAsia="宋体" w:cs="Times New Roman"/>
                <w:color w:val="auto"/>
              </w:rPr>
            </w:pPr>
            <w:r>
              <w:rPr>
                <w:rFonts w:hint="default" w:ascii="Times New Roman" w:hAnsi="Times New Roman" w:eastAsia="宋体" w:cs="Times New Roman"/>
                <w:color w:val="auto"/>
                <w:spacing w:val="-1"/>
              </w:rPr>
              <w:t>SO</w:t>
            </w:r>
            <w:r>
              <w:rPr>
                <w:rFonts w:hint="default" w:ascii="Times New Roman" w:hAnsi="Times New Roman" w:eastAsia="宋体" w:cs="Times New Roman"/>
                <w:color w:val="auto"/>
                <w:position w:val="-2"/>
                <w:sz w:val="14"/>
                <w:szCs w:val="14"/>
              </w:rPr>
              <w:t>2</w:t>
            </w:r>
            <w:r>
              <w:rPr>
                <w:rFonts w:hint="default" w:ascii="Times New Roman" w:hAnsi="Times New Roman" w:eastAsia="宋体" w:cs="Times New Roman"/>
                <w:color w:val="auto"/>
              </w:rPr>
              <w:t>、C</w:t>
            </w:r>
            <w:r>
              <w:rPr>
                <w:rFonts w:hint="default" w:ascii="Times New Roman" w:hAnsi="Times New Roman" w:eastAsia="宋体" w:cs="Times New Roman"/>
                <w:color w:val="auto"/>
                <w:spacing w:val="-1"/>
              </w:rPr>
              <w:t>O</w:t>
            </w:r>
            <w:r>
              <w:rPr>
                <w:rFonts w:hint="default" w:ascii="Times New Roman" w:hAnsi="Times New Roman" w:eastAsia="宋体" w:cs="Times New Roman"/>
                <w:color w:val="auto"/>
              </w:rPr>
              <w:t>、</w:t>
            </w:r>
            <w:r>
              <w:rPr>
                <w:rFonts w:hint="default" w:ascii="Times New Roman" w:hAnsi="Times New Roman" w:eastAsia="宋体" w:cs="Times New Roman"/>
                <w:color w:val="auto"/>
                <w:spacing w:val="-1"/>
              </w:rPr>
              <w:t>NO</w:t>
            </w:r>
            <w:r>
              <w:rPr>
                <w:rFonts w:hint="default" w:ascii="Times New Roman" w:hAnsi="Times New Roman" w:eastAsia="宋体" w:cs="Times New Roman"/>
                <w:color w:val="auto"/>
              </w:rPr>
              <w:t xml:space="preserve">x </w:t>
            </w:r>
          </w:p>
        </w:tc>
      </w:tr>
      <w:tr w14:paraId="15833A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9" w:hRule="exact"/>
          <w:jc w:val="center"/>
        </w:trPr>
        <w:tc>
          <w:tcPr>
            <w:tcW w:w="779" w:type="pct"/>
            <w:tcBorders>
              <w:top w:val="single" w:color="000000" w:sz="4" w:space="0"/>
              <w:bottom w:val="single" w:color="000000" w:sz="4" w:space="0"/>
              <w:right w:val="single" w:color="000000" w:sz="4" w:space="0"/>
            </w:tcBorders>
            <w:vAlign w:val="center"/>
          </w:tcPr>
          <w:p w14:paraId="6FD4E3DF">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2112" w:type="pct"/>
            <w:tcBorders>
              <w:top w:val="single" w:color="000000" w:sz="4" w:space="0"/>
              <w:left w:val="single" w:color="000000" w:sz="4" w:space="0"/>
              <w:bottom w:val="single" w:color="000000" w:sz="4" w:space="0"/>
              <w:right w:val="single" w:color="000000" w:sz="4" w:space="0"/>
            </w:tcBorders>
            <w:vAlign w:val="center"/>
          </w:tcPr>
          <w:p w14:paraId="0BFC9C11">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施工机械噪声</w:t>
            </w:r>
          </w:p>
        </w:tc>
        <w:tc>
          <w:tcPr>
            <w:tcW w:w="2108" w:type="pct"/>
            <w:tcBorders>
              <w:top w:val="single" w:color="000000" w:sz="4" w:space="0"/>
              <w:left w:val="single" w:color="000000" w:sz="4" w:space="0"/>
              <w:bottom w:val="single" w:color="000000" w:sz="4" w:space="0"/>
            </w:tcBorders>
            <w:vAlign w:val="center"/>
          </w:tcPr>
          <w:p w14:paraId="19B5031A">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等效连续</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rPr>
              <w:t>声级</w:t>
            </w:r>
          </w:p>
        </w:tc>
      </w:tr>
      <w:tr w14:paraId="2D0EF3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0" w:hRule="exact"/>
          <w:jc w:val="center"/>
        </w:trPr>
        <w:tc>
          <w:tcPr>
            <w:tcW w:w="779" w:type="pct"/>
            <w:vMerge w:val="restart"/>
            <w:tcBorders>
              <w:top w:val="single" w:color="000000" w:sz="4" w:space="0"/>
              <w:bottom w:val="single" w:color="000000" w:sz="12" w:space="0"/>
              <w:right w:val="single" w:color="000000" w:sz="4" w:space="0"/>
            </w:tcBorders>
            <w:vAlign w:val="center"/>
          </w:tcPr>
          <w:p w14:paraId="2D501021">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2112" w:type="pct"/>
            <w:tcBorders>
              <w:top w:val="single" w:color="000000" w:sz="4" w:space="0"/>
              <w:left w:val="single" w:color="000000" w:sz="4" w:space="0"/>
              <w:bottom w:val="single" w:color="000000" w:sz="4" w:space="0"/>
              <w:right w:val="single" w:color="000000" w:sz="4" w:space="0"/>
            </w:tcBorders>
            <w:vAlign w:val="center"/>
          </w:tcPr>
          <w:p w14:paraId="4F92BE2F">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建筑垃圾</w:t>
            </w:r>
          </w:p>
        </w:tc>
        <w:tc>
          <w:tcPr>
            <w:tcW w:w="2108" w:type="pct"/>
            <w:tcBorders>
              <w:top w:val="single" w:color="000000" w:sz="4" w:space="0"/>
              <w:left w:val="single" w:color="000000" w:sz="4" w:space="0"/>
              <w:bottom w:val="single" w:color="000000" w:sz="4" w:space="0"/>
            </w:tcBorders>
            <w:vAlign w:val="center"/>
          </w:tcPr>
          <w:p w14:paraId="47CFFFD1">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3BA6CC8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exact"/>
          <w:jc w:val="center"/>
        </w:trPr>
        <w:tc>
          <w:tcPr>
            <w:tcW w:w="779" w:type="pct"/>
            <w:vMerge w:val="continue"/>
            <w:tcBorders>
              <w:top w:val="single" w:color="000000" w:sz="4" w:space="0"/>
              <w:bottom w:val="single" w:color="000000" w:sz="4" w:space="0"/>
              <w:right w:val="single" w:color="000000" w:sz="4" w:space="0"/>
            </w:tcBorders>
            <w:vAlign w:val="center"/>
          </w:tcPr>
          <w:p w14:paraId="0C9981BB">
            <w:pPr>
              <w:pStyle w:val="53"/>
              <w:rPr>
                <w:rFonts w:hint="default" w:ascii="Times New Roman" w:hAnsi="Times New Roman" w:eastAsia="宋体" w:cs="Times New Roman"/>
                <w:color w:val="auto"/>
              </w:rPr>
            </w:pPr>
          </w:p>
        </w:tc>
        <w:tc>
          <w:tcPr>
            <w:tcW w:w="2112" w:type="pct"/>
            <w:tcBorders>
              <w:top w:val="single" w:color="000000" w:sz="4" w:space="0"/>
              <w:left w:val="single" w:color="000000" w:sz="4" w:space="0"/>
              <w:bottom w:val="single" w:color="000000" w:sz="4" w:space="0"/>
              <w:right w:val="single" w:color="000000" w:sz="4" w:space="0"/>
            </w:tcBorders>
            <w:vAlign w:val="center"/>
          </w:tcPr>
          <w:p w14:paraId="2FDE84B0">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108" w:type="pct"/>
            <w:tcBorders>
              <w:top w:val="single" w:color="000000" w:sz="4" w:space="0"/>
              <w:left w:val="single" w:color="000000" w:sz="4" w:space="0"/>
              <w:bottom w:val="single" w:color="000000" w:sz="4" w:space="0"/>
            </w:tcBorders>
            <w:vAlign w:val="center"/>
          </w:tcPr>
          <w:p w14:paraId="4B11A176">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r>
      <w:tr w14:paraId="091AF1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exact"/>
          <w:jc w:val="center"/>
        </w:trPr>
        <w:tc>
          <w:tcPr>
            <w:tcW w:w="779" w:type="pct"/>
            <w:tcBorders>
              <w:top w:val="single" w:color="000000" w:sz="4" w:space="0"/>
              <w:right w:val="single" w:color="000000" w:sz="4" w:space="0"/>
            </w:tcBorders>
            <w:vAlign w:val="center"/>
          </w:tcPr>
          <w:p w14:paraId="0C6CA103">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4220" w:type="pct"/>
            <w:gridSpan w:val="2"/>
            <w:tcBorders>
              <w:top w:val="single" w:color="000000" w:sz="4" w:space="0"/>
              <w:left w:val="single" w:color="000000" w:sz="4" w:space="0"/>
            </w:tcBorders>
            <w:vAlign w:val="center"/>
          </w:tcPr>
          <w:p w14:paraId="4A6D9B9A">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陆域生态影响和水生生态影响</w:t>
            </w:r>
          </w:p>
        </w:tc>
      </w:tr>
    </w:tbl>
    <w:p w14:paraId="42FE0C5D">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6E3A3BC3">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461" w:name="_Toc1020"/>
      <w:r>
        <w:rPr>
          <w:rFonts w:hint="default" w:ascii="Times New Roman" w:hAnsi="Times New Roman" w:eastAsia="宋体" w:cs="Times New Roman"/>
          <w:color w:val="auto"/>
          <w:sz w:val="24"/>
          <w:szCs w:val="24"/>
          <w:lang w:val="en-US" w:eastAsia="zh-CN"/>
        </w:rPr>
        <w:t>3.7.2 营运期工艺流程</w:t>
      </w:r>
      <w:bookmarkEnd w:id="456"/>
      <w:bookmarkEnd w:id="457"/>
      <w:bookmarkEnd w:id="458"/>
      <w:bookmarkEnd w:id="459"/>
      <w:bookmarkEnd w:id="460"/>
      <w:bookmarkEnd w:id="461"/>
    </w:p>
    <w:p w14:paraId="449642C9">
      <w:pPr>
        <w:pageBreakBefore w:val="0"/>
        <w:widowControl w:val="0"/>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作业流程</w:t>
      </w:r>
    </w:p>
    <w:p w14:paraId="4B3FAC6E">
      <w:pPr>
        <w:pStyle w:val="20"/>
        <w:pageBreakBefore w:val="0"/>
        <w:widowControl w:val="0"/>
        <w:kinsoku/>
        <w:wordWrap/>
        <w:overflowPunct/>
        <w:topLinePunct w:val="0"/>
        <w:autoSpaceDE/>
        <w:autoSpaceDN/>
        <w:bidi w:val="0"/>
        <w:adjustRightInd/>
        <w:snapToGrid w:val="0"/>
        <w:spacing w:line="360" w:lineRule="auto"/>
        <w:ind w:firstLine="1152" w:firstLineChars="450"/>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2686685</wp:posOffset>
                </wp:positionH>
                <wp:positionV relativeFrom="paragraph">
                  <wp:posOffset>266700</wp:posOffset>
                </wp:positionV>
                <wp:extent cx="1307465" cy="340995"/>
                <wp:effectExtent l="4445" t="4445" r="21590" b="16510"/>
                <wp:wrapNone/>
                <wp:docPr id="36"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307465" cy="340995"/>
                        </a:xfrm>
                        <a:prstGeom prst="rect">
                          <a:avLst/>
                        </a:prstGeom>
                        <a:solidFill>
                          <a:srgbClr val="FFFFFF"/>
                        </a:solidFill>
                        <a:ln w="9525">
                          <a:solidFill>
                            <a:srgbClr val="000000"/>
                          </a:solidFill>
                          <a:miter lim="800000"/>
                        </a:ln>
                      </wps:spPr>
                      <wps:txbx>
                        <w:txbxContent>
                          <w:p w14:paraId="733A705E">
                            <w:pPr>
                              <w:ind w:left="0" w:leftChars="0" w:firstLine="0" w:firstLineChars="0"/>
                              <w:jc w:val="center"/>
                              <w:rPr>
                                <w:rFonts w:hint="default" w:ascii="仿宋" w:hAnsi="仿宋" w:eastAsia="仿宋" w:cs="仿宋"/>
                                <w:lang w:val="en-US" w:eastAsia="zh-CN"/>
                              </w:rPr>
                            </w:pPr>
                            <w:r>
                              <w:rPr>
                                <w:rFonts w:hint="eastAsia" w:ascii="仿宋" w:hAnsi="仿宋" w:eastAsia="仿宋" w:cs="仿宋"/>
                                <w:lang w:val="en-US" w:eastAsia="zh-CN"/>
                              </w:rPr>
                              <w:t>人员、设备流动</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211.55pt;margin-top:21pt;height:26.85pt;width:102.95pt;z-index:251665408;mso-width-relative:page;mso-height-relative:page;" fillcolor="#FFFFFF" filled="t" stroked="t" coordsize="21600,21600" o:gfxdata="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SSSn2AAAAAkBAAAPAAAAAAAAAAEAIAAAACIAAABkcnMvZG93bnJldi54&#10;bWxQSwECFAAUAAAACACHTuJAXxptDDMCAACIBAAADgAAAAAAAAABACAAAAAnAQAAZHJzL2Uyb0Rv&#10;Yy54bWxQSwUGAAAAAAYABgBZAQAAzAUAAAAA&#10;">
                <v:fill on="t" focussize="0,0"/>
                <v:stroke color="#000000" miterlimit="8" joinstyle="miter"/>
                <v:imagedata o:title=""/>
                <o:lock v:ext="edit" aspectratio="f"/>
                <v:textbox>
                  <w:txbxContent>
                    <w:p w14:paraId="733A705E">
                      <w:pPr>
                        <w:ind w:left="0" w:leftChars="0" w:firstLine="0" w:firstLineChars="0"/>
                        <w:jc w:val="center"/>
                        <w:rPr>
                          <w:rFonts w:hint="default" w:ascii="仿宋" w:hAnsi="仿宋" w:eastAsia="仿宋" w:cs="仿宋"/>
                          <w:lang w:val="en-US" w:eastAsia="zh-CN"/>
                        </w:rPr>
                      </w:pPr>
                      <w:r>
                        <w:rPr>
                          <w:rFonts w:hint="eastAsia" w:ascii="仿宋" w:hAnsi="仿宋" w:eastAsia="仿宋" w:cs="仿宋"/>
                          <w:lang w:val="en-US" w:eastAsia="zh-CN"/>
                        </w:rPr>
                        <w:t>人员、设备流动</w:t>
                      </w:r>
                    </w:p>
                  </w:txbxContent>
                </v:textbox>
              </v:shape>
            </w:pict>
          </mc:Fallback>
        </mc:AlternateContent>
      </w:r>
      <w:r>
        <w:rPr>
          <w:rFonts w:hint="default" w:ascii="Times New Roman" w:hAnsi="Times New Roman" w:eastAsia="宋体" w:cs="Times New Roman"/>
          <w:color w:val="auto"/>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1457960</wp:posOffset>
                </wp:positionH>
                <wp:positionV relativeFrom="paragraph">
                  <wp:posOffset>266700</wp:posOffset>
                </wp:positionV>
                <wp:extent cx="704215" cy="340995"/>
                <wp:effectExtent l="4445" t="4445" r="15240" b="16510"/>
                <wp:wrapNone/>
                <wp:docPr id="35" name="Text Box 24"/>
                <wp:cNvGraphicFramePr/>
                <a:graphic xmlns:a="http://schemas.openxmlformats.org/drawingml/2006/main">
                  <a:graphicData uri="http://schemas.microsoft.com/office/word/2010/wordprocessingShape">
                    <wps:wsp>
                      <wps:cNvSpPr txBox="1">
                        <a:spLocks noChangeArrowheads="1"/>
                      </wps:cNvSpPr>
                      <wps:spPr bwMode="auto">
                        <a:xfrm>
                          <a:off x="0" y="0"/>
                          <a:ext cx="704215" cy="340995"/>
                        </a:xfrm>
                        <a:prstGeom prst="rect">
                          <a:avLst/>
                        </a:prstGeom>
                        <a:solidFill>
                          <a:srgbClr val="FFFFFF"/>
                        </a:solidFill>
                        <a:ln w="9525">
                          <a:solidFill>
                            <a:srgbClr val="000000"/>
                          </a:solidFill>
                          <a:miter lim="800000"/>
                        </a:ln>
                      </wps:spPr>
                      <wps:txbx>
                        <w:txbxContent>
                          <w:p w14:paraId="137DE7A3">
                            <w:pPr>
                              <w:ind w:left="0" w:leftChars="0" w:firstLine="0" w:firstLineChars="0"/>
                              <w:jc w:val="center"/>
                              <w:rPr>
                                <w:rFonts w:hint="eastAsia" w:ascii="仿宋" w:hAnsi="仿宋" w:eastAsia="仿宋" w:cs="仿宋"/>
                              </w:rPr>
                            </w:pPr>
                            <w:r>
                              <w:rPr>
                                <w:rFonts w:hint="eastAsia" w:ascii="仿宋" w:hAnsi="仿宋" w:eastAsia="仿宋" w:cs="仿宋"/>
                              </w:rPr>
                              <w:t>码头</w:t>
                            </w:r>
                          </w:p>
                        </w:txbxContent>
                      </wps:txbx>
                      <wps:bodyPr rot="0" vert="horz" wrap="square" lIns="91440" tIns="45720" rIns="91440" bIns="45720" anchor="t" anchorCtr="0" upright="1">
                        <a:noAutofit/>
                      </wps:bodyPr>
                    </wps:wsp>
                  </a:graphicData>
                </a:graphic>
              </wp:anchor>
            </w:drawing>
          </mc:Choice>
          <mc:Fallback>
            <w:pict>
              <v:shape id="Text Box 24" o:spid="_x0000_s1026" o:spt="202" type="#_x0000_t202" style="position:absolute;left:0pt;margin-left:114.8pt;margin-top:21pt;height:26.85pt;width:55.45pt;z-index:251661312;mso-width-relative:page;mso-height-relative:page;" fillcolor="#FFFFFF" filled="t" stroked="t" coordsize="21600,21600" o:gfxdata="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AHUC2QAAAAkBAAAPAAAAAAAAAAEAIAAAACIAAABkcnMvZG93bnJldi54&#10;bWxQSwECFAAUAAAACACHTuJAdv5wGDICAACHBAAADgAAAAAAAAABACAAAAAoAQAAZHJzL2Uyb0Rv&#10;Yy54bWxQSwUGAAAAAAYABgBZAQAAzAUAAAAA&#10;">
                <v:fill on="t" focussize="0,0"/>
                <v:stroke color="#000000" miterlimit="8" joinstyle="miter"/>
                <v:imagedata o:title=""/>
                <o:lock v:ext="edit" aspectratio="f"/>
                <v:textbox>
                  <w:txbxContent>
                    <w:p w14:paraId="137DE7A3">
                      <w:pPr>
                        <w:ind w:left="0" w:leftChars="0" w:firstLine="0" w:firstLineChars="0"/>
                        <w:jc w:val="center"/>
                        <w:rPr>
                          <w:rFonts w:hint="eastAsia" w:ascii="仿宋" w:hAnsi="仿宋" w:eastAsia="仿宋" w:cs="仿宋"/>
                        </w:rPr>
                      </w:pPr>
                      <w:r>
                        <w:rPr>
                          <w:rFonts w:hint="eastAsia" w:ascii="仿宋" w:hAnsi="仿宋" w:eastAsia="仿宋" w:cs="仿宋"/>
                        </w:rPr>
                        <w:t>码头</w:t>
                      </w:r>
                    </w:p>
                  </w:txbxContent>
                </v:textbox>
              </v:shape>
            </w:pict>
          </mc:Fallback>
        </mc:AlternateContent>
      </w:r>
      <w:r>
        <w:rPr>
          <w:rFonts w:hint="default" w:ascii="Times New Roman" w:hAnsi="Times New Roman" w:eastAsia="宋体" w:cs="Times New Roman"/>
          <w:color w:val="auto"/>
          <w:spacing w:val="8"/>
          <w:sz w:val="24"/>
          <w:szCs w:val="24"/>
          <w:lang w:val="en-US" w:eastAsia="zh-CN"/>
        </w:rPr>
        <w:t>船只</w:t>
      </w:r>
      <w:r>
        <w:rPr>
          <w:rFonts w:hint="default" w:ascii="Times New Roman" w:hAnsi="Times New Roman" w:eastAsia="宋体" w:cs="Times New Roman"/>
          <w:color w:val="auto"/>
          <w:sz w:val="24"/>
          <w:szCs w:val="24"/>
        </w:rPr>
        <w:t xml:space="preserve">进港                                 </w:t>
      </w:r>
      <w:r>
        <w:rPr>
          <w:rFonts w:hint="default" w:ascii="Times New Roman" w:hAnsi="Times New Roman" w:eastAsia="宋体" w:cs="Times New Roman"/>
          <w:color w:val="auto"/>
          <w:sz w:val="24"/>
          <w:szCs w:val="24"/>
          <w:lang w:val="en-US" w:eastAsia="zh-CN"/>
        </w:rPr>
        <w:t>船只</w:t>
      </w:r>
      <w:r>
        <w:rPr>
          <w:rFonts w:hint="default" w:ascii="Times New Roman" w:hAnsi="Times New Roman" w:eastAsia="宋体" w:cs="Times New Roman"/>
          <w:color w:val="auto"/>
          <w:sz w:val="24"/>
          <w:szCs w:val="24"/>
        </w:rPr>
        <w:t>出港</w:t>
      </w:r>
    </w:p>
    <w:p w14:paraId="60D9B6D3">
      <w:pPr>
        <w:adjustRightInd w:val="0"/>
        <w:snapToGrid w:val="0"/>
        <w:spacing w:line="192" w:lineRule="auto"/>
        <w:ind w:left="0" w:leftChars="0"/>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3994150</wp:posOffset>
                </wp:positionH>
                <wp:positionV relativeFrom="paragraph">
                  <wp:posOffset>140970</wp:posOffset>
                </wp:positionV>
                <wp:extent cx="708025" cy="10795"/>
                <wp:effectExtent l="0" t="28575" r="15875" b="36830"/>
                <wp:wrapNone/>
                <wp:docPr id="33" name="Line 27"/>
                <wp:cNvGraphicFramePr/>
                <a:graphic xmlns:a="http://schemas.openxmlformats.org/drawingml/2006/main">
                  <a:graphicData uri="http://schemas.microsoft.com/office/word/2010/wordprocessingShape">
                    <wps:wsp>
                      <wps:cNvCnPr>
                        <a:cxnSpLocks noChangeShapeType="1"/>
                      </wps:cNvCnPr>
                      <wps:spPr bwMode="auto">
                        <a:xfrm>
                          <a:off x="0" y="0"/>
                          <a:ext cx="708025" cy="10795"/>
                        </a:xfrm>
                        <a:prstGeom prst="line">
                          <a:avLst/>
                        </a:prstGeom>
                        <a:noFill/>
                        <a:ln w="9525">
                          <a:solidFill>
                            <a:srgbClr val="333333"/>
                          </a:solidFill>
                          <a:round/>
                          <a:tailEnd type="triangle" w="med" len="med"/>
                        </a:ln>
                      </wps:spPr>
                      <wps:bodyPr/>
                    </wps:wsp>
                  </a:graphicData>
                </a:graphic>
              </wp:anchor>
            </w:drawing>
          </mc:Choice>
          <mc:Fallback>
            <w:pict>
              <v:line id="Line 27" o:spid="_x0000_s1026" o:spt="20" style="position:absolute;left:0pt;margin-left:314.5pt;margin-top:11.1pt;height:0.85pt;width:55.75pt;z-index:251664384;mso-width-relative:page;mso-height-relative:page;" filled="f" stroked="t" coordsize="21600,21600" o:gfxdata="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572&#10;49kAAAAJAQAADwAAAAAAAAABACAAAAAiAAAAZHJzL2Rvd25yZXYueG1sUEsBAhQAFAAAAAgAh07i&#10;QEKoLQ/oAQAA0gMAAA4AAAAAAAAAAQAgAAAAKAEAAGRycy9lMm9Eb2MueG1sUEsFBgAAAAAGAAYA&#10;WQEAAIIFAAAAAA==&#10;">
                <v:fill on="f" focussize="0,0"/>
                <v:stroke color="#333333" joinstyle="round" endarrow="block"/>
                <v:imagedata o:title=""/>
                <o:lock v:ext="edit" aspectratio="f"/>
              </v:line>
            </w:pict>
          </mc:Fallback>
        </mc:AlternateContent>
      </w:r>
    </w:p>
    <w:p w14:paraId="1BFA71F1">
      <w:pPr>
        <w:snapToGrid w:val="0"/>
        <w:spacing w:line="360" w:lineRule="auto"/>
        <w:ind w:left="0" w:leftChars="0"/>
        <w:rPr>
          <w:rFonts w:hint="default" w:ascii="Times New Roman" w:hAnsi="Times New Roman" w:eastAsia="宋体" w:cs="Times New Roman"/>
          <w:color w:val="auto"/>
          <w:spacing w:val="8"/>
          <w:sz w:val="28"/>
        </w:rPr>
      </w:pPr>
      <w:r>
        <w:rPr>
          <w:rFonts w:hint="default" w:ascii="Times New Roman" w:hAnsi="Times New Roman" w:eastAsia="宋体" w:cs="Times New Roman"/>
          <w:color w:val="auto"/>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555625</wp:posOffset>
                </wp:positionH>
                <wp:positionV relativeFrom="paragraph">
                  <wp:posOffset>23495</wp:posOffset>
                </wp:positionV>
                <wp:extent cx="899795" cy="0"/>
                <wp:effectExtent l="0" t="38100" r="14605" b="38100"/>
                <wp:wrapNone/>
                <wp:docPr id="34" name="Line 25"/>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333333"/>
                          </a:solidFill>
                          <a:round/>
                          <a:tailEnd type="triangle" w="med" len="med"/>
                        </a:ln>
                      </wps:spPr>
                      <wps:bodyPr/>
                    </wps:wsp>
                  </a:graphicData>
                </a:graphic>
              </wp:anchor>
            </w:drawing>
          </mc:Choice>
          <mc:Fallback>
            <w:pict>
              <v:line id="Line 25" o:spid="_x0000_s1026" o:spt="20" style="position:absolute;left:0pt;margin-left:43.75pt;margin-top:1.85pt;height:0pt;width:70.85pt;z-index:251662336;mso-width-relative:page;mso-height-relative:page;" filled="f" stroked="t" coordsize="21600,21600" o:gfxdata="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KsABrVAAAABgEA&#10;AA8AAAAAAAAAAQAgAAAAIgAAAGRycy9kb3ducmV2LnhtbFBLAQIUABQAAAAIAIdO4kA+3SP85AEA&#10;AM4DAAAOAAAAAAAAAAEAIAAAACQBAABkcnMvZTJvRG9jLnhtbFBLBQYAAAAABgAGAFkBAAB6BQAA&#10;AAA=&#10;">
                <v:fill on="f" focussize="0,0"/>
                <v:stroke color="#333333" joinstyle="round" endarrow="block"/>
                <v:imagedata o:title=""/>
                <o:lock v:ext="edit" aspectratio="f"/>
              </v:line>
            </w:pict>
          </mc:Fallback>
        </mc:AlternateContent>
      </w:r>
      <w:r>
        <w:rPr>
          <w:rFonts w:hint="default" w:ascii="Times New Roman" w:hAnsi="Times New Roman" w:eastAsia="宋体" w:cs="Times New Roman"/>
          <w:color w:val="auto"/>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2198370</wp:posOffset>
                </wp:positionH>
                <wp:positionV relativeFrom="paragraph">
                  <wp:posOffset>23495</wp:posOffset>
                </wp:positionV>
                <wp:extent cx="504825" cy="0"/>
                <wp:effectExtent l="0" t="38100" r="9525" b="38100"/>
                <wp:wrapNone/>
                <wp:docPr id="32" name="Line 26"/>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333333"/>
                          </a:solidFill>
                          <a:round/>
                          <a:tailEnd type="triangle" w="med" len="med"/>
                        </a:ln>
                      </wps:spPr>
                      <wps:bodyPr/>
                    </wps:wsp>
                  </a:graphicData>
                </a:graphic>
              </wp:anchor>
            </w:drawing>
          </mc:Choice>
          <mc:Fallback>
            <w:pict>
              <v:line id="Line 26" o:spid="_x0000_s1026" o:spt="20" style="position:absolute;left:0pt;margin-left:173.1pt;margin-top:1.85pt;height:0pt;width:39.75pt;z-index:251663360;mso-width-relative:page;mso-height-relative:page;" filled="f" stroked="t" coordsize="21600,21600" o:gfxdata="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SPtX9UAAAAHAQAA&#10;DwAAAAAAAAABACAAAAAiAAAAZHJzL2Rvd25yZXYueG1sUEsBAhQAFAAAAAgAh07iQOXnDp3jAQAA&#10;zgMAAA4AAAAAAAAAAQAgAAAAJAEAAGRycy9lMm9Eb2MueG1sUEsFBgAAAAAGAAYAWQEAAHkFAAAA&#10;AA==&#10;">
                <v:fill on="f" focussize="0,0"/>
                <v:stroke color="#333333" joinstyle="round" endarrow="block"/>
                <v:imagedata o:title=""/>
                <o:lock v:ext="edit" aspectratio="f"/>
              </v:line>
            </w:pict>
          </mc:Fallback>
        </mc:AlternateContent>
      </w:r>
    </w:p>
    <w:p w14:paraId="5BF40133">
      <w:pPr>
        <w:pStyle w:val="41"/>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图</w:t>
      </w:r>
      <w:r>
        <w:rPr>
          <w:rFonts w:hint="default" w:ascii="Times New Roman" w:hAnsi="Times New Roman" w:eastAsia="宋体" w:cs="Times New Roman"/>
          <w:b/>
          <w:bCs/>
          <w:color w:val="auto"/>
          <w:lang w:val="en-US" w:eastAsia="zh-CN"/>
        </w:rPr>
        <w:t>3.7-1 工艺流程图</w:t>
      </w:r>
    </w:p>
    <w:p w14:paraId="27D071D6">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岳阳县鹿角交通渔政综合执法码头</w:t>
      </w:r>
      <w:r>
        <w:rPr>
          <w:rFonts w:hint="default" w:ascii="Times New Roman" w:hAnsi="Times New Roman" w:eastAsia="宋体" w:cs="Times New Roman"/>
          <w:color w:val="auto"/>
          <w:sz w:val="24"/>
          <w:szCs w:val="24"/>
        </w:rPr>
        <w:t>作为</w:t>
      </w:r>
      <w:r>
        <w:rPr>
          <w:rFonts w:hint="default" w:ascii="Times New Roman" w:hAnsi="Times New Roman" w:eastAsia="宋体" w:cs="Times New Roman"/>
          <w:color w:val="auto"/>
          <w:sz w:val="24"/>
          <w:szCs w:val="24"/>
          <w:lang w:val="en-US" w:eastAsia="zh-CN"/>
        </w:rPr>
        <w:t>渔政码头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运行作业相对简单，仅有人员流动及简单设备装卸</w:t>
      </w:r>
      <w:r>
        <w:rPr>
          <w:rFonts w:hint="default" w:ascii="Times New Roman" w:hAnsi="Times New Roman" w:eastAsia="宋体" w:cs="Times New Roman"/>
          <w:color w:val="auto"/>
          <w:sz w:val="24"/>
          <w:szCs w:val="24"/>
        </w:rPr>
        <w:t>。</w:t>
      </w:r>
    </w:p>
    <w:p w14:paraId="68F18C29">
      <w:pPr>
        <w:pStyle w:val="3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本项目在正常运营状态下污染物产生环节分析结果见表</w:t>
      </w:r>
      <w:r>
        <w:rPr>
          <w:rFonts w:hint="default" w:ascii="Times New Roman" w:hAnsi="Times New Roman" w:eastAsia="宋体" w:cs="Times New Roman"/>
          <w:color w:val="auto"/>
          <w:sz w:val="24"/>
          <w:szCs w:val="24"/>
          <w:lang w:val="en-US" w:eastAsia="zh-CN"/>
        </w:rPr>
        <w:t>3.7</w:t>
      </w:r>
      <w:r>
        <w:rPr>
          <w:rFonts w:hint="default" w:ascii="Times New Roman" w:hAnsi="Times New Roman" w:eastAsia="宋体" w:cs="Times New Roman"/>
          <w:color w:val="auto"/>
          <w:sz w:val="24"/>
          <w:szCs w:val="24"/>
          <w:lang w:eastAsia="zh-CN"/>
        </w:rPr>
        <w:t>-1。</w:t>
      </w:r>
    </w:p>
    <w:p w14:paraId="3444E8AD">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3.7</w:t>
      </w:r>
      <w:r>
        <w:rPr>
          <w:rFonts w:hint="default" w:ascii="Times New Roman" w:hAnsi="Times New Roman" w:eastAsia="宋体" w:cs="Times New Roman"/>
          <w:color w:val="auto"/>
          <w:sz w:val="24"/>
          <w:szCs w:val="24"/>
        </w:rPr>
        <w:t>-1  营运期污染因子一览表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06"/>
        <w:gridCol w:w="3157"/>
        <w:gridCol w:w="2075"/>
        <w:gridCol w:w="2078"/>
      </w:tblGrid>
      <w:tr w14:paraId="17DD18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tblHeader/>
          <w:jc w:val="center"/>
        </w:trPr>
        <w:tc>
          <w:tcPr>
            <w:tcW w:w="708" w:type="pct"/>
            <w:shd w:val="clear" w:color="auto" w:fill="auto"/>
            <w:noWrap w:val="0"/>
            <w:vAlign w:val="center"/>
          </w:tcPr>
          <w:p w14:paraId="4EFD6EA2">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污染类型</w:t>
            </w:r>
          </w:p>
        </w:tc>
        <w:tc>
          <w:tcPr>
            <w:tcW w:w="1853" w:type="pct"/>
            <w:shd w:val="clear" w:color="auto" w:fill="auto"/>
            <w:noWrap w:val="0"/>
            <w:vAlign w:val="center"/>
          </w:tcPr>
          <w:p w14:paraId="5E4CAADA">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产污环节</w:t>
            </w:r>
          </w:p>
        </w:tc>
        <w:tc>
          <w:tcPr>
            <w:tcW w:w="1218" w:type="pct"/>
            <w:shd w:val="clear" w:color="auto" w:fill="auto"/>
            <w:noWrap w:val="0"/>
            <w:vAlign w:val="center"/>
          </w:tcPr>
          <w:p w14:paraId="65A20393">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主要污染物</w:t>
            </w:r>
          </w:p>
        </w:tc>
        <w:tc>
          <w:tcPr>
            <w:tcW w:w="1219" w:type="pct"/>
            <w:shd w:val="clear" w:color="auto" w:fill="auto"/>
            <w:noWrap w:val="0"/>
            <w:vAlign w:val="center"/>
          </w:tcPr>
          <w:p w14:paraId="6D2B0D6C">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污染类别</w:t>
            </w:r>
          </w:p>
        </w:tc>
      </w:tr>
      <w:tr w14:paraId="07F01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vMerge w:val="restart"/>
            <w:noWrap w:val="0"/>
            <w:vAlign w:val="center"/>
          </w:tcPr>
          <w:p w14:paraId="40BD679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853" w:type="pct"/>
            <w:noWrap w:val="0"/>
            <w:vAlign w:val="center"/>
          </w:tcPr>
          <w:p w14:paraId="288D24C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船舶生活污水</w:t>
            </w:r>
          </w:p>
        </w:tc>
        <w:tc>
          <w:tcPr>
            <w:tcW w:w="1218" w:type="pct"/>
            <w:noWrap w:val="0"/>
            <w:vAlign w:val="center"/>
          </w:tcPr>
          <w:p w14:paraId="6D3F600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COD、SS、氨氮等</w:t>
            </w:r>
          </w:p>
        </w:tc>
        <w:tc>
          <w:tcPr>
            <w:tcW w:w="1219" w:type="pct"/>
            <w:noWrap w:val="0"/>
            <w:vAlign w:val="center"/>
          </w:tcPr>
          <w:p w14:paraId="493089F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船舶废水</w:t>
            </w:r>
          </w:p>
        </w:tc>
      </w:tr>
      <w:tr w14:paraId="773907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vMerge w:val="continue"/>
            <w:noWrap w:val="0"/>
            <w:vAlign w:val="center"/>
          </w:tcPr>
          <w:p w14:paraId="20186125">
            <w:pPr>
              <w:pStyle w:val="41"/>
              <w:bidi w:val="0"/>
              <w:rPr>
                <w:rFonts w:hint="default" w:ascii="Times New Roman" w:hAnsi="Times New Roman" w:eastAsia="宋体" w:cs="Times New Roman"/>
                <w:color w:val="auto"/>
              </w:rPr>
            </w:pPr>
          </w:p>
        </w:tc>
        <w:tc>
          <w:tcPr>
            <w:tcW w:w="1853" w:type="pct"/>
            <w:noWrap w:val="0"/>
            <w:vAlign w:val="center"/>
          </w:tcPr>
          <w:p w14:paraId="4B35B5A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趸船</w:t>
            </w:r>
            <w:r>
              <w:rPr>
                <w:rFonts w:hint="default" w:ascii="Times New Roman" w:hAnsi="Times New Roman" w:eastAsia="宋体" w:cs="Times New Roman"/>
                <w:color w:val="auto"/>
              </w:rPr>
              <w:t>含油废水</w:t>
            </w:r>
          </w:p>
        </w:tc>
        <w:tc>
          <w:tcPr>
            <w:tcW w:w="1218" w:type="pct"/>
            <w:noWrap w:val="0"/>
            <w:vAlign w:val="center"/>
          </w:tcPr>
          <w:p w14:paraId="72FA401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石油类等</w:t>
            </w:r>
          </w:p>
        </w:tc>
        <w:tc>
          <w:tcPr>
            <w:tcW w:w="1219" w:type="pct"/>
            <w:noWrap w:val="0"/>
            <w:vAlign w:val="center"/>
          </w:tcPr>
          <w:p w14:paraId="3A9EC1F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船舶废水</w:t>
            </w:r>
          </w:p>
        </w:tc>
      </w:tr>
      <w:tr w14:paraId="61B58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vMerge w:val="continue"/>
            <w:noWrap w:val="0"/>
            <w:vAlign w:val="center"/>
          </w:tcPr>
          <w:p w14:paraId="431790F7">
            <w:pPr>
              <w:pStyle w:val="41"/>
              <w:bidi w:val="0"/>
              <w:rPr>
                <w:rFonts w:hint="default" w:ascii="Times New Roman" w:hAnsi="Times New Roman" w:eastAsia="宋体" w:cs="Times New Roman"/>
                <w:color w:val="auto"/>
              </w:rPr>
            </w:pPr>
          </w:p>
        </w:tc>
        <w:tc>
          <w:tcPr>
            <w:tcW w:w="1853" w:type="pct"/>
            <w:noWrap w:val="0"/>
            <w:vAlign w:val="center"/>
          </w:tcPr>
          <w:p w14:paraId="1EA9FB0F">
            <w:pPr>
              <w:pStyle w:val="41"/>
              <w:bidi w:val="0"/>
              <w:rPr>
                <w:rFonts w:hint="default" w:ascii="Times New Roman" w:hAnsi="Times New Roman" w:eastAsia="宋体" w:cs="Times New Roman"/>
                <w:color w:val="auto"/>
                <w:kern w:val="0"/>
                <w:sz w:val="21"/>
                <w:szCs w:val="20"/>
              </w:rPr>
            </w:pPr>
            <w:r>
              <w:rPr>
                <w:rFonts w:hint="default" w:ascii="Times New Roman" w:hAnsi="Times New Roman" w:eastAsia="宋体" w:cs="Times New Roman"/>
                <w:color w:val="auto"/>
                <w:lang w:eastAsia="zh-CN"/>
              </w:rPr>
              <w:t>趸船</w:t>
            </w:r>
            <w:r>
              <w:rPr>
                <w:rFonts w:hint="default" w:ascii="Times New Roman" w:hAnsi="Times New Roman" w:eastAsia="宋体" w:cs="Times New Roman"/>
                <w:color w:val="auto"/>
              </w:rPr>
              <w:t>生活污水</w:t>
            </w:r>
          </w:p>
        </w:tc>
        <w:tc>
          <w:tcPr>
            <w:tcW w:w="1218" w:type="pct"/>
            <w:noWrap w:val="0"/>
            <w:vAlign w:val="center"/>
          </w:tcPr>
          <w:p w14:paraId="69C9A35B">
            <w:pPr>
              <w:pStyle w:val="41"/>
              <w:bidi w:val="0"/>
              <w:rPr>
                <w:rFonts w:hint="default" w:ascii="Times New Roman" w:hAnsi="Times New Roman" w:eastAsia="宋体" w:cs="Times New Roman"/>
                <w:color w:val="auto"/>
                <w:kern w:val="0"/>
                <w:sz w:val="21"/>
                <w:szCs w:val="20"/>
              </w:rPr>
            </w:pPr>
            <w:r>
              <w:rPr>
                <w:rFonts w:hint="default" w:ascii="Times New Roman" w:hAnsi="Times New Roman" w:eastAsia="宋体" w:cs="Times New Roman"/>
                <w:color w:val="auto"/>
              </w:rPr>
              <w:t>COD、SS、氨氮等</w:t>
            </w:r>
          </w:p>
        </w:tc>
        <w:tc>
          <w:tcPr>
            <w:tcW w:w="1219" w:type="pct"/>
            <w:noWrap w:val="0"/>
            <w:vAlign w:val="center"/>
          </w:tcPr>
          <w:p w14:paraId="7B2FD432">
            <w:pPr>
              <w:pStyle w:val="41"/>
              <w:bidi w:val="0"/>
              <w:rPr>
                <w:rFonts w:hint="default" w:ascii="Times New Roman" w:hAnsi="Times New Roman" w:eastAsia="宋体" w:cs="Times New Roman"/>
                <w:color w:val="auto"/>
                <w:kern w:val="0"/>
                <w:sz w:val="21"/>
                <w:szCs w:val="20"/>
              </w:rPr>
            </w:pPr>
            <w:r>
              <w:rPr>
                <w:rFonts w:hint="default" w:ascii="Times New Roman" w:hAnsi="Times New Roman" w:eastAsia="宋体" w:cs="Times New Roman"/>
                <w:color w:val="auto"/>
              </w:rPr>
              <w:t>生活污水</w:t>
            </w:r>
          </w:p>
        </w:tc>
      </w:tr>
      <w:tr w14:paraId="1883F7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noWrap w:val="0"/>
            <w:vAlign w:val="center"/>
          </w:tcPr>
          <w:p w14:paraId="6677594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853" w:type="pct"/>
            <w:noWrap w:val="0"/>
            <w:vAlign w:val="center"/>
          </w:tcPr>
          <w:p w14:paraId="7B109F3F">
            <w:pPr>
              <w:pStyle w:val="41"/>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趸船油烟废气</w:t>
            </w:r>
          </w:p>
        </w:tc>
        <w:tc>
          <w:tcPr>
            <w:tcW w:w="1218" w:type="pct"/>
            <w:noWrap w:val="0"/>
            <w:vAlign w:val="center"/>
          </w:tcPr>
          <w:p w14:paraId="60B9BDAE">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油烟</w:t>
            </w:r>
          </w:p>
        </w:tc>
        <w:tc>
          <w:tcPr>
            <w:tcW w:w="1219" w:type="pct"/>
            <w:noWrap w:val="0"/>
            <w:vAlign w:val="center"/>
          </w:tcPr>
          <w:p w14:paraId="69097015">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无组织排放</w:t>
            </w:r>
            <w:r>
              <w:rPr>
                <w:rFonts w:hint="default" w:ascii="Times New Roman" w:hAnsi="Times New Roman" w:eastAsia="宋体" w:cs="Times New Roman"/>
                <w:color w:val="auto"/>
                <w:lang w:eastAsia="zh-CN"/>
              </w:rPr>
              <w:t>废气</w:t>
            </w:r>
          </w:p>
        </w:tc>
      </w:tr>
      <w:tr w14:paraId="7255CF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vMerge w:val="restart"/>
            <w:noWrap w:val="0"/>
            <w:vAlign w:val="center"/>
          </w:tcPr>
          <w:p w14:paraId="0638486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853" w:type="pct"/>
            <w:noWrap w:val="0"/>
            <w:vAlign w:val="center"/>
          </w:tcPr>
          <w:p w14:paraId="5E4E586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船舶交通噪声</w:t>
            </w:r>
          </w:p>
        </w:tc>
        <w:tc>
          <w:tcPr>
            <w:tcW w:w="1218" w:type="pct"/>
            <w:noWrap w:val="0"/>
            <w:vAlign w:val="center"/>
          </w:tcPr>
          <w:p w14:paraId="2C323E6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等效连续A声级</w:t>
            </w:r>
          </w:p>
        </w:tc>
        <w:tc>
          <w:tcPr>
            <w:tcW w:w="1219" w:type="pct"/>
            <w:noWrap w:val="0"/>
            <w:vAlign w:val="center"/>
          </w:tcPr>
          <w:p w14:paraId="4325227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r>
      <w:tr w14:paraId="54BB64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vMerge w:val="continue"/>
            <w:noWrap w:val="0"/>
            <w:vAlign w:val="center"/>
          </w:tcPr>
          <w:p w14:paraId="05FF8160">
            <w:pPr>
              <w:pStyle w:val="41"/>
              <w:bidi w:val="0"/>
              <w:rPr>
                <w:rFonts w:hint="default" w:ascii="Times New Roman" w:hAnsi="Times New Roman" w:eastAsia="宋体" w:cs="Times New Roman"/>
                <w:color w:val="auto"/>
              </w:rPr>
            </w:pPr>
          </w:p>
        </w:tc>
        <w:tc>
          <w:tcPr>
            <w:tcW w:w="1853" w:type="pct"/>
            <w:noWrap w:val="0"/>
            <w:vAlign w:val="center"/>
          </w:tcPr>
          <w:p w14:paraId="6EAE6EE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船舶鸣笛声</w:t>
            </w:r>
          </w:p>
        </w:tc>
        <w:tc>
          <w:tcPr>
            <w:tcW w:w="1218" w:type="pct"/>
            <w:noWrap w:val="0"/>
            <w:vAlign w:val="center"/>
          </w:tcPr>
          <w:p w14:paraId="67B68D5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等效连续A声级</w:t>
            </w:r>
          </w:p>
        </w:tc>
        <w:tc>
          <w:tcPr>
            <w:tcW w:w="1219" w:type="pct"/>
            <w:noWrap w:val="0"/>
            <w:vAlign w:val="center"/>
          </w:tcPr>
          <w:p w14:paraId="722E3AA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r>
      <w:tr w14:paraId="40102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8" w:type="pct"/>
            <w:noWrap w:val="0"/>
            <w:vAlign w:val="center"/>
          </w:tcPr>
          <w:p w14:paraId="38D6224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853" w:type="pct"/>
            <w:noWrap w:val="0"/>
            <w:vAlign w:val="center"/>
          </w:tcPr>
          <w:p w14:paraId="3AC43FB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码头生活垃圾</w:t>
            </w:r>
          </w:p>
        </w:tc>
        <w:tc>
          <w:tcPr>
            <w:tcW w:w="1218" w:type="pct"/>
            <w:noWrap w:val="0"/>
            <w:vAlign w:val="center"/>
          </w:tcPr>
          <w:p w14:paraId="14579A3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1219" w:type="pct"/>
            <w:noWrap w:val="0"/>
            <w:vAlign w:val="center"/>
          </w:tcPr>
          <w:p w14:paraId="682E26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r>
    </w:tbl>
    <w:p w14:paraId="07A41232">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bookmarkStart w:id="462" w:name="_Toc372124943"/>
      <w:bookmarkStart w:id="463" w:name="_Toc31193"/>
      <w:bookmarkStart w:id="464" w:name="_Toc9206"/>
      <w:bookmarkStart w:id="465" w:name="_Toc31201"/>
      <w:bookmarkStart w:id="466" w:name="_Toc24880"/>
      <w:bookmarkStart w:id="467" w:name="_Toc22519"/>
      <w:bookmarkStart w:id="468" w:name="_Toc27151"/>
      <w:bookmarkStart w:id="469" w:name="_Toc24061"/>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b/>
          <w:color w:val="auto"/>
          <w:kern w:val="2"/>
          <w:sz w:val="24"/>
          <w:szCs w:val="24"/>
          <w:lang w:val="en-US" w:eastAsia="zh-CN" w:bidi="ar-SA"/>
        </w:rPr>
        <w:t>.7.3施工期工程污染源分析</w:t>
      </w:r>
      <w:bookmarkEnd w:id="462"/>
      <w:bookmarkEnd w:id="463"/>
      <w:bookmarkEnd w:id="464"/>
      <w:bookmarkEnd w:id="465"/>
      <w:bookmarkEnd w:id="466"/>
      <w:bookmarkEnd w:id="467"/>
      <w:bookmarkEnd w:id="468"/>
      <w:bookmarkEnd w:id="469"/>
    </w:p>
    <w:p w14:paraId="213E86B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项目施工期为</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0d），施工内容主要为</w:t>
      </w:r>
      <w:r>
        <w:rPr>
          <w:rFonts w:hint="default" w:ascii="Times New Roman" w:hAnsi="Times New Roman" w:eastAsia="宋体" w:cs="Times New Roman"/>
          <w:color w:val="auto"/>
          <w:sz w:val="24"/>
          <w:szCs w:val="24"/>
          <w:lang w:eastAsia="zh-CN"/>
        </w:rPr>
        <w:t>趸船安装定位、</w:t>
      </w:r>
      <w:r>
        <w:rPr>
          <w:rFonts w:hint="default" w:ascii="Times New Roman" w:hAnsi="Times New Roman" w:eastAsia="宋体" w:cs="Times New Roman"/>
          <w:color w:val="auto"/>
          <w:sz w:val="24"/>
          <w:szCs w:val="24"/>
          <w:lang w:val="en-US" w:eastAsia="zh-CN"/>
        </w:rPr>
        <w:t>码头修复</w:t>
      </w:r>
      <w:r>
        <w:rPr>
          <w:rFonts w:hint="default" w:ascii="Times New Roman" w:hAnsi="Times New Roman" w:eastAsia="宋体" w:cs="Times New Roman"/>
          <w:color w:val="auto"/>
          <w:sz w:val="24"/>
          <w:szCs w:val="24"/>
          <w:lang w:eastAsia="zh-CN"/>
        </w:rPr>
        <w:t>、钢引桥安装、</w:t>
      </w:r>
      <w:r>
        <w:rPr>
          <w:rFonts w:hint="default" w:ascii="Times New Roman" w:hAnsi="Times New Roman" w:eastAsia="宋体" w:cs="Times New Roman"/>
          <w:color w:val="auto"/>
          <w:sz w:val="24"/>
          <w:szCs w:val="24"/>
          <w:lang w:val="en-US" w:eastAsia="zh-CN"/>
        </w:rPr>
        <w:t>道路修复</w:t>
      </w:r>
      <w:r>
        <w:rPr>
          <w:rFonts w:hint="default" w:ascii="Times New Roman" w:hAnsi="Times New Roman" w:eastAsia="宋体" w:cs="Times New Roman"/>
          <w:color w:val="auto"/>
          <w:sz w:val="24"/>
          <w:szCs w:val="24"/>
        </w:rPr>
        <w:t>。</w:t>
      </w:r>
    </w:p>
    <w:p w14:paraId="4229735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施工人员按20人/d计（不在施工现场食宿）。施工期主要产生废气、废水、噪声、固废等污染，施工期环境污染只是短期影响，随着工程竣工影响基本消除。</w:t>
      </w:r>
    </w:p>
    <w:p w14:paraId="47330FD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过程中的污染源及污染物，由于面广且大多为无组织排放，加上受施工方式和设备等的制约，污染源及污染的随机性、波动性也较大，目前亦缺乏系统全面反映施工过程排污的统计资料和确定方法。因此，根据工程进展状况，结合国内类似环评中采取的一些方法，本评价对本项目施工过程中的污染源及污染物排放将采用以下原则与方法确定：</w:t>
      </w:r>
    </w:p>
    <w:p w14:paraId="1241C43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kern w:val="0"/>
          <w:sz w:val="24"/>
          <w:szCs w:val="24"/>
        </w:rPr>
        <w:t>用现有典型施工场的有关监测资料；</w:t>
      </w:r>
    </w:p>
    <w:p w14:paraId="40124AB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（2）结合本项目在施工方式与施工工艺、机械等方面的实际，类比相似工程施工过程排污进行估算。</w:t>
      </w:r>
    </w:p>
    <w:p w14:paraId="1DE2634D">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3.7.3.1施工期废水</w:t>
      </w:r>
    </w:p>
    <w:p w14:paraId="4868E35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kern w:val="0"/>
          <w:sz w:val="24"/>
          <w:lang w:val="en-US" w:eastAsia="zh-CN"/>
        </w:rPr>
        <w:t>本项目码头建设不需对码头前沿进行疏浚作业，</w:t>
      </w:r>
      <w:r>
        <w:rPr>
          <w:rFonts w:hint="default" w:ascii="Times New Roman" w:hAnsi="Times New Roman" w:eastAsia="宋体" w:cs="Times New Roman"/>
          <w:color w:val="auto"/>
          <w:kern w:val="0"/>
          <w:sz w:val="24"/>
        </w:rPr>
        <w:t>施工期水污染源包括施工</w:t>
      </w:r>
      <w:r>
        <w:rPr>
          <w:rFonts w:hint="default" w:ascii="Times New Roman" w:hAnsi="Times New Roman" w:eastAsia="宋体" w:cs="Times New Roman"/>
          <w:color w:val="auto"/>
          <w:kern w:val="0"/>
          <w:sz w:val="24"/>
          <w:lang w:val="en-US" w:eastAsia="zh-CN"/>
        </w:rPr>
        <w:t>产生</w:t>
      </w:r>
      <w:r>
        <w:rPr>
          <w:rFonts w:hint="default" w:ascii="Times New Roman" w:hAnsi="Times New Roman" w:eastAsia="宋体" w:cs="Times New Roman"/>
          <w:color w:val="auto"/>
          <w:kern w:val="0"/>
          <w:sz w:val="24"/>
        </w:rPr>
        <w:t>废水</w:t>
      </w:r>
      <w:r>
        <w:rPr>
          <w:rFonts w:hint="eastAsia" w:cs="Times New Roman"/>
          <w:color w:val="auto"/>
          <w:kern w:val="0"/>
          <w:sz w:val="24"/>
          <w:lang w:eastAsia="zh-CN"/>
        </w:rPr>
        <w:t>、</w:t>
      </w:r>
      <w:r>
        <w:rPr>
          <w:rFonts w:hint="eastAsia" w:cs="Times New Roman"/>
          <w:color w:val="auto"/>
          <w:kern w:val="0"/>
          <w:sz w:val="24"/>
          <w:lang w:val="en-US" w:eastAsia="zh-CN"/>
        </w:rPr>
        <w:t>施工船舶污水、</w:t>
      </w:r>
      <w:r>
        <w:rPr>
          <w:rFonts w:hint="default" w:ascii="Times New Roman" w:hAnsi="Times New Roman" w:eastAsia="宋体" w:cs="Times New Roman"/>
          <w:color w:val="auto"/>
          <w:kern w:val="0"/>
          <w:sz w:val="24"/>
        </w:rPr>
        <w:t>码头施工生活污水</w:t>
      </w:r>
      <w:r>
        <w:rPr>
          <w:rFonts w:hint="eastAsia" w:cs="Times New Roman"/>
          <w:color w:val="auto"/>
          <w:kern w:val="0"/>
          <w:sz w:val="24"/>
          <w:lang w:val="en-US" w:eastAsia="zh-CN"/>
        </w:rPr>
        <w:t>以及连接平台的建设在海域钻孔灌注桩会造成海域局部悬浮物浓度增加</w:t>
      </w:r>
      <w:r>
        <w:rPr>
          <w:rFonts w:hint="default" w:ascii="Times New Roman" w:hAnsi="Times New Roman" w:eastAsia="宋体" w:cs="Times New Roman"/>
          <w:color w:val="auto"/>
          <w:kern w:val="0"/>
          <w:sz w:val="24"/>
        </w:rPr>
        <w:t>。</w:t>
      </w:r>
    </w:p>
    <w:p w14:paraId="162CD53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（1）施工场地废水</w:t>
      </w:r>
    </w:p>
    <w:p w14:paraId="48DBDED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道路修复、码头修复</w:t>
      </w:r>
      <w:r>
        <w:rPr>
          <w:rFonts w:hint="default" w:ascii="Times New Roman" w:hAnsi="Times New Roman" w:eastAsia="宋体" w:cs="Times New Roman"/>
          <w:color w:val="auto"/>
          <w:sz w:val="24"/>
        </w:rPr>
        <w:t>施工过程中，会产生少量泥浆水，施工机械跑冒、滴、漏的污油及露天机械受雨水冲刷后产生的油水污染，废水量较小，约</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/d，污水中成分较为简单，一般为SS和少量石油类，采用隔油池、沉淀池处理后用于场地洒水抑尘或施工机械冲洗废水，不外排。</w:t>
      </w:r>
    </w:p>
    <w:p w14:paraId="17B1991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此外，施工机械冲洗会产生少量冲洗废水，施工机械按</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部计，每部冲洗水量按500L计，每天冲洗1次，则施工机械冲洗废水产生量为</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/d。参考《公路建设项目环境影响评价规范》（JBG-B03-2006）冲洗汽车污水成分参考值，施工机械废水的主要污染物浓度为COD</w:t>
      </w:r>
      <w:r>
        <w:rPr>
          <w:rFonts w:hint="default" w:ascii="Times New Roman" w:hAnsi="Times New Roman" w:eastAsia="宋体" w:cs="Times New Roman"/>
          <w:color w:val="auto"/>
          <w:sz w:val="24"/>
          <w:vertAlign w:val="subscript"/>
          <w:lang w:val="en-US" w:eastAsia="zh-CN"/>
        </w:rPr>
        <w:t>Cr</w:t>
      </w:r>
      <w:r>
        <w:rPr>
          <w:rFonts w:hint="default" w:ascii="Times New Roman" w:hAnsi="Times New Roman" w:eastAsia="宋体" w:cs="Times New Roman"/>
          <w:color w:val="auto"/>
          <w:sz w:val="24"/>
        </w:rPr>
        <w:t>200mg/L、SS2000mg/L、石油类30mg/L，采用隔油池、沉淀池处理后用于场地洒水抑尘或施工机械冲洗废水，不外排。</w:t>
      </w:r>
    </w:p>
    <w:p w14:paraId="3CDA8FD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）施工船舶污水</w:t>
      </w:r>
    </w:p>
    <w:p w14:paraId="6E0ED79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eastAsia="zh-CN"/>
        </w:rPr>
      </w:pPr>
      <w:r>
        <w:rPr>
          <w:rFonts w:hint="eastAsia" w:cs="Times New Roman"/>
          <w:color w:val="auto"/>
          <w:sz w:val="24"/>
          <w:lang w:eastAsia="zh-CN"/>
        </w:rPr>
        <w:t>根据《水运工程环境保护设计规范》（JTS149-2018），</w:t>
      </w:r>
      <w:r>
        <w:rPr>
          <w:rFonts w:hint="eastAsia" w:cs="Times New Roman"/>
          <w:color w:val="auto"/>
          <w:sz w:val="24"/>
          <w:lang w:val="en-US" w:eastAsia="zh-CN"/>
        </w:rPr>
        <w:t>500</w:t>
      </w:r>
      <w:r>
        <w:rPr>
          <w:rFonts w:hint="eastAsia" w:cs="Times New Roman"/>
          <w:color w:val="auto"/>
          <w:sz w:val="24"/>
          <w:lang w:eastAsia="zh-CN"/>
        </w:rPr>
        <w:t>吨级船舶舱底油污水水量为</w:t>
      </w:r>
      <w:r>
        <w:rPr>
          <w:rFonts w:hint="eastAsia" w:cs="Times New Roman"/>
          <w:color w:val="auto"/>
          <w:sz w:val="24"/>
          <w:lang w:val="en-US" w:eastAsia="zh-CN"/>
        </w:rPr>
        <w:t>0.14</w:t>
      </w:r>
      <w:r>
        <w:rPr>
          <w:rFonts w:hint="eastAsia" w:cs="Times New Roman"/>
          <w:color w:val="auto"/>
          <w:sz w:val="24"/>
          <w:lang w:eastAsia="zh-CN"/>
        </w:rPr>
        <w:t>t/d•艘，本项目施工船舶为</w:t>
      </w:r>
      <w:r>
        <w:rPr>
          <w:rFonts w:hint="eastAsia" w:cs="Times New Roman"/>
          <w:color w:val="auto"/>
          <w:sz w:val="24"/>
          <w:lang w:val="en-US" w:eastAsia="zh-CN"/>
        </w:rPr>
        <w:t>500</w:t>
      </w:r>
      <w:r>
        <w:rPr>
          <w:rFonts w:hint="eastAsia" w:cs="Times New Roman"/>
          <w:color w:val="auto"/>
          <w:sz w:val="24"/>
          <w:lang w:eastAsia="zh-CN"/>
        </w:rPr>
        <w:t>吨级，</w:t>
      </w:r>
      <w:r>
        <w:rPr>
          <w:rFonts w:hint="eastAsia" w:cs="Times New Roman"/>
          <w:color w:val="auto"/>
          <w:sz w:val="24"/>
          <w:lang w:val="en-US" w:eastAsia="zh-CN"/>
        </w:rPr>
        <w:t>本项目设置1艘</w:t>
      </w:r>
      <w:r>
        <w:rPr>
          <w:rFonts w:hint="eastAsia" w:cs="Times New Roman"/>
          <w:color w:val="auto"/>
          <w:sz w:val="24"/>
          <w:lang w:eastAsia="zh-CN"/>
        </w:rPr>
        <w:t>施工船舶，</w:t>
      </w:r>
      <w:r>
        <w:rPr>
          <w:rFonts w:hint="eastAsia" w:cs="Times New Roman"/>
          <w:color w:val="auto"/>
          <w:sz w:val="24"/>
          <w:lang w:val="en-US" w:eastAsia="zh-CN"/>
        </w:rPr>
        <w:t>经</w:t>
      </w:r>
      <w:r>
        <w:rPr>
          <w:rFonts w:hint="eastAsia" w:cs="Times New Roman"/>
          <w:color w:val="auto"/>
          <w:sz w:val="24"/>
          <w:lang w:eastAsia="zh-CN"/>
        </w:rPr>
        <w:t>施工船舶舱底油污水产生量约为0.</w:t>
      </w:r>
      <w:r>
        <w:rPr>
          <w:rFonts w:hint="eastAsia" w:cs="Times New Roman"/>
          <w:color w:val="auto"/>
          <w:sz w:val="24"/>
          <w:lang w:val="en-US" w:eastAsia="zh-CN"/>
        </w:rPr>
        <w:t>14</w:t>
      </w:r>
      <w:r>
        <w:rPr>
          <w:rFonts w:hint="eastAsia" w:cs="Times New Roman"/>
          <w:color w:val="auto"/>
          <w:sz w:val="24"/>
          <w:lang w:eastAsia="zh-CN"/>
        </w:rPr>
        <w:t>t/d，施工期共产生舱底油污水</w:t>
      </w:r>
      <w:r>
        <w:rPr>
          <w:rFonts w:hint="eastAsia" w:cs="Times New Roman"/>
          <w:color w:val="auto"/>
          <w:sz w:val="24"/>
          <w:lang w:val="en-US" w:eastAsia="zh-CN"/>
        </w:rPr>
        <w:t>25.2</w:t>
      </w:r>
      <w:r>
        <w:rPr>
          <w:rFonts w:hint="eastAsia" w:cs="Times New Roman"/>
          <w:color w:val="auto"/>
          <w:sz w:val="24"/>
          <w:lang w:eastAsia="zh-CN"/>
        </w:rPr>
        <w:t>t。污水中石油类平均浓度为5000mg/L，石油类产生量为2.7kg/d，根据规定，船舶舱底油污水需经自带的油水分离器处理，石油类的浓度不大于15mg/L，不得在码头所在江段排放。本项目船舶生活污水经船主收集送海事部门指定单位收集并负责处理。建设单位在施工招标时，应明确施工单位落实船舶油污水处理责任。</w:t>
      </w:r>
    </w:p>
    <w:p w14:paraId="117B019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3</w:t>
      </w:r>
      <w:r>
        <w:rPr>
          <w:rFonts w:hint="eastAsia" w:cs="Times New Roman"/>
          <w:color w:val="auto"/>
          <w:sz w:val="24"/>
          <w:lang w:eastAsia="zh-CN"/>
        </w:rPr>
        <w:t>）码头施工河底扰动</w:t>
      </w:r>
    </w:p>
    <w:p w14:paraId="1D36EDF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经核实，本项目趸船泊位现状泥面高程能够满足设计代表船型靠泊及回旋要求，因此无需疏浚。本工程码头平台采用Φ1000mm钢管桩，引桥采用Φ1300mm钻孔灌注桩。水下打桩施工对水环境的影响主要是造成水体中悬浮物浓度增加，水下打桩施工的影响范围呈椭圆形，引起施工水域内的悬浮物浓度增加，造成水质浑浊，进而影响浮游植物的光合作用和浮游动物的觅食。根据调查，打桩施工造成悬浮物浓度增加值超过10mg/L的范围为沿水流方向长约100~250m，垂直岸边宽50~100m，打桩施工引起的悬浮物对地表水环境影响范围有限，对水体影响范围在施工点300m以内，持续时间短，施工结束后这种影响也不复存在，对水质影响轻微。总体而言，码头施工对水生生态的影响很小。</w:t>
      </w:r>
    </w:p>
    <w:p w14:paraId="489DCBE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cs="Times New Roman"/>
          <w:color w:val="auto"/>
          <w:sz w:val="24"/>
          <w:lang w:val="en-US" w:eastAsia="zh-CN"/>
        </w:rPr>
        <w:t>4</w:t>
      </w:r>
      <w:r>
        <w:rPr>
          <w:rFonts w:hint="default" w:ascii="Times New Roman" w:hAnsi="Times New Roman" w:eastAsia="宋体" w:cs="Times New Roman"/>
          <w:color w:val="auto"/>
          <w:sz w:val="24"/>
        </w:rPr>
        <w:t>）施工生活污水</w:t>
      </w:r>
    </w:p>
    <w:p w14:paraId="36DB509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施工人员生活用水量取120L/人•d，污水排放系数取0.8，污染物浓度取COD取400mg/L、BOD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取200mg/L、氨氮浓度取40mg/L、SS取300mg/L。施工高峰期施工人数约20人。施工不设施工营地，</w:t>
      </w:r>
      <w:r>
        <w:rPr>
          <w:rFonts w:hint="default" w:ascii="Times New Roman" w:hAnsi="Times New Roman" w:eastAsia="宋体" w:cs="Times New Roman"/>
          <w:color w:val="auto"/>
          <w:sz w:val="24"/>
          <w:lang w:eastAsia="zh-CN"/>
        </w:rPr>
        <w:t>施工人员日常生活所需依托</w:t>
      </w:r>
      <w:r>
        <w:rPr>
          <w:rFonts w:hint="default" w:ascii="Times New Roman" w:hAnsi="Times New Roman" w:eastAsia="宋体" w:cs="Times New Roman"/>
          <w:color w:val="auto"/>
          <w:sz w:val="24"/>
          <w:lang w:val="en-US" w:eastAsia="zh-CN"/>
        </w:rPr>
        <w:t>区域化粪池处理后用于周边农田、菜地施肥</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全部综合利用。</w:t>
      </w:r>
    </w:p>
    <w:p w14:paraId="4F4D732C">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3.7.2</w:t>
      </w:r>
      <w:r>
        <w:rPr>
          <w:rFonts w:hint="default" w:ascii="Times New Roman" w:hAnsi="Times New Roman" w:eastAsia="宋体" w:cs="Times New Roman"/>
          <w:color w:val="auto"/>
          <w:sz w:val="24"/>
          <w:szCs w:val="24"/>
        </w:rPr>
        <w:t xml:space="preserve">  施工期生活废水污染物产生情况表</w:t>
      </w:r>
    </w:p>
    <w:tbl>
      <w:tblPr>
        <w:tblStyle w:val="29"/>
        <w:tblpPr w:leftFromText="180" w:rightFromText="180" w:vertAnchor="text" w:tblpXSpec="center" w:tblpY="1"/>
        <w:tblOverlap w:val="never"/>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73"/>
        <w:gridCol w:w="857"/>
        <w:gridCol w:w="761"/>
        <w:gridCol w:w="667"/>
        <w:gridCol w:w="761"/>
        <w:gridCol w:w="667"/>
        <w:gridCol w:w="761"/>
        <w:gridCol w:w="667"/>
        <w:gridCol w:w="761"/>
        <w:gridCol w:w="668"/>
        <w:gridCol w:w="877"/>
      </w:tblGrid>
      <w:tr w14:paraId="15DD67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0" w:type="pct"/>
            <w:vMerge w:val="restart"/>
            <w:noWrap w:val="0"/>
            <w:vAlign w:val="center"/>
          </w:tcPr>
          <w:p w14:paraId="15459DB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521" w:type="pct"/>
            <w:noWrap w:val="0"/>
            <w:vAlign w:val="center"/>
          </w:tcPr>
          <w:p w14:paraId="4D9CDE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水量</w:t>
            </w:r>
          </w:p>
        </w:tc>
        <w:tc>
          <w:tcPr>
            <w:tcW w:w="869" w:type="pct"/>
            <w:gridSpan w:val="2"/>
            <w:noWrap w:val="0"/>
            <w:vAlign w:val="center"/>
          </w:tcPr>
          <w:p w14:paraId="7C6FDDDF">
            <w:pPr>
              <w:pStyle w:val="41"/>
              <w:bidi w:val="0"/>
              <w:rPr>
                <w:rFonts w:hint="default" w:ascii="Times New Roman" w:hAnsi="Times New Roman" w:eastAsia="宋体" w:cs="Times New Roman"/>
                <w:color w:val="auto"/>
                <w:vertAlign w:val="subscript"/>
                <w:lang w:val="en-US" w:eastAsia="zh-CN"/>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lang w:val="en-US" w:eastAsia="zh-CN"/>
              </w:rPr>
              <w:t>Cr</w:t>
            </w:r>
          </w:p>
        </w:tc>
        <w:tc>
          <w:tcPr>
            <w:tcW w:w="869" w:type="pct"/>
            <w:gridSpan w:val="2"/>
            <w:noWrap w:val="0"/>
            <w:vAlign w:val="center"/>
          </w:tcPr>
          <w:p w14:paraId="15E04F5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869" w:type="pct"/>
            <w:gridSpan w:val="2"/>
            <w:noWrap w:val="0"/>
            <w:vAlign w:val="center"/>
          </w:tcPr>
          <w:p w14:paraId="37153CF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869" w:type="pct"/>
            <w:gridSpan w:val="2"/>
            <w:noWrap w:val="0"/>
            <w:vAlign w:val="center"/>
          </w:tcPr>
          <w:p w14:paraId="5B76F28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533" w:type="pct"/>
            <w:vMerge w:val="restart"/>
            <w:noWrap w:val="0"/>
            <w:vAlign w:val="center"/>
          </w:tcPr>
          <w:p w14:paraId="2E32201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处理</w:t>
            </w:r>
          </w:p>
          <w:p w14:paraId="0AF8C43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方式</w:t>
            </w:r>
          </w:p>
        </w:tc>
      </w:tr>
      <w:tr w14:paraId="6A4D9B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0" w:type="pct"/>
            <w:vMerge w:val="continue"/>
            <w:noWrap w:val="0"/>
            <w:vAlign w:val="center"/>
          </w:tcPr>
          <w:p w14:paraId="57D1C2FB">
            <w:pPr>
              <w:pStyle w:val="41"/>
              <w:bidi w:val="0"/>
              <w:rPr>
                <w:rFonts w:hint="default" w:ascii="Times New Roman" w:hAnsi="Times New Roman" w:eastAsia="宋体" w:cs="Times New Roman"/>
                <w:color w:val="auto"/>
              </w:rPr>
            </w:pPr>
          </w:p>
        </w:tc>
        <w:tc>
          <w:tcPr>
            <w:tcW w:w="521" w:type="pct"/>
            <w:noWrap w:val="0"/>
            <w:vAlign w:val="center"/>
          </w:tcPr>
          <w:p w14:paraId="6975243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tc>
        <w:tc>
          <w:tcPr>
            <w:tcW w:w="463" w:type="pct"/>
            <w:noWrap w:val="0"/>
            <w:vAlign w:val="center"/>
          </w:tcPr>
          <w:p w14:paraId="6BD9680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06" w:type="pct"/>
            <w:noWrap w:val="0"/>
            <w:vAlign w:val="center"/>
          </w:tcPr>
          <w:p w14:paraId="3C7AE6A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kg/d</w:t>
            </w:r>
          </w:p>
        </w:tc>
        <w:tc>
          <w:tcPr>
            <w:tcW w:w="463" w:type="pct"/>
            <w:noWrap w:val="0"/>
            <w:vAlign w:val="center"/>
          </w:tcPr>
          <w:p w14:paraId="4A2778A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06" w:type="pct"/>
            <w:noWrap w:val="0"/>
            <w:vAlign w:val="center"/>
          </w:tcPr>
          <w:p w14:paraId="1509FB6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kg/d</w:t>
            </w:r>
          </w:p>
        </w:tc>
        <w:tc>
          <w:tcPr>
            <w:tcW w:w="463" w:type="pct"/>
            <w:noWrap w:val="0"/>
            <w:vAlign w:val="center"/>
          </w:tcPr>
          <w:p w14:paraId="589BC09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06" w:type="pct"/>
            <w:noWrap w:val="0"/>
            <w:vAlign w:val="center"/>
          </w:tcPr>
          <w:p w14:paraId="4E783DF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kg/d</w:t>
            </w:r>
          </w:p>
        </w:tc>
        <w:tc>
          <w:tcPr>
            <w:tcW w:w="463" w:type="pct"/>
            <w:noWrap w:val="0"/>
            <w:vAlign w:val="center"/>
          </w:tcPr>
          <w:p w14:paraId="0D15DEB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mg/L</w:t>
            </w:r>
          </w:p>
        </w:tc>
        <w:tc>
          <w:tcPr>
            <w:tcW w:w="406" w:type="pct"/>
            <w:noWrap w:val="0"/>
            <w:vAlign w:val="center"/>
          </w:tcPr>
          <w:p w14:paraId="01B8D7D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kg/d</w:t>
            </w:r>
          </w:p>
        </w:tc>
        <w:tc>
          <w:tcPr>
            <w:tcW w:w="533" w:type="pct"/>
            <w:vMerge w:val="continue"/>
            <w:noWrap w:val="0"/>
            <w:vAlign w:val="center"/>
          </w:tcPr>
          <w:p w14:paraId="2B61B483">
            <w:pPr>
              <w:pStyle w:val="41"/>
              <w:bidi w:val="0"/>
              <w:rPr>
                <w:rFonts w:hint="default" w:ascii="Times New Roman" w:hAnsi="Times New Roman" w:eastAsia="宋体" w:cs="Times New Roman"/>
                <w:color w:val="auto"/>
              </w:rPr>
            </w:pPr>
          </w:p>
        </w:tc>
      </w:tr>
      <w:tr w14:paraId="66D66F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0" w:type="pct"/>
            <w:noWrap w:val="0"/>
            <w:vAlign w:val="center"/>
          </w:tcPr>
          <w:p w14:paraId="42E5A00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521" w:type="pct"/>
            <w:noWrap w:val="0"/>
            <w:vAlign w:val="center"/>
          </w:tcPr>
          <w:p w14:paraId="5966471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1.9</w:t>
            </w:r>
          </w:p>
        </w:tc>
        <w:tc>
          <w:tcPr>
            <w:tcW w:w="463" w:type="pct"/>
            <w:noWrap w:val="0"/>
            <w:vAlign w:val="center"/>
          </w:tcPr>
          <w:p w14:paraId="3175066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400</w:t>
            </w:r>
          </w:p>
        </w:tc>
        <w:tc>
          <w:tcPr>
            <w:tcW w:w="406" w:type="pct"/>
            <w:noWrap w:val="0"/>
            <w:vAlign w:val="center"/>
          </w:tcPr>
          <w:p w14:paraId="2BEEEE6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0.96</w:t>
            </w:r>
          </w:p>
        </w:tc>
        <w:tc>
          <w:tcPr>
            <w:tcW w:w="463" w:type="pct"/>
            <w:noWrap w:val="0"/>
            <w:vAlign w:val="center"/>
          </w:tcPr>
          <w:p w14:paraId="4A946DB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c>
          <w:tcPr>
            <w:tcW w:w="406" w:type="pct"/>
            <w:noWrap w:val="0"/>
            <w:vAlign w:val="center"/>
          </w:tcPr>
          <w:p w14:paraId="5ABB01D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0.48</w:t>
            </w:r>
          </w:p>
        </w:tc>
        <w:tc>
          <w:tcPr>
            <w:tcW w:w="463" w:type="pct"/>
            <w:noWrap w:val="0"/>
            <w:vAlign w:val="center"/>
          </w:tcPr>
          <w:p w14:paraId="6BA13B6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300</w:t>
            </w:r>
          </w:p>
        </w:tc>
        <w:tc>
          <w:tcPr>
            <w:tcW w:w="406" w:type="pct"/>
            <w:noWrap w:val="0"/>
            <w:vAlign w:val="center"/>
          </w:tcPr>
          <w:p w14:paraId="274F30A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0.72</w:t>
            </w:r>
          </w:p>
        </w:tc>
        <w:tc>
          <w:tcPr>
            <w:tcW w:w="463" w:type="pct"/>
            <w:noWrap w:val="0"/>
            <w:vAlign w:val="center"/>
          </w:tcPr>
          <w:p w14:paraId="4385794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406" w:type="pct"/>
            <w:noWrap w:val="0"/>
            <w:vAlign w:val="center"/>
          </w:tcPr>
          <w:p w14:paraId="321F465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c>
          <w:tcPr>
            <w:tcW w:w="533" w:type="pct"/>
            <w:noWrap w:val="0"/>
            <w:vAlign w:val="center"/>
          </w:tcPr>
          <w:p w14:paraId="203A7B84">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综合利用</w:t>
            </w:r>
          </w:p>
        </w:tc>
      </w:tr>
    </w:tbl>
    <w:p w14:paraId="074A449F">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3.7.3.2 施工废气</w:t>
      </w:r>
    </w:p>
    <w:p w14:paraId="61C81F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使用商品混凝土，现场不设拌合站。施工期废气主要是各种施工机械、运输车辆产生的扬尘、临时建筑材料堆场在空气作用下的起尘，此外，还有施工机械、运输车辆排放的尾气等，废气中的污染物主要为CO、HC（碳氢化合物）、NOx和TSP。</w:t>
      </w:r>
    </w:p>
    <w:p w14:paraId="0C370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①施工扬尘</w:t>
      </w:r>
    </w:p>
    <w:p w14:paraId="4EFC3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码头施工期间的岸坡修整、建材装卸等产生的施工扬尘会使周围大气中的悬浮微粒浓度增加，局部地区污染加剧。根据同类工地现场监测，施工作业场地附近地面粉尘浓度可达1.5mg/m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~30mg/m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，距离施工现场约200m外的TSP浓度一般低于0.5mg/m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347EBB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②运输扬尘</w:t>
      </w:r>
    </w:p>
    <w:p w14:paraId="31746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据有关文献资料介绍，施工车辆行驶产生的施工道路扬尘占总扬尘量的60%以上。车辆行驶产生的扬尘，在完全干燥情况下，可按下列经验公式计算。</w:t>
      </w:r>
    </w:p>
    <w:p w14:paraId="73113C10">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0"/>
          <w:sz w:val="24"/>
        </w:rPr>
        <w:object>
          <v:shape id="_x0000_i1026" o:spt="75" type="#_x0000_t75" style="height:19pt;width:181pt;" o:ole="t" filled="f" o:preferrelative="t" stroked="f" coordsize="21600,21600">
            <v:path/>
            <v:fill on="f" alignshape="1"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537B60E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式中：Q——车辆行驶产生的扬尘，kg/km；</w:t>
      </w:r>
    </w:p>
    <w:p w14:paraId="129ED2F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V——车辆行驶速度，km/h；</w:t>
      </w:r>
    </w:p>
    <w:p w14:paraId="15AD41F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W——车辆载重量，t；</w:t>
      </w:r>
    </w:p>
    <w:p w14:paraId="4D99CB4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P——道路表面粉尘量，kg/m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14:paraId="5EAC4E0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本项目施工现场以单辆车行驶产生的扬尘量计算源强，结果见</w:t>
      </w:r>
      <w:r>
        <w:rPr>
          <w:rFonts w:hint="default" w:ascii="Times New Roman" w:hAnsi="Times New Roman" w:eastAsia="宋体" w:cs="Times New Roman"/>
          <w:color w:val="auto"/>
          <w:kern w:val="0"/>
          <w:sz w:val="24"/>
          <w:lang w:val="en-US" w:eastAsia="zh-CN"/>
        </w:rPr>
        <w:t>下表</w:t>
      </w:r>
      <w:r>
        <w:rPr>
          <w:rFonts w:hint="default" w:ascii="Times New Roman" w:hAnsi="Times New Roman" w:eastAsia="宋体" w:cs="Times New Roman"/>
          <w:color w:val="auto"/>
          <w:kern w:val="0"/>
          <w:sz w:val="24"/>
        </w:rPr>
        <w:t>。</w:t>
      </w:r>
    </w:p>
    <w:p w14:paraId="65CD6D78">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单辆运输车辆产生的扬尘计算结果表</w:t>
      </w:r>
    </w:p>
    <w:tbl>
      <w:tblPr>
        <w:tblStyle w:val="29"/>
        <w:tblpPr w:leftFromText="180" w:rightFromText="180" w:vertAnchor="text" w:tblpXSpec="center" w:tblpY="1"/>
        <w:tblOverlap w:val="never"/>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1673"/>
        <w:gridCol w:w="1673"/>
        <w:gridCol w:w="1674"/>
        <w:gridCol w:w="1674"/>
      </w:tblGrid>
      <w:tr w14:paraId="66F54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28" w:type="pct"/>
            <w:noWrap w:val="0"/>
            <w:vAlign w:val="center"/>
          </w:tcPr>
          <w:p w14:paraId="551D50E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参数</w:t>
            </w:r>
          </w:p>
        </w:tc>
        <w:tc>
          <w:tcPr>
            <w:tcW w:w="1017" w:type="pct"/>
            <w:noWrap w:val="0"/>
            <w:vAlign w:val="center"/>
          </w:tcPr>
          <w:p w14:paraId="5C3E95D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Q（kg/km）</w:t>
            </w:r>
          </w:p>
        </w:tc>
        <w:tc>
          <w:tcPr>
            <w:tcW w:w="1017" w:type="pct"/>
            <w:noWrap w:val="0"/>
            <w:vAlign w:val="center"/>
          </w:tcPr>
          <w:p w14:paraId="11210FF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V（km/h）</w:t>
            </w:r>
          </w:p>
        </w:tc>
        <w:tc>
          <w:tcPr>
            <w:tcW w:w="1018" w:type="pct"/>
            <w:noWrap w:val="0"/>
            <w:vAlign w:val="center"/>
          </w:tcPr>
          <w:p w14:paraId="0CDC772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W（t）</w:t>
            </w:r>
          </w:p>
        </w:tc>
        <w:tc>
          <w:tcPr>
            <w:tcW w:w="1018" w:type="pct"/>
            <w:noWrap w:val="0"/>
            <w:vAlign w:val="center"/>
          </w:tcPr>
          <w:p w14:paraId="5252B5E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P（kg/m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tc>
      </w:tr>
      <w:tr w14:paraId="2E95C0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28" w:type="pct"/>
            <w:noWrap w:val="0"/>
            <w:vAlign w:val="center"/>
          </w:tcPr>
          <w:p w14:paraId="49127F5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计算结果</w:t>
            </w:r>
          </w:p>
        </w:tc>
        <w:tc>
          <w:tcPr>
            <w:tcW w:w="1017" w:type="pct"/>
            <w:noWrap w:val="0"/>
            <w:vAlign w:val="center"/>
          </w:tcPr>
          <w:p w14:paraId="23C8536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0.287</w:t>
            </w:r>
          </w:p>
        </w:tc>
        <w:tc>
          <w:tcPr>
            <w:tcW w:w="1017" w:type="pct"/>
            <w:noWrap w:val="0"/>
            <w:vAlign w:val="center"/>
          </w:tcPr>
          <w:p w14:paraId="16794C9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018" w:type="pct"/>
            <w:noWrap w:val="0"/>
            <w:vAlign w:val="center"/>
          </w:tcPr>
          <w:p w14:paraId="1BF1AC3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018" w:type="pct"/>
            <w:noWrap w:val="0"/>
            <w:vAlign w:val="center"/>
          </w:tcPr>
          <w:p w14:paraId="1AE0388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bl>
    <w:p w14:paraId="5BECA2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从表</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3</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-3可见，在同样路面清洁程度的条件下，车速越快，扬尘量越大；在同样车速条件下，路面越脏，则扬尘量越大。因此，限速行驶和保持路面的清洁是减少车辆行驶扬尘源强的有效措施。</w:t>
      </w:r>
    </w:p>
    <w:p w14:paraId="3421996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③施工车辆和机械废气</w:t>
      </w:r>
    </w:p>
    <w:p w14:paraId="27D537C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施工车辆废气：汽车的汽柴油发动机排放的尾气主要污染物为CO、HC和NOx。一般施工采用柴油汽车，按8t载重车型为例，其污染物排放情况具体见</w:t>
      </w:r>
      <w:r>
        <w:rPr>
          <w:rFonts w:hint="default" w:ascii="Times New Roman" w:hAnsi="Times New Roman" w:eastAsia="宋体" w:cs="Times New Roman"/>
          <w:color w:val="auto"/>
          <w:sz w:val="24"/>
          <w:lang w:val="en-US" w:eastAsia="zh-CN"/>
        </w:rPr>
        <w:t>下表</w:t>
      </w:r>
      <w:r>
        <w:rPr>
          <w:rFonts w:hint="default" w:ascii="Times New Roman" w:hAnsi="Times New Roman" w:eastAsia="宋体" w:cs="Times New Roman"/>
          <w:color w:val="auto"/>
          <w:sz w:val="24"/>
        </w:rPr>
        <w:t>。</w:t>
      </w:r>
    </w:p>
    <w:p w14:paraId="02E86094">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表3.7.</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xml:space="preserve">  机动车污染物排放情况表</w:t>
      </w:r>
    </w:p>
    <w:tbl>
      <w:tblPr>
        <w:tblStyle w:val="29"/>
        <w:tblpPr w:leftFromText="180" w:rightFromText="180" w:vertAnchor="text" w:tblpXSpec="center" w:tblpY="1"/>
        <w:tblOverlap w:val="never"/>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99"/>
        <w:gridCol w:w="2702"/>
        <w:gridCol w:w="2105"/>
        <w:gridCol w:w="2114"/>
      </w:tblGrid>
      <w:tr w14:paraId="4231A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90" w:type="pct"/>
            <w:noWrap w:val="0"/>
            <w:vAlign w:val="center"/>
          </w:tcPr>
          <w:p w14:paraId="1FD6135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643" w:type="pct"/>
            <w:noWrap w:val="0"/>
            <w:vAlign w:val="center"/>
          </w:tcPr>
          <w:p w14:paraId="0C42416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污染物排放量</w:t>
            </w:r>
          </w:p>
          <w:p w14:paraId="08D9A0E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（g/L汽油）</w:t>
            </w:r>
          </w:p>
        </w:tc>
        <w:tc>
          <w:tcPr>
            <w:tcW w:w="1280" w:type="pct"/>
            <w:noWrap w:val="0"/>
            <w:vAlign w:val="center"/>
          </w:tcPr>
          <w:p w14:paraId="1B621E3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污染物排放</w:t>
            </w:r>
          </w:p>
          <w:p w14:paraId="5F0A794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（g/L柴油）</w:t>
            </w:r>
          </w:p>
        </w:tc>
        <w:tc>
          <w:tcPr>
            <w:tcW w:w="1285" w:type="pct"/>
            <w:noWrap w:val="0"/>
            <w:vAlign w:val="center"/>
          </w:tcPr>
          <w:p w14:paraId="729DFAD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8t柴油载重车排放量（g/100km）</w:t>
            </w:r>
          </w:p>
        </w:tc>
      </w:tr>
      <w:tr w14:paraId="24713C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90" w:type="pct"/>
            <w:noWrap w:val="0"/>
            <w:vAlign w:val="center"/>
          </w:tcPr>
          <w:p w14:paraId="7128984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CO</w:t>
            </w:r>
          </w:p>
        </w:tc>
        <w:tc>
          <w:tcPr>
            <w:tcW w:w="1643" w:type="pct"/>
            <w:noWrap w:val="0"/>
            <w:vAlign w:val="center"/>
          </w:tcPr>
          <w:p w14:paraId="141CE3F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169</w:t>
            </w:r>
          </w:p>
        </w:tc>
        <w:tc>
          <w:tcPr>
            <w:tcW w:w="1280" w:type="pct"/>
            <w:noWrap w:val="0"/>
            <w:vAlign w:val="center"/>
          </w:tcPr>
          <w:p w14:paraId="7DD1DF5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27</w:t>
            </w:r>
          </w:p>
        </w:tc>
        <w:tc>
          <w:tcPr>
            <w:tcW w:w="1285" w:type="pct"/>
            <w:noWrap w:val="0"/>
            <w:vAlign w:val="center"/>
          </w:tcPr>
          <w:p w14:paraId="1AA8AB4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81</w:t>
            </w:r>
            <w:r>
              <w:rPr>
                <w:rFonts w:hint="default" w:ascii="Times New Roman" w:hAnsi="Times New Roman" w:eastAsia="宋体" w:cs="Times New Roman"/>
                <w:color w:val="auto"/>
                <w:lang w:eastAsia="zh-CN"/>
              </w:rPr>
              <w:t>4.</w:t>
            </w:r>
            <w:r>
              <w:rPr>
                <w:rFonts w:hint="default" w:ascii="Times New Roman" w:hAnsi="Times New Roman" w:eastAsia="宋体" w:cs="Times New Roman"/>
                <w:color w:val="auto"/>
              </w:rPr>
              <w:t>13</w:t>
            </w:r>
          </w:p>
        </w:tc>
      </w:tr>
      <w:tr w14:paraId="3FEF56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90" w:type="pct"/>
            <w:noWrap w:val="0"/>
            <w:vAlign w:val="center"/>
          </w:tcPr>
          <w:p w14:paraId="466CF60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NOx</w:t>
            </w:r>
          </w:p>
        </w:tc>
        <w:tc>
          <w:tcPr>
            <w:tcW w:w="1643" w:type="pct"/>
            <w:noWrap w:val="0"/>
            <w:vAlign w:val="center"/>
          </w:tcPr>
          <w:p w14:paraId="11596FD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21.1</w:t>
            </w:r>
          </w:p>
        </w:tc>
        <w:tc>
          <w:tcPr>
            <w:tcW w:w="1280" w:type="pct"/>
            <w:noWrap w:val="0"/>
            <w:vAlign w:val="center"/>
          </w:tcPr>
          <w:p w14:paraId="4FA6E23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44.4</w:t>
            </w:r>
          </w:p>
        </w:tc>
        <w:tc>
          <w:tcPr>
            <w:tcW w:w="1285" w:type="pct"/>
            <w:noWrap w:val="0"/>
            <w:vAlign w:val="center"/>
          </w:tcPr>
          <w:p w14:paraId="1402A99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1340.44</w:t>
            </w:r>
          </w:p>
        </w:tc>
      </w:tr>
      <w:tr w14:paraId="18A76F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90" w:type="pct"/>
            <w:noWrap w:val="0"/>
            <w:vAlign w:val="center"/>
          </w:tcPr>
          <w:p w14:paraId="309A8F7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烃类</w:t>
            </w:r>
          </w:p>
        </w:tc>
        <w:tc>
          <w:tcPr>
            <w:tcW w:w="1643" w:type="pct"/>
            <w:noWrap w:val="0"/>
            <w:vAlign w:val="center"/>
          </w:tcPr>
          <w:p w14:paraId="1C1C042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33.3</w:t>
            </w:r>
          </w:p>
        </w:tc>
        <w:tc>
          <w:tcPr>
            <w:tcW w:w="1280" w:type="pct"/>
            <w:noWrap w:val="0"/>
            <w:vAlign w:val="center"/>
          </w:tcPr>
          <w:p w14:paraId="350AEE0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4.44</w:t>
            </w:r>
          </w:p>
        </w:tc>
        <w:tc>
          <w:tcPr>
            <w:tcW w:w="1285" w:type="pct"/>
            <w:noWrap w:val="0"/>
            <w:vAlign w:val="center"/>
          </w:tcPr>
          <w:p w14:paraId="701A556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134.04</w:t>
            </w:r>
          </w:p>
        </w:tc>
      </w:tr>
    </w:tbl>
    <w:p w14:paraId="57E3F8D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施工机械废气：施工燃油机械产生的含CO、NOx、烃类等废气对大气环境也将产生一定的影响。</w:t>
      </w:r>
    </w:p>
    <w:p w14:paraId="7611DA7C">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3.7.3.3 施工噪声</w:t>
      </w:r>
    </w:p>
    <w:p w14:paraId="1FA9B73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施工过程中，施工机械、车辆等将产生一定的噪声，参照《港口工程环境保护设计规范》（JTS 149-1-2007），噪声源强见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15FFA049">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表3.7.</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 xml:space="preserve">  施工噪声源强一览表</w:t>
      </w:r>
    </w:p>
    <w:tbl>
      <w:tblPr>
        <w:tblStyle w:val="29"/>
        <w:tblW w:w="482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844"/>
        <w:gridCol w:w="2845"/>
        <w:gridCol w:w="2531"/>
      </w:tblGrid>
      <w:tr w14:paraId="4AE805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2770EDB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主要噪声源名称</w:t>
            </w:r>
          </w:p>
        </w:tc>
        <w:tc>
          <w:tcPr>
            <w:tcW w:w="1730" w:type="pct"/>
            <w:noWrap w:val="0"/>
            <w:vAlign w:val="center"/>
          </w:tcPr>
          <w:p w14:paraId="058BFB6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测点与机械距离（m）</w:t>
            </w:r>
          </w:p>
        </w:tc>
        <w:tc>
          <w:tcPr>
            <w:tcW w:w="1539" w:type="pct"/>
            <w:noWrap w:val="0"/>
            <w:vAlign w:val="center"/>
          </w:tcPr>
          <w:p w14:paraId="076CEB2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声压级dB(A)</w:t>
            </w:r>
          </w:p>
        </w:tc>
      </w:tr>
      <w:tr w14:paraId="201256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22523E2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1730" w:type="pct"/>
            <w:noWrap w:val="0"/>
            <w:vAlign w:val="center"/>
          </w:tcPr>
          <w:p w14:paraId="03AD01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539" w:type="pct"/>
            <w:noWrap w:val="0"/>
            <w:vAlign w:val="center"/>
          </w:tcPr>
          <w:p w14:paraId="3867A64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84</w:t>
            </w:r>
          </w:p>
        </w:tc>
      </w:tr>
      <w:tr w14:paraId="0FCBCC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399FB2E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卡车</w:t>
            </w:r>
          </w:p>
        </w:tc>
        <w:tc>
          <w:tcPr>
            <w:tcW w:w="1730" w:type="pct"/>
            <w:noWrap w:val="0"/>
            <w:vAlign w:val="center"/>
          </w:tcPr>
          <w:p w14:paraId="6D05D1C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39" w:type="pct"/>
            <w:noWrap w:val="0"/>
            <w:vAlign w:val="center"/>
          </w:tcPr>
          <w:p w14:paraId="194234F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85</w:t>
            </w:r>
          </w:p>
        </w:tc>
      </w:tr>
      <w:tr w14:paraId="3454D2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5C5435A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1730" w:type="pct"/>
            <w:noWrap w:val="0"/>
            <w:vAlign w:val="center"/>
          </w:tcPr>
          <w:p w14:paraId="4DDB0D6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39" w:type="pct"/>
            <w:noWrap w:val="0"/>
            <w:vAlign w:val="center"/>
          </w:tcPr>
          <w:p w14:paraId="7B71B48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84</w:t>
            </w:r>
          </w:p>
        </w:tc>
      </w:tr>
      <w:tr w14:paraId="2BCB9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0067C16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振捣机</w:t>
            </w:r>
          </w:p>
        </w:tc>
        <w:tc>
          <w:tcPr>
            <w:tcW w:w="1730" w:type="pct"/>
            <w:noWrap w:val="0"/>
            <w:vAlign w:val="center"/>
          </w:tcPr>
          <w:p w14:paraId="41F395A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39" w:type="pct"/>
            <w:noWrap w:val="0"/>
            <w:vAlign w:val="center"/>
          </w:tcPr>
          <w:p w14:paraId="6C53555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84</w:t>
            </w:r>
          </w:p>
        </w:tc>
      </w:tr>
      <w:tr w14:paraId="00E45E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75D1CBB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8.8kw小型船舶</w:t>
            </w:r>
          </w:p>
        </w:tc>
        <w:tc>
          <w:tcPr>
            <w:tcW w:w="1730" w:type="pct"/>
            <w:noWrap w:val="0"/>
            <w:vAlign w:val="center"/>
          </w:tcPr>
          <w:p w14:paraId="5B26E06D">
            <w:pPr>
              <w:pStyle w:val="41"/>
              <w:bidi w:val="0"/>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1539" w:type="pct"/>
            <w:noWrap w:val="0"/>
            <w:vAlign w:val="center"/>
          </w:tcPr>
          <w:p w14:paraId="5320380B">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95</w:t>
            </w:r>
          </w:p>
        </w:tc>
      </w:tr>
      <w:tr w14:paraId="51A27D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pct"/>
            <w:noWrap w:val="0"/>
            <w:vAlign w:val="center"/>
          </w:tcPr>
          <w:p w14:paraId="44D128AF">
            <w:pPr>
              <w:pStyle w:val="41"/>
              <w:bidi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电锯</w:t>
            </w:r>
          </w:p>
        </w:tc>
        <w:tc>
          <w:tcPr>
            <w:tcW w:w="1730" w:type="pct"/>
            <w:noWrap w:val="0"/>
            <w:vAlign w:val="center"/>
          </w:tcPr>
          <w:p w14:paraId="5E0B6A8D">
            <w:pPr>
              <w:pStyle w:val="41"/>
              <w:bidi w:val="0"/>
              <w:rPr>
                <w:rFonts w:hint="default" w:cs="Times New Roman"/>
                <w:color w:val="auto"/>
                <w:lang w:val="en-US" w:eastAsia="zh-CN"/>
              </w:rPr>
            </w:pPr>
            <w:r>
              <w:rPr>
                <w:rFonts w:hint="eastAsia" w:cs="Times New Roman"/>
                <w:color w:val="auto"/>
                <w:lang w:val="en-US" w:eastAsia="zh-CN"/>
              </w:rPr>
              <w:t>1</w:t>
            </w:r>
          </w:p>
        </w:tc>
        <w:tc>
          <w:tcPr>
            <w:tcW w:w="1539" w:type="pct"/>
            <w:noWrap w:val="0"/>
            <w:vAlign w:val="center"/>
          </w:tcPr>
          <w:p w14:paraId="4C93133C">
            <w:pPr>
              <w:pStyle w:val="41"/>
              <w:bidi w:val="0"/>
              <w:rPr>
                <w:rFonts w:hint="default" w:cs="Times New Roman"/>
                <w:color w:val="auto"/>
                <w:lang w:val="en-US" w:eastAsia="zh-CN"/>
              </w:rPr>
            </w:pPr>
            <w:r>
              <w:rPr>
                <w:rFonts w:hint="eastAsia" w:cs="Times New Roman"/>
                <w:color w:val="auto"/>
                <w:lang w:val="en-US" w:eastAsia="zh-CN"/>
              </w:rPr>
              <w:t>110</w:t>
            </w:r>
          </w:p>
        </w:tc>
      </w:tr>
    </w:tbl>
    <w:p w14:paraId="6BE443AF">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3.7.3.4固体废物</w:t>
      </w:r>
    </w:p>
    <w:p w14:paraId="3E7C748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固体废物主要为</w:t>
      </w:r>
      <w:r>
        <w:rPr>
          <w:rFonts w:hint="default" w:ascii="Times New Roman" w:hAnsi="Times New Roman" w:eastAsia="宋体" w:cs="Times New Roman"/>
          <w:color w:val="auto"/>
          <w:sz w:val="24"/>
        </w:rPr>
        <w:t>产生</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少量施工建筑垃圾及施工人员生活垃圾。</w:t>
      </w:r>
    </w:p>
    <w:p w14:paraId="5C9EBE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①建筑垃圾</w:t>
      </w:r>
    </w:p>
    <w:p w14:paraId="1148E5F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建设过程</w:t>
      </w:r>
      <w:r>
        <w:rPr>
          <w:rFonts w:hint="default" w:ascii="Times New Roman" w:hAnsi="Times New Roman" w:eastAsia="宋体" w:cs="Times New Roman"/>
          <w:color w:val="auto"/>
          <w:sz w:val="24"/>
          <w:szCs w:val="24"/>
        </w:rPr>
        <w:t>产生少量施工建筑垃圾约260m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，可利用部分用于岸坡修整回填土，不可利用部分经</w:t>
      </w:r>
      <w:r>
        <w:rPr>
          <w:rFonts w:hint="default" w:ascii="Times New Roman" w:hAnsi="Times New Roman" w:eastAsia="宋体" w:cs="Times New Roman"/>
          <w:color w:val="auto"/>
          <w:sz w:val="24"/>
          <w:szCs w:val="24"/>
          <w:lang w:eastAsia="zh-CN"/>
        </w:rPr>
        <w:t>渣土车</w:t>
      </w:r>
      <w:r>
        <w:rPr>
          <w:rFonts w:hint="default" w:ascii="Times New Roman" w:hAnsi="Times New Roman" w:eastAsia="宋体" w:cs="Times New Roman"/>
          <w:color w:val="auto"/>
          <w:sz w:val="24"/>
          <w:szCs w:val="24"/>
        </w:rPr>
        <w:t>运输至</w:t>
      </w:r>
      <w:r>
        <w:rPr>
          <w:rFonts w:hint="default" w:ascii="Times New Roman" w:hAnsi="Times New Roman" w:eastAsia="宋体" w:cs="Times New Roman"/>
          <w:color w:val="auto"/>
          <w:sz w:val="24"/>
          <w:szCs w:val="24"/>
          <w:lang w:eastAsia="zh-CN"/>
        </w:rPr>
        <w:t>交通部门</w:t>
      </w:r>
      <w:r>
        <w:rPr>
          <w:rFonts w:hint="default" w:ascii="Times New Roman" w:hAnsi="Times New Roman" w:eastAsia="宋体" w:cs="Times New Roman"/>
          <w:color w:val="auto"/>
          <w:sz w:val="24"/>
          <w:szCs w:val="24"/>
        </w:rPr>
        <w:t>指定的地方。</w:t>
      </w:r>
    </w:p>
    <w:p w14:paraId="3673C7B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rPr>
        <w:t>生活垃圾</w:t>
      </w:r>
    </w:p>
    <w:p w14:paraId="5D7D348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施工期施工人员按20人/天计算，人均生活垃圾发生量按0.5kg/天估算，施工期生活垃圾发生量为0.01t/d，工程施工期为</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个月，则整个施工期生活垃圾发生量为</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rPr>
        <w:t>t。</w:t>
      </w:r>
    </w:p>
    <w:p w14:paraId="1379361D">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3.7.3.5 生态环境影响</w:t>
      </w:r>
    </w:p>
    <w:p w14:paraId="1D72FBB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由于涉水工程施工导致的水质破坏，浮游生物、底栖动物等饵料生物量的减少，改变了施工范围内原有鱼类的生存、生长和繁衍条件，鱼类将择水而栖迁到其它地方，施工区域浮游生物、底栖动物、鱼类数量有所降低。</w:t>
      </w:r>
    </w:p>
    <w:p w14:paraId="1B8BF13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（2）施工船舶舱底油污水如果处置不当，可能引起局部水域污染，损害浮游生物、底栖生物群落结构和鱼类的生存、繁殖，影响水产生物的使用价值。</w:t>
      </w:r>
    </w:p>
    <w:p w14:paraId="24CE75D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）引桥施工时，将对河滩地的植被造成破坏，施工活动会造成一定生物量损失。</w:t>
      </w:r>
    </w:p>
    <w:p w14:paraId="50E4BD2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码头陆域工程建设施工将造成局部陆域少量植被破坏，造成水土流失，景观受到影响以致与现有的生态环境不协调，但其影响很有限，工程建设对陆域生态环境的影响很小。随着工程建设的完工，港区绿化工程的实施，以及土地硬化，港区陆域生态环境的破坏将逐步恢复。</w:t>
      </w:r>
    </w:p>
    <w:p w14:paraId="60A79612">
      <w:pPr>
        <w:pStyle w:val="9"/>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470" w:name="_Toc17737"/>
      <w:bookmarkStart w:id="471" w:name="_Toc26204"/>
      <w:bookmarkStart w:id="472" w:name="_Toc28975"/>
      <w:r>
        <w:rPr>
          <w:rFonts w:hint="default" w:ascii="Times New Roman" w:hAnsi="Times New Roman" w:eastAsia="宋体" w:cs="Times New Roman"/>
          <w:color w:val="auto"/>
          <w:sz w:val="24"/>
          <w:szCs w:val="24"/>
          <w:lang w:val="en-US" w:eastAsia="zh-CN"/>
        </w:rPr>
        <w:t>3.7.4营运期工程污染源分析</w:t>
      </w:r>
      <w:bookmarkEnd w:id="470"/>
      <w:bookmarkEnd w:id="471"/>
      <w:bookmarkEnd w:id="472"/>
    </w:p>
    <w:p w14:paraId="5BF34B62">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3.7.4.1 大气污染源及污染物</w:t>
      </w:r>
    </w:p>
    <w:p w14:paraId="2FE17E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本项目废气主要为船舶进出港燃油废气</w:t>
      </w:r>
      <w:r>
        <w:rPr>
          <w:rFonts w:hint="default" w:ascii="Times New Roman" w:hAnsi="Times New Roman" w:eastAsia="宋体" w:cs="Times New Roman"/>
          <w:color w:val="auto"/>
          <w:sz w:val="24"/>
          <w:szCs w:val="24"/>
          <w:lang w:val="en-US" w:eastAsia="zh-CN"/>
        </w:rPr>
        <w:t>及趸船员工生活产生的少量油烟废气</w:t>
      </w:r>
      <w:r>
        <w:rPr>
          <w:rFonts w:hint="default" w:ascii="Times New Roman" w:hAnsi="Times New Roman" w:eastAsia="宋体" w:cs="Times New Roman"/>
          <w:color w:val="auto"/>
          <w:sz w:val="24"/>
          <w:szCs w:val="24"/>
          <w:lang w:eastAsia="zh-CN"/>
        </w:rPr>
        <w:t>。</w:t>
      </w:r>
    </w:p>
    <w:p w14:paraId="1F0962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码头</w:t>
      </w:r>
      <w:r>
        <w:rPr>
          <w:rFonts w:hint="default" w:ascii="Times New Roman" w:hAnsi="Times New Roman" w:eastAsia="宋体" w:cs="Times New Roman"/>
          <w:color w:val="auto"/>
          <w:sz w:val="24"/>
          <w:szCs w:val="24"/>
        </w:rPr>
        <w:t>船舶燃油废气</w:t>
      </w:r>
    </w:p>
    <w:p w14:paraId="5777A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本项目码头靠泊的工作船使用柴油作为燃料，发动机燃油废气中主要含有SO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THC、NOx等污染物，靠港作业的船舶大部分处于主机停运状态，耗油较少，只有在靠岸离港的时候才会发动，所以燃油排放的废气量很少，本次评价不做定量分析。同时船舶废气排放源具有间歇性和流动性，且污染物为露天排放，有利于空气的扩散，污染物经大 气扩散和稀释后，对局部地区的环境影响较小。</w:t>
      </w:r>
    </w:p>
    <w:p w14:paraId="323544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（2）油烟尾气</w:t>
      </w:r>
    </w:p>
    <w:p w14:paraId="3FC6327C">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本项目设置的趸船上配套设置一间小型厨房，厨房在煎炒过程中将产生少量的油烟废气，根据建设单位提供资料，趸船预计就餐人数最多</w:t>
      </w:r>
      <w:r>
        <w:rPr>
          <w:rFonts w:hint="eastAsia" w:cs="Times New Roman"/>
          <w:color w:val="auto"/>
          <w:lang w:val="en-US" w:eastAsia="zh-CN"/>
        </w:rPr>
        <w:t>20</w:t>
      </w:r>
      <w:r>
        <w:rPr>
          <w:rFonts w:hint="default" w:ascii="Times New Roman" w:hAnsi="Times New Roman" w:eastAsia="宋体" w:cs="Times New Roman"/>
          <w:color w:val="auto"/>
          <w:lang w:val="en-US" w:eastAsia="zh-CN"/>
        </w:rPr>
        <w:t>人次/天，厨房食用日平均耗油系数以30g/人计，则消耗食用油量约</w:t>
      </w:r>
      <w:r>
        <w:rPr>
          <w:rFonts w:hint="eastAsia" w:cs="Times New Roman"/>
          <w:color w:val="auto"/>
          <w:lang w:val="en-US" w:eastAsia="zh-CN"/>
        </w:rPr>
        <w:t>0.6</w:t>
      </w:r>
      <w:r>
        <w:rPr>
          <w:rFonts w:hint="default" w:ascii="Times New Roman" w:hAnsi="Times New Roman" w:eastAsia="宋体" w:cs="Times New Roman"/>
          <w:color w:val="auto"/>
          <w:lang w:val="en-US" w:eastAsia="zh-CN"/>
        </w:rPr>
        <w:t>kg/d。烹饪过程油的挥发损失率约3%，由此可估算出项目厨房油烟产生量约0.0</w:t>
      </w:r>
      <w:r>
        <w:rPr>
          <w:rFonts w:hint="eastAsia" w:cs="Times New Roman"/>
          <w:color w:val="auto"/>
          <w:lang w:val="en-US" w:eastAsia="zh-CN"/>
        </w:rPr>
        <w:t>18</w:t>
      </w:r>
      <w:r>
        <w:rPr>
          <w:rFonts w:hint="default" w:ascii="Times New Roman" w:hAnsi="Times New Roman" w:eastAsia="宋体" w:cs="Times New Roman"/>
          <w:color w:val="auto"/>
          <w:lang w:val="en-US" w:eastAsia="zh-CN"/>
        </w:rPr>
        <w:t>kg/d。厨房拟设置</w:t>
      </w:r>
      <w:r>
        <w:rPr>
          <w:rFonts w:hint="eastAsia" w:cs="Times New Roman"/>
          <w:color w:val="auto"/>
          <w:lang w:val="en-US" w:eastAsia="zh-CN"/>
        </w:rPr>
        <w:t>1</w:t>
      </w:r>
      <w:r>
        <w:rPr>
          <w:rFonts w:hint="default" w:ascii="Times New Roman" w:hAnsi="Times New Roman" w:eastAsia="宋体" w:cs="Times New Roman"/>
          <w:color w:val="auto"/>
          <w:lang w:val="en-US" w:eastAsia="zh-CN"/>
        </w:rPr>
        <w:t>个基准灶头，基准灶头废气排放量按照2000m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/h计算，厨房灶具运行时间按</w:t>
      </w:r>
      <w:r>
        <w:rPr>
          <w:rFonts w:hint="eastAsia" w:cs="Times New Roman"/>
          <w:color w:val="auto"/>
          <w:lang w:val="en-US" w:eastAsia="zh-CN"/>
        </w:rPr>
        <w:t>4</w:t>
      </w:r>
      <w:r>
        <w:rPr>
          <w:rFonts w:hint="default" w:ascii="Times New Roman" w:hAnsi="Times New Roman" w:eastAsia="宋体" w:cs="Times New Roman"/>
          <w:color w:val="auto"/>
          <w:lang w:val="en-US" w:eastAsia="zh-CN"/>
        </w:rPr>
        <w:t>h/d计，总产生油烟废气约</w:t>
      </w:r>
      <w:r>
        <w:rPr>
          <w:rFonts w:hint="eastAsia" w:cs="Times New Roman"/>
          <w:color w:val="auto"/>
          <w:lang w:val="en-US" w:eastAsia="zh-CN"/>
        </w:rPr>
        <w:t>8</w:t>
      </w:r>
      <w:r>
        <w:rPr>
          <w:rFonts w:hint="default" w:ascii="Times New Roman" w:hAnsi="Times New Roman" w:eastAsia="宋体" w:cs="Times New Roman"/>
          <w:color w:val="auto"/>
          <w:lang w:val="en-US" w:eastAsia="zh-CN"/>
        </w:rPr>
        <w:t>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/d。则油烟产生浓度约为</w:t>
      </w:r>
      <w:r>
        <w:rPr>
          <w:rFonts w:hint="eastAsia" w:cs="Times New Roman"/>
          <w:color w:val="auto"/>
          <w:lang w:val="en-US" w:eastAsia="zh-CN"/>
        </w:rPr>
        <w:t>2.25</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。油烟经油烟净化器处理，净化效率按</w:t>
      </w:r>
      <w:r>
        <w:rPr>
          <w:rFonts w:hint="eastAsia" w:cs="Times New Roman"/>
          <w:color w:val="auto"/>
          <w:lang w:val="en-US" w:eastAsia="zh-CN"/>
        </w:rPr>
        <w:t>60</w:t>
      </w:r>
      <w:r>
        <w:rPr>
          <w:rFonts w:hint="default" w:ascii="Times New Roman" w:hAnsi="Times New Roman" w:eastAsia="宋体" w:cs="Times New Roman"/>
          <w:color w:val="auto"/>
          <w:lang w:val="en-US" w:eastAsia="zh-CN"/>
        </w:rPr>
        <w:t>%计，趸船油烟的排放量为0.00</w:t>
      </w:r>
      <w:r>
        <w:rPr>
          <w:rFonts w:hint="eastAsia" w:cs="Times New Roman"/>
          <w:color w:val="auto"/>
          <w:lang w:val="en-US" w:eastAsia="zh-CN"/>
        </w:rPr>
        <w:t>22</w:t>
      </w:r>
      <w:r>
        <w:rPr>
          <w:rFonts w:hint="default" w:ascii="Times New Roman" w:hAnsi="Times New Roman" w:eastAsia="宋体" w:cs="Times New Roman"/>
          <w:color w:val="auto"/>
          <w:lang w:val="en-US" w:eastAsia="zh-CN"/>
        </w:rPr>
        <w:t>t/a，排放浓度为</w:t>
      </w:r>
      <w:r>
        <w:rPr>
          <w:rFonts w:hint="eastAsia" w:cs="Times New Roman"/>
          <w:color w:val="auto"/>
          <w:lang w:val="en-US" w:eastAsia="zh-CN"/>
        </w:rPr>
        <w:t>0.9</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，满足《饮食业油烟排放标准（试行）》（GB18483-2001）中的</w:t>
      </w:r>
      <w:r>
        <w:rPr>
          <w:rFonts w:hint="eastAsia" w:cs="Times New Roman"/>
          <w:color w:val="auto"/>
          <w:lang w:val="en-US" w:eastAsia="zh-CN"/>
        </w:rPr>
        <w:t>小</w:t>
      </w:r>
      <w:r>
        <w:rPr>
          <w:rFonts w:hint="default" w:ascii="Times New Roman" w:hAnsi="Times New Roman" w:eastAsia="宋体" w:cs="Times New Roman"/>
          <w:color w:val="auto"/>
          <w:lang w:val="en-US" w:eastAsia="zh-CN"/>
        </w:rPr>
        <w:t>型规模限值（2.0mg/m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p w14:paraId="3A9CC91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本项目营运期大气污染物排放情况汇总见</w:t>
      </w:r>
      <w:r>
        <w:rPr>
          <w:rFonts w:hint="default" w:ascii="Times New Roman" w:hAnsi="Times New Roman" w:eastAsia="宋体" w:cs="Times New Roman"/>
          <w:color w:val="auto"/>
          <w:sz w:val="24"/>
          <w:lang w:val="en-US" w:eastAsia="zh-CN"/>
        </w:rPr>
        <w:t>下表</w:t>
      </w:r>
      <w:r>
        <w:rPr>
          <w:rFonts w:hint="default" w:ascii="Times New Roman" w:hAnsi="Times New Roman" w:eastAsia="宋体" w:cs="Times New Roman"/>
          <w:color w:val="auto"/>
          <w:sz w:val="24"/>
        </w:rPr>
        <w:t>。</w:t>
      </w:r>
    </w:p>
    <w:p w14:paraId="63346B1C">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表3.7.</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 xml:space="preserve">  大气污染物排放情况汇总表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135"/>
        <w:gridCol w:w="1947"/>
        <w:gridCol w:w="2069"/>
        <w:gridCol w:w="2069"/>
      </w:tblGrid>
      <w:tr w14:paraId="4756223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98" w:type="pct"/>
            <w:noWrap w:val="0"/>
            <w:vAlign w:val="center"/>
          </w:tcPr>
          <w:p w14:paraId="58148FF9">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1184" w:type="pct"/>
            <w:noWrap w:val="0"/>
            <w:vAlign w:val="center"/>
          </w:tcPr>
          <w:p w14:paraId="2C325739">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258" w:type="pct"/>
            <w:noWrap w:val="0"/>
            <w:vAlign w:val="center"/>
          </w:tcPr>
          <w:p w14:paraId="173EE560">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产生量（t/a）</w:t>
            </w:r>
          </w:p>
        </w:tc>
        <w:tc>
          <w:tcPr>
            <w:tcW w:w="1258" w:type="pct"/>
            <w:noWrap w:val="0"/>
            <w:vAlign w:val="center"/>
          </w:tcPr>
          <w:p w14:paraId="6247CDF6">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排放量（t/a）</w:t>
            </w:r>
          </w:p>
        </w:tc>
      </w:tr>
      <w:tr w14:paraId="2F644E7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98" w:type="pct"/>
            <w:noWrap w:val="0"/>
            <w:vAlign w:val="center"/>
          </w:tcPr>
          <w:p w14:paraId="520C5657">
            <w:pPr>
              <w:pStyle w:val="4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船舶燃油废气</w:t>
            </w:r>
          </w:p>
        </w:tc>
        <w:tc>
          <w:tcPr>
            <w:tcW w:w="1184" w:type="pct"/>
            <w:noWrap w:val="0"/>
            <w:vAlign w:val="center"/>
          </w:tcPr>
          <w:p w14:paraId="64518317">
            <w:pPr>
              <w:pStyle w:val="4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CO、NOx、烃类</w:t>
            </w:r>
          </w:p>
        </w:tc>
        <w:tc>
          <w:tcPr>
            <w:tcW w:w="1258" w:type="pct"/>
            <w:noWrap w:val="0"/>
            <w:vAlign w:val="center"/>
          </w:tcPr>
          <w:p w14:paraId="40579FDF">
            <w:pPr>
              <w:pStyle w:val="4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c>
          <w:tcPr>
            <w:tcW w:w="1258" w:type="pct"/>
            <w:noWrap w:val="0"/>
            <w:vAlign w:val="center"/>
          </w:tcPr>
          <w:p w14:paraId="5551E857">
            <w:pPr>
              <w:pStyle w:val="4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少量</w:t>
            </w:r>
          </w:p>
        </w:tc>
      </w:tr>
      <w:tr w14:paraId="6C1FA96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98" w:type="pct"/>
            <w:noWrap w:val="0"/>
            <w:vAlign w:val="center"/>
          </w:tcPr>
          <w:p w14:paraId="0BA6C48D">
            <w:pPr>
              <w:pStyle w:val="41"/>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油烟尾气</w:t>
            </w:r>
          </w:p>
        </w:tc>
        <w:tc>
          <w:tcPr>
            <w:tcW w:w="1184" w:type="pct"/>
            <w:noWrap w:val="0"/>
            <w:vAlign w:val="center"/>
          </w:tcPr>
          <w:p w14:paraId="74769D8B">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油烟废气</w:t>
            </w:r>
          </w:p>
        </w:tc>
        <w:tc>
          <w:tcPr>
            <w:tcW w:w="1258" w:type="pct"/>
            <w:noWrap w:val="0"/>
            <w:vAlign w:val="center"/>
          </w:tcPr>
          <w:p w14:paraId="160CF6BA">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0.0054</w:t>
            </w:r>
          </w:p>
        </w:tc>
        <w:tc>
          <w:tcPr>
            <w:tcW w:w="1258" w:type="pct"/>
            <w:noWrap w:val="0"/>
            <w:vAlign w:val="center"/>
          </w:tcPr>
          <w:p w14:paraId="47E09834">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0.0022</w:t>
            </w:r>
          </w:p>
        </w:tc>
      </w:tr>
    </w:tbl>
    <w:p w14:paraId="0EEDD292">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3.7.4.2 水污染源及污染物</w:t>
      </w:r>
    </w:p>
    <w:p w14:paraId="64ED9450">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本项目产生的废水主要为船舶废水</w:t>
      </w:r>
      <w:r>
        <w:rPr>
          <w:rFonts w:hint="eastAsia" w:cs="Times New Roman"/>
          <w:color w:val="auto"/>
          <w:sz w:val="24"/>
          <w:lang w:eastAsia="zh-CN"/>
        </w:rPr>
        <w:t>（包括船舶舱底油污水、船舶生活污水）、</w:t>
      </w:r>
      <w:r>
        <w:rPr>
          <w:rFonts w:hint="eastAsia" w:cs="Times New Roman"/>
          <w:color w:val="auto"/>
          <w:sz w:val="24"/>
          <w:lang w:val="en-US" w:eastAsia="zh-CN"/>
        </w:rPr>
        <w:t>员工生活污水</w:t>
      </w:r>
      <w:r>
        <w:rPr>
          <w:rFonts w:hint="default" w:ascii="Times New Roman" w:hAnsi="Times New Roman" w:eastAsia="宋体" w:cs="Times New Roman"/>
          <w:color w:val="auto"/>
          <w:sz w:val="24"/>
          <w:lang w:eastAsia="zh-CN"/>
        </w:rPr>
        <w:t>。</w:t>
      </w:r>
    </w:p>
    <w:p w14:paraId="785D8B73">
      <w:pPr>
        <w:pStyle w:val="38"/>
        <w:ind w:firstLine="48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lang w:val="en-US" w:eastAsia="zh-CN"/>
        </w:rPr>
        <w:t>船舶废水</w:t>
      </w:r>
    </w:p>
    <w:p w14:paraId="2EBECBC0">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船舶含油废水</w:t>
      </w:r>
      <w:r>
        <w:rPr>
          <w:rFonts w:hint="default" w:ascii="Times New Roman" w:hAnsi="Times New Roman" w:eastAsia="宋体" w:cs="Times New Roman"/>
          <w:color w:val="auto"/>
          <w:lang w:eastAsia="zh-CN"/>
        </w:rPr>
        <w:t>是由于机舱内各种阀件和管路中漏出的水与轮机在运转过程中的润滑油、燃烧油等混合在一起的污油水。</w:t>
      </w:r>
      <w:r>
        <w:rPr>
          <w:rFonts w:hint="default" w:ascii="Times New Roman" w:hAnsi="Times New Roman" w:eastAsia="宋体" w:cs="Times New Roman"/>
          <w:color w:val="auto"/>
          <w:lang w:val="en-US" w:eastAsia="zh-CN"/>
        </w:rPr>
        <w:t>本项目港口停泊的渔政船只均为规模较小的渔政船只，产生的油污水较小，每天约为0.5t/d。</w:t>
      </w:r>
      <w:r>
        <w:rPr>
          <w:rFonts w:hint="default" w:ascii="Times New Roman" w:hAnsi="Times New Roman" w:eastAsia="宋体" w:cs="Times New Roman"/>
          <w:color w:val="auto"/>
          <w:lang w:eastAsia="zh-CN"/>
        </w:rPr>
        <w:t>船舶机舱水水质较为复杂，它是多种油类的混合物含油量一般在5000mg/L左右，</w:t>
      </w:r>
      <w:r>
        <w:rPr>
          <w:rFonts w:hint="default" w:ascii="Times New Roman" w:hAnsi="Times New Roman" w:eastAsia="宋体" w:cs="Times New Roman"/>
          <w:color w:val="auto"/>
          <w:spacing w:val="4"/>
          <w:lang w:val="en-US" w:eastAsia="zh-CN"/>
        </w:rPr>
        <w:t>船舶含油废水由码头上含油污水箱收集后由有资质单位接收处置</w:t>
      </w:r>
      <w:r>
        <w:rPr>
          <w:rFonts w:hint="default" w:ascii="Times New Roman" w:hAnsi="Times New Roman" w:eastAsia="宋体" w:cs="Times New Roman"/>
          <w:color w:val="auto"/>
          <w:lang w:eastAsia="zh-CN"/>
        </w:rPr>
        <w:t>。</w:t>
      </w:r>
    </w:p>
    <w:p w14:paraId="3822CEAC">
      <w:pPr>
        <w:pStyle w:val="38"/>
        <w:ind w:firstLine="480"/>
        <w:rPr>
          <w:rFonts w:hint="eastAsia" w:cs="Times New Roman"/>
          <w:color w:val="auto"/>
          <w:lang w:eastAsia="zh-CN"/>
        </w:rPr>
      </w:pPr>
      <w:r>
        <w:rPr>
          <w:rFonts w:hint="eastAsia" w:cs="Times New Roman"/>
          <w:color w:val="auto"/>
          <w:lang w:eastAsia="zh-CN"/>
        </w:rPr>
        <w:t>本项目停泊的公务船只按6人/船计算，到港船舶按日平均3艘/d，考虑到渔政航程较短，用水量按50L/d人计算，则排水量为40L/d人计算，则船舶员工生活污水的产生量为0.72t/d（216t/a）。</w:t>
      </w:r>
      <w:r>
        <w:rPr>
          <w:rFonts w:hint="default" w:ascii="Times New Roman" w:hAnsi="Times New Roman" w:eastAsia="宋体" w:cs="Times New Roman"/>
          <w:color w:val="auto"/>
          <w:lang w:val="en-US" w:eastAsia="zh-CN"/>
        </w:rPr>
        <w:t>生活污水</w:t>
      </w:r>
      <w:r>
        <w:rPr>
          <w:rFonts w:hint="default" w:ascii="Times New Roman" w:hAnsi="Times New Roman" w:eastAsia="宋体" w:cs="Times New Roman"/>
          <w:color w:val="auto"/>
          <w:lang w:val="en-US"/>
        </w:rPr>
        <w:t>主要污染物为COD、SS、氨氮</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val="en-US"/>
        </w:rPr>
        <w:t>COD、SS、氨氮平均产生浓度分别为</w:t>
      </w:r>
      <w:r>
        <w:rPr>
          <w:rFonts w:hint="default" w:ascii="Times New Roman" w:hAnsi="Times New Roman" w:eastAsia="宋体" w:cs="Times New Roman"/>
          <w:color w:val="auto"/>
          <w:lang w:val="en-US" w:eastAsia="zh-CN"/>
        </w:rPr>
        <w:t>350mg/L、150mg/L、30mg/L</w:t>
      </w:r>
      <w:r>
        <w:rPr>
          <w:rFonts w:hint="default" w:ascii="Times New Roman" w:hAnsi="Times New Roman" w:eastAsia="宋体" w:cs="Times New Roman"/>
          <w:color w:val="auto"/>
          <w:lang w:val="en-US"/>
        </w:rPr>
        <w:t>，生活污水经</w:t>
      </w:r>
      <w:r>
        <w:rPr>
          <w:rFonts w:hint="default" w:ascii="Times New Roman" w:hAnsi="Times New Roman" w:eastAsia="宋体" w:cs="Times New Roman"/>
          <w:color w:val="auto"/>
          <w:lang w:val="en-US" w:eastAsia="zh-CN"/>
        </w:rPr>
        <w:t>码头生活污水收集泵</w:t>
      </w:r>
      <w:r>
        <w:rPr>
          <w:rFonts w:hint="default" w:ascii="Times New Roman" w:hAnsi="Times New Roman" w:eastAsia="宋体" w:cs="Times New Roman"/>
          <w:color w:val="auto"/>
          <w:lang w:val="en-US"/>
        </w:rPr>
        <w:t>收集后</w:t>
      </w:r>
      <w:r>
        <w:rPr>
          <w:rFonts w:hint="default" w:ascii="Times New Roman" w:hAnsi="Times New Roman" w:eastAsia="宋体" w:cs="Times New Roman"/>
          <w:color w:val="auto"/>
          <w:lang w:val="en-US" w:eastAsia="zh-CN"/>
        </w:rPr>
        <w:t>全部用于区域农灌及林地用水</w:t>
      </w:r>
      <w:r>
        <w:rPr>
          <w:rFonts w:hint="default" w:ascii="Times New Roman" w:hAnsi="Times New Roman" w:eastAsia="宋体" w:cs="Times New Roman"/>
          <w:color w:val="auto"/>
          <w:lang w:val="en-US"/>
        </w:rPr>
        <w:t>。</w:t>
      </w:r>
    </w:p>
    <w:p w14:paraId="684602A4">
      <w:pPr>
        <w:pStyle w:val="38"/>
        <w:ind w:firstLine="480"/>
        <w:rPr>
          <w:rFonts w:hint="eastAsia"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）生活污水</w:t>
      </w:r>
    </w:p>
    <w:p w14:paraId="4A39692B">
      <w:pPr>
        <w:pStyle w:val="38"/>
        <w:ind w:firstLine="480"/>
        <w:rPr>
          <w:rFonts w:hint="eastAsia" w:cs="Times New Roman"/>
          <w:color w:val="auto"/>
          <w:lang w:val="en-US" w:eastAsia="zh-CN"/>
        </w:rPr>
      </w:pPr>
      <w:r>
        <w:rPr>
          <w:rFonts w:hint="default" w:ascii="Times New Roman" w:hAnsi="Times New Roman" w:eastAsia="宋体" w:cs="Times New Roman"/>
          <w:color w:val="auto"/>
          <w:lang w:val="en-US" w:eastAsia="zh-CN"/>
        </w:rPr>
        <w:t>趸船</w:t>
      </w:r>
      <w:r>
        <w:rPr>
          <w:rFonts w:hint="eastAsia" w:cs="Times New Roman"/>
          <w:color w:val="auto"/>
          <w:lang w:val="en-US" w:eastAsia="zh-CN"/>
        </w:rPr>
        <w:t>员工生活污水：</w:t>
      </w:r>
      <w:r>
        <w:rPr>
          <w:rFonts w:hint="default" w:ascii="Times New Roman" w:hAnsi="Times New Roman" w:eastAsia="宋体" w:cs="Times New Roman"/>
          <w:color w:val="auto"/>
          <w:lang w:val="en-US" w:eastAsia="zh-CN"/>
        </w:rPr>
        <w:t>趸船劳动定员为8人，用水量按每人60L/d人计算，排水量则为54L/d，则趸船生活用水排放量为0.216t/d（</w:t>
      </w:r>
      <w:r>
        <w:rPr>
          <w:rFonts w:hint="eastAsia" w:cs="Times New Roman"/>
          <w:color w:val="auto"/>
          <w:lang w:val="en-US" w:eastAsia="zh-CN"/>
        </w:rPr>
        <w:t>64.8</w:t>
      </w:r>
      <w:r>
        <w:rPr>
          <w:rFonts w:hint="default" w:ascii="Times New Roman" w:hAnsi="Times New Roman" w:eastAsia="宋体" w:cs="Times New Roman"/>
          <w:color w:val="auto"/>
          <w:lang w:val="en-US" w:eastAsia="zh-CN"/>
        </w:rPr>
        <w:t>t/a）。</w:t>
      </w:r>
    </w:p>
    <w:p w14:paraId="01B3B859">
      <w:pPr>
        <w:pStyle w:val="38"/>
        <w:ind w:firstLine="48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生活污水</w:t>
      </w:r>
      <w:r>
        <w:rPr>
          <w:rFonts w:hint="default" w:ascii="Times New Roman" w:hAnsi="Times New Roman" w:eastAsia="宋体" w:cs="Times New Roman"/>
          <w:color w:val="auto"/>
          <w:lang w:val="en-US"/>
        </w:rPr>
        <w:t>主要污染物为COD、SS、氨氮</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val="en-US"/>
        </w:rPr>
        <w:t>COD、SS、氨氮平均产生浓度分别为</w:t>
      </w:r>
      <w:r>
        <w:rPr>
          <w:rFonts w:hint="default" w:ascii="Times New Roman" w:hAnsi="Times New Roman" w:eastAsia="宋体" w:cs="Times New Roman"/>
          <w:color w:val="auto"/>
          <w:lang w:val="en-US" w:eastAsia="zh-CN"/>
        </w:rPr>
        <w:t>350mg/L、150mg/L、30mg/L</w:t>
      </w:r>
      <w:r>
        <w:rPr>
          <w:rFonts w:hint="default" w:ascii="Times New Roman" w:hAnsi="Times New Roman" w:eastAsia="宋体" w:cs="Times New Roman"/>
          <w:color w:val="auto"/>
          <w:lang w:val="en-US"/>
        </w:rPr>
        <w:t>，生活污水经</w:t>
      </w:r>
      <w:r>
        <w:rPr>
          <w:rFonts w:hint="default" w:ascii="Times New Roman" w:hAnsi="Times New Roman" w:eastAsia="宋体" w:cs="Times New Roman"/>
          <w:color w:val="auto"/>
          <w:lang w:val="en-US" w:eastAsia="zh-CN"/>
        </w:rPr>
        <w:t>码头生活污水收集泵</w:t>
      </w:r>
      <w:r>
        <w:rPr>
          <w:rFonts w:hint="default" w:ascii="Times New Roman" w:hAnsi="Times New Roman" w:eastAsia="宋体" w:cs="Times New Roman"/>
          <w:color w:val="auto"/>
          <w:lang w:val="en-US"/>
        </w:rPr>
        <w:t>收集后</w:t>
      </w:r>
      <w:r>
        <w:rPr>
          <w:rFonts w:hint="default" w:ascii="Times New Roman" w:hAnsi="Times New Roman" w:eastAsia="宋体" w:cs="Times New Roman"/>
          <w:color w:val="auto"/>
          <w:lang w:val="en-US" w:eastAsia="zh-CN"/>
        </w:rPr>
        <w:t>全部用于区域农灌及林地用水</w:t>
      </w:r>
      <w:r>
        <w:rPr>
          <w:rFonts w:hint="default" w:ascii="Times New Roman" w:hAnsi="Times New Roman" w:eastAsia="宋体" w:cs="Times New Roman"/>
          <w:color w:val="auto"/>
          <w:lang w:val="en-US"/>
        </w:rPr>
        <w:t>。</w:t>
      </w:r>
    </w:p>
    <w:p w14:paraId="41690056">
      <w:pPr>
        <w:pStyle w:val="40"/>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 xml:space="preserve">表3.7.7 </w:t>
      </w:r>
      <w:r>
        <w:rPr>
          <w:rFonts w:hint="default" w:ascii="Times New Roman" w:hAnsi="Times New Roman" w:eastAsia="宋体" w:cs="Times New Roman"/>
          <w:color w:val="auto"/>
          <w:sz w:val="24"/>
          <w:szCs w:val="24"/>
          <w:lang w:val="en-US"/>
        </w:rPr>
        <w:t>项目运营期污水产生量及污染物产生量一览表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797"/>
        <w:gridCol w:w="1277"/>
        <w:gridCol w:w="1579"/>
        <w:gridCol w:w="1471"/>
        <w:gridCol w:w="1333"/>
      </w:tblGrid>
      <w:tr w14:paraId="63A6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6" w:type="dxa"/>
            <w:gridSpan w:val="2"/>
            <w:vAlign w:val="center"/>
          </w:tcPr>
          <w:p w14:paraId="0B576C60">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来源</w:t>
            </w:r>
          </w:p>
        </w:tc>
        <w:tc>
          <w:tcPr>
            <w:tcW w:w="1277" w:type="dxa"/>
            <w:vAlign w:val="center"/>
          </w:tcPr>
          <w:p w14:paraId="0917047A">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污水产生量</w:t>
            </w:r>
          </w:p>
          <w:p w14:paraId="0709E112">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579" w:type="dxa"/>
            <w:vAlign w:val="center"/>
          </w:tcPr>
          <w:p w14:paraId="772E69A7">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污染物类别</w:t>
            </w:r>
          </w:p>
        </w:tc>
        <w:tc>
          <w:tcPr>
            <w:tcW w:w="1471" w:type="dxa"/>
            <w:vAlign w:val="center"/>
          </w:tcPr>
          <w:p w14:paraId="59AE4F45">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p w14:paraId="38746DFE">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产生浓度</w:t>
            </w:r>
          </w:p>
          <w:p w14:paraId="0242B1BB">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333" w:type="dxa"/>
            <w:vAlign w:val="center"/>
          </w:tcPr>
          <w:p w14:paraId="2816A616">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p w14:paraId="1DBC4210">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w:t>
            </w:r>
          </w:p>
          <w:p w14:paraId="3280A80D">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r>
      <w:tr w14:paraId="2123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1EBA7FD9">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船舶废水</w:t>
            </w:r>
          </w:p>
        </w:tc>
        <w:tc>
          <w:tcPr>
            <w:tcW w:w="1797" w:type="dxa"/>
            <w:vAlign w:val="center"/>
          </w:tcPr>
          <w:p w14:paraId="1D43E0E0">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船舶舱底油污水</w:t>
            </w:r>
          </w:p>
        </w:tc>
        <w:tc>
          <w:tcPr>
            <w:tcW w:w="1277" w:type="dxa"/>
            <w:vAlign w:val="center"/>
          </w:tcPr>
          <w:p w14:paraId="3A638542">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1579" w:type="dxa"/>
            <w:vAlign w:val="center"/>
          </w:tcPr>
          <w:p w14:paraId="4770F3D9">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p>
        </w:tc>
        <w:tc>
          <w:tcPr>
            <w:tcW w:w="1471" w:type="dxa"/>
            <w:vAlign w:val="center"/>
          </w:tcPr>
          <w:p w14:paraId="66E04946">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p>
        </w:tc>
        <w:tc>
          <w:tcPr>
            <w:tcW w:w="1333" w:type="dxa"/>
            <w:vAlign w:val="center"/>
          </w:tcPr>
          <w:p w14:paraId="2E19914D">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r>
      <w:tr w14:paraId="2CEE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64FBE3A4">
            <w:pPr>
              <w:pStyle w:val="41"/>
              <w:bidi w:val="0"/>
              <w:rPr>
                <w:rFonts w:hint="default" w:ascii="Times New Roman" w:hAnsi="Times New Roman" w:eastAsia="宋体" w:cs="Times New Roman"/>
                <w:color w:val="auto"/>
                <w:sz w:val="21"/>
                <w:szCs w:val="21"/>
                <w:lang w:val="en-US" w:eastAsia="zh-CN"/>
              </w:rPr>
            </w:pPr>
          </w:p>
        </w:tc>
        <w:tc>
          <w:tcPr>
            <w:tcW w:w="1797" w:type="dxa"/>
            <w:vMerge w:val="restart"/>
            <w:vAlign w:val="center"/>
          </w:tcPr>
          <w:p w14:paraId="3226404B">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船舶生活污水</w:t>
            </w:r>
          </w:p>
        </w:tc>
        <w:tc>
          <w:tcPr>
            <w:tcW w:w="1277" w:type="dxa"/>
            <w:vMerge w:val="restart"/>
            <w:vAlign w:val="center"/>
          </w:tcPr>
          <w:p w14:paraId="18039E33">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216</w:t>
            </w:r>
          </w:p>
        </w:tc>
        <w:tc>
          <w:tcPr>
            <w:tcW w:w="1579" w:type="dxa"/>
            <w:vAlign w:val="center"/>
          </w:tcPr>
          <w:p w14:paraId="172E76BE">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1471" w:type="dxa"/>
            <w:vAlign w:val="center"/>
          </w:tcPr>
          <w:p w14:paraId="29AAFEC8">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1333" w:type="dxa"/>
            <w:vAlign w:val="center"/>
          </w:tcPr>
          <w:p w14:paraId="4DD508D6">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0.076</w:t>
            </w:r>
          </w:p>
        </w:tc>
      </w:tr>
      <w:tr w14:paraId="3EEF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0292CBCC">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6BC7A06A">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75A13748">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2FDD833A">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471" w:type="dxa"/>
            <w:vAlign w:val="center"/>
          </w:tcPr>
          <w:p w14:paraId="5A2E324C">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1333" w:type="dxa"/>
            <w:vAlign w:val="center"/>
          </w:tcPr>
          <w:p w14:paraId="018A6773">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0.054</w:t>
            </w:r>
          </w:p>
        </w:tc>
      </w:tr>
      <w:tr w14:paraId="1A65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1365E0A5">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7EBB1576">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2375E878">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58458D2F">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1471" w:type="dxa"/>
            <w:vAlign w:val="center"/>
          </w:tcPr>
          <w:p w14:paraId="5305900A">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333" w:type="dxa"/>
            <w:vAlign w:val="center"/>
          </w:tcPr>
          <w:p w14:paraId="0521CEC7">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0.086</w:t>
            </w:r>
          </w:p>
        </w:tc>
      </w:tr>
      <w:tr w14:paraId="2AAC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278660DC">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7AE8746A">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3EC97B57">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29C2D001">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471" w:type="dxa"/>
            <w:vAlign w:val="center"/>
          </w:tcPr>
          <w:p w14:paraId="71EFC6A2">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333" w:type="dxa"/>
            <w:vAlign w:val="center"/>
          </w:tcPr>
          <w:p w14:paraId="6E8983E4">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r>
      <w:tr w14:paraId="676B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15C0D82E">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1797" w:type="dxa"/>
            <w:vMerge w:val="restart"/>
            <w:vAlign w:val="center"/>
          </w:tcPr>
          <w:p w14:paraId="5B8A11C1">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员工生活污水</w:t>
            </w:r>
          </w:p>
        </w:tc>
        <w:tc>
          <w:tcPr>
            <w:tcW w:w="1277" w:type="dxa"/>
            <w:vMerge w:val="restart"/>
            <w:vAlign w:val="center"/>
          </w:tcPr>
          <w:p w14:paraId="53291E69">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64.8</w:t>
            </w:r>
          </w:p>
        </w:tc>
        <w:tc>
          <w:tcPr>
            <w:tcW w:w="1579" w:type="dxa"/>
            <w:vAlign w:val="center"/>
          </w:tcPr>
          <w:p w14:paraId="6D083369">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1471" w:type="dxa"/>
            <w:vAlign w:val="center"/>
          </w:tcPr>
          <w:p w14:paraId="1EDFB13C">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1333" w:type="dxa"/>
            <w:vAlign w:val="center"/>
          </w:tcPr>
          <w:p w14:paraId="184AE1DD">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0.023</w:t>
            </w:r>
          </w:p>
        </w:tc>
      </w:tr>
      <w:tr w14:paraId="10D9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2E4073A5">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280E0516">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0459A3E6">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6BE509EC">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471" w:type="dxa"/>
            <w:vAlign w:val="center"/>
          </w:tcPr>
          <w:p w14:paraId="1F15AEFF">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1333" w:type="dxa"/>
            <w:vAlign w:val="center"/>
          </w:tcPr>
          <w:p w14:paraId="3B072035">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0.016 </w:t>
            </w:r>
          </w:p>
        </w:tc>
      </w:tr>
      <w:tr w14:paraId="50E8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6087DA4E">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7FF55C09">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0BAA8B3C">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5B6F3848">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1471" w:type="dxa"/>
            <w:vAlign w:val="center"/>
          </w:tcPr>
          <w:p w14:paraId="5D2FE633">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333" w:type="dxa"/>
            <w:vAlign w:val="center"/>
          </w:tcPr>
          <w:p w14:paraId="581B9E72">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0.026</w:t>
            </w:r>
          </w:p>
        </w:tc>
      </w:tr>
      <w:tr w14:paraId="509F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433610FE">
            <w:pPr>
              <w:pStyle w:val="41"/>
              <w:bidi w:val="0"/>
              <w:rPr>
                <w:rFonts w:hint="default" w:ascii="Times New Roman" w:hAnsi="Times New Roman" w:eastAsia="宋体" w:cs="Times New Roman"/>
                <w:color w:val="auto"/>
                <w:sz w:val="21"/>
                <w:szCs w:val="21"/>
                <w:lang w:val="en-US" w:eastAsia="zh-CN"/>
              </w:rPr>
            </w:pPr>
          </w:p>
        </w:tc>
        <w:tc>
          <w:tcPr>
            <w:tcW w:w="1797" w:type="dxa"/>
            <w:vMerge w:val="continue"/>
            <w:vAlign w:val="center"/>
          </w:tcPr>
          <w:p w14:paraId="21F9FF9C">
            <w:pPr>
              <w:pStyle w:val="41"/>
              <w:bidi w:val="0"/>
              <w:rPr>
                <w:rFonts w:hint="default" w:ascii="Times New Roman" w:hAnsi="Times New Roman" w:eastAsia="宋体" w:cs="Times New Roman"/>
                <w:color w:val="auto"/>
                <w:sz w:val="21"/>
                <w:szCs w:val="21"/>
                <w:lang w:val="en-US" w:eastAsia="zh-CN"/>
              </w:rPr>
            </w:pPr>
          </w:p>
        </w:tc>
        <w:tc>
          <w:tcPr>
            <w:tcW w:w="1277" w:type="dxa"/>
            <w:vMerge w:val="continue"/>
            <w:vAlign w:val="center"/>
          </w:tcPr>
          <w:p w14:paraId="3ABD66F4">
            <w:pPr>
              <w:pStyle w:val="41"/>
              <w:bidi w:val="0"/>
              <w:rPr>
                <w:rFonts w:hint="default" w:ascii="Times New Roman" w:hAnsi="Times New Roman" w:eastAsia="宋体" w:cs="Times New Roman"/>
                <w:color w:val="auto"/>
                <w:sz w:val="21"/>
                <w:szCs w:val="21"/>
                <w:lang w:val="en-US" w:eastAsia="zh-CN"/>
              </w:rPr>
            </w:pPr>
          </w:p>
        </w:tc>
        <w:tc>
          <w:tcPr>
            <w:tcW w:w="1579" w:type="dxa"/>
            <w:vAlign w:val="center"/>
          </w:tcPr>
          <w:p w14:paraId="293BF8DA">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471" w:type="dxa"/>
            <w:vAlign w:val="center"/>
          </w:tcPr>
          <w:p w14:paraId="22C07036">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333" w:type="dxa"/>
            <w:vAlign w:val="center"/>
          </w:tcPr>
          <w:p w14:paraId="5BE95598">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r>
    </w:tbl>
    <w:p w14:paraId="2E1EA17E">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3.7.4.3 声环境污染源</w:t>
      </w:r>
    </w:p>
    <w:p w14:paraId="35593F87">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本项目营运期噪声污染源主要为船舶运行噪声和</w:t>
      </w:r>
      <w:r>
        <w:rPr>
          <w:rFonts w:hint="default" w:ascii="Times New Roman" w:hAnsi="Times New Roman" w:eastAsia="宋体" w:cs="Times New Roman"/>
          <w:color w:val="auto"/>
          <w:lang w:val="en-US" w:eastAsia="zh-CN"/>
        </w:rPr>
        <w:t>货运噪声</w:t>
      </w:r>
      <w:r>
        <w:rPr>
          <w:rFonts w:hint="default" w:ascii="Times New Roman" w:hAnsi="Times New Roman" w:eastAsia="宋体" w:cs="Times New Roman"/>
          <w:color w:val="auto"/>
          <w:lang w:eastAsia="zh-CN"/>
        </w:rPr>
        <w:t>等，各噪声声级见</w:t>
      </w:r>
      <w:r>
        <w:rPr>
          <w:rFonts w:hint="default" w:ascii="Times New Roman" w:hAnsi="Times New Roman" w:eastAsia="宋体" w:cs="Times New Roman"/>
          <w:color w:val="auto"/>
          <w:lang w:val="en-US" w:eastAsia="zh-CN"/>
        </w:rPr>
        <w:t>下表</w:t>
      </w:r>
      <w:r>
        <w:rPr>
          <w:rFonts w:hint="default" w:ascii="Times New Roman" w:hAnsi="Times New Roman" w:eastAsia="宋体" w:cs="Times New Roman"/>
          <w:color w:val="auto"/>
          <w:lang w:eastAsia="zh-CN"/>
        </w:rPr>
        <w:t>。</w:t>
      </w:r>
    </w:p>
    <w:p w14:paraId="2B1E4EF7">
      <w:pPr>
        <w:pStyle w:val="40"/>
        <w:rPr>
          <w:rFonts w:hint="default" w:cs="Times New Roman"/>
          <w:color w:val="auto"/>
          <w:sz w:val="24"/>
          <w:szCs w:val="24"/>
          <w:lang w:val="en-US" w:eastAsia="zh-CN"/>
        </w:rPr>
      </w:pPr>
      <w:r>
        <w:rPr>
          <w:rFonts w:hint="default" w:cs="Times New Roman"/>
          <w:color w:val="auto"/>
          <w:sz w:val="24"/>
          <w:szCs w:val="24"/>
          <w:lang w:val="en-US" w:eastAsia="zh-CN"/>
        </w:rPr>
        <w:t>表3.7.</w:t>
      </w:r>
      <w:r>
        <w:rPr>
          <w:rFonts w:hint="eastAsia" w:cs="Times New Roman"/>
          <w:color w:val="auto"/>
          <w:sz w:val="24"/>
          <w:szCs w:val="24"/>
          <w:lang w:val="en-US" w:eastAsia="zh-CN"/>
        </w:rPr>
        <w:t>8</w:t>
      </w:r>
      <w:r>
        <w:rPr>
          <w:rFonts w:hint="default" w:cs="Times New Roman"/>
          <w:color w:val="auto"/>
          <w:sz w:val="24"/>
          <w:szCs w:val="24"/>
          <w:lang w:val="en-US" w:eastAsia="zh-CN"/>
        </w:rPr>
        <w:t xml:space="preserve">  项目设备噪声源强 单位：dB（A）</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48"/>
        <w:gridCol w:w="1221"/>
        <w:gridCol w:w="1367"/>
        <w:gridCol w:w="1337"/>
        <w:gridCol w:w="3647"/>
      </w:tblGrid>
      <w:tr w14:paraId="1211933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340" w:hRule="atLeast"/>
          <w:jc w:val="center"/>
        </w:trPr>
        <w:tc>
          <w:tcPr>
            <w:tcW w:w="394" w:type="pct"/>
            <w:noWrap w:val="0"/>
            <w:vAlign w:val="center"/>
          </w:tcPr>
          <w:p w14:paraId="64F0E86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编号</w:t>
            </w:r>
          </w:p>
        </w:tc>
        <w:tc>
          <w:tcPr>
            <w:tcW w:w="742" w:type="pct"/>
            <w:noWrap w:val="0"/>
            <w:vAlign w:val="center"/>
          </w:tcPr>
          <w:p w14:paraId="6AD6166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设备名称</w:t>
            </w:r>
          </w:p>
        </w:tc>
        <w:tc>
          <w:tcPr>
            <w:tcW w:w="831" w:type="pct"/>
            <w:noWrap w:val="0"/>
            <w:vAlign w:val="center"/>
          </w:tcPr>
          <w:p w14:paraId="572B57D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治理前源强</w:t>
            </w:r>
          </w:p>
        </w:tc>
        <w:tc>
          <w:tcPr>
            <w:tcW w:w="813" w:type="pct"/>
            <w:noWrap w:val="0"/>
            <w:vAlign w:val="center"/>
          </w:tcPr>
          <w:p w14:paraId="41E83AE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治理后源强</w:t>
            </w:r>
          </w:p>
        </w:tc>
        <w:tc>
          <w:tcPr>
            <w:tcW w:w="2217" w:type="pct"/>
            <w:noWrap w:val="0"/>
            <w:vAlign w:val="center"/>
          </w:tcPr>
          <w:p w14:paraId="0C042D3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拟采取的降噪措施</w:t>
            </w:r>
          </w:p>
        </w:tc>
      </w:tr>
      <w:tr w14:paraId="5BCFB2B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4" w:type="pct"/>
            <w:noWrap w:val="0"/>
            <w:vAlign w:val="center"/>
          </w:tcPr>
          <w:p w14:paraId="2DC76FD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742" w:type="pct"/>
            <w:noWrap w:val="0"/>
            <w:vAlign w:val="center"/>
          </w:tcPr>
          <w:p w14:paraId="0A8B18B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进港船舶</w:t>
            </w:r>
          </w:p>
        </w:tc>
        <w:tc>
          <w:tcPr>
            <w:tcW w:w="831" w:type="pct"/>
            <w:noWrap w:val="0"/>
            <w:vAlign w:val="center"/>
          </w:tcPr>
          <w:p w14:paraId="6B49041D">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w:t>
            </w:r>
          </w:p>
        </w:tc>
        <w:tc>
          <w:tcPr>
            <w:tcW w:w="813" w:type="pct"/>
            <w:noWrap w:val="0"/>
            <w:vAlign w:val="center"/>
          </w:tcPr>
          <w:p w14:paraId="6601AA9E">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2217" w:type="pct"/>
            <w:noWrap w:val="0"/>
            <w:vAlign w:val="center"/>
          </w:tcPr>
          <w:p w14:paraId="0056239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加强管理，降低航速，减少鸣笛次数，船舶发动机及排气进行隔声处理</w:t>
            </w:r>
          </w:p>
        </w:tc>
      </w:tr>
      <w:tr w14:paraId="5B8C8A5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4" w:type="pct"/>
            <w:noWrap w:val="0"/>
            <w:vAlign w:val="center"/>
          </w:tcPr>
          <w:p w14:paraId="1DE2CE2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742" w:type="pct"/>
            <w:noWrap w:val="0"/>
            <w:vAlign w:val="center"/>
          </w:tcPr>
          <w:p w14:paraId="5CEAA1E2">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汽车噪声</w:t>
            </w:r>
          </w:p>
        </w:tc>
        <w:tc>
          <w:tcPr>
            <w:tcW w:w="831" w:type="pct"/>
            <w:noWrap w:val="0"/>
            <w:vAlign w:val="center"/>
          </w:tcPr>
          <w:p w14:paraId="5A9A76DF">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70</w:t>
            </w:r>
          </w:p>
        </w:tc>
        <w:tc>
          <w:tcPr>
            <w:tcW w:w="813" w:type="pct"/>
            <w:noWrap w:val="0"/>
            <w:vAlign w:val="center"/>
          </w:tcPr>
          <w:p w14:paraId="59FB273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70</w:t>
            </w:r>
          </w:p>
        </w:tc>
        <w:tc>
          <w:tcPr>
            <w:tcW w:w="2217" w:type="pct"/>
            <w:noWrap w:val="0"/>
            <w:vAlign w:val="center"/>
          </w:tcPr>
          <w:p w14:paraId="760C9C62">
            <w:pPr>
              <w:pStyle w:val="41"/>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减速慢行</w:t>
            </w:r>
          </w:p>
        </w:tc>
      </w:tr>
    </w:tbl>
    <w:p w14:paraId="26F0AFDA">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3.7.4.4 固体废物</w:t>
      </w:r>
    </w:p>
    <w:p w14:paraId="2B51316B">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营运</w:t>
      </w:r>
      <w:r>
        <w:rPr>
          <w:rFonts w:hint="default" w:ascii="Times New Roman" w:hAnsi="Times New Roman" w:eastAsia="宋体" w:cs="Times New Roman"/>
          <w:color w:val="auto"/>
        </w:rPr>
        <w:t>期固体废物主要包括营运期</w:t>
      </w:r>
      <w:r>
        <w:rPr>
          <w:rFonts w:hint="default" w:ascii="Times New Roman" w:hAnsi="Times New Roman" w:eastAsia="宋体" w:cs="Times New Roman"/>
          <w:color w:val="auto"/>
          <w:lang w:val="en-US" w:eastAsia="zh-CN"/>
        </w:rPr>
        <w:t>趸船</w:t>
      </w:r>
      <w:r>
        <w:rPr>
          <w:rFonts w:hint="default" w:ascii="Times New Roman" w:hAnsi="Times New Roman" w:eastAsia="宋体" w:cs="Times New Roman"/>
          <w:color w:val="auto"/>
        </w:rPr>
        <w:t>员工生活垃圾、船舶员工生活垃圾。船舶机修依托外部资源，不产生机修含油废物。</w:t>
      </w:r>
    </w:p>
    <w:p w14:paraId="1FB50B6F">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①码头员工生活垃圾</w:t>
      </w:r>
    </w:p>
    <w:p w14:paraId="7EC6B078">
      <w:pPr>
        <w:pStyle w:val="38"/>
        <w:keepNext w:val="0"/>
        <w:keepLines w:val="0"/>
        <w:pageBreakBefore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lang w:val="en-US" w:eastAsia="zh-CN"/>
        </w:rPr>
        <w:t>趸船</w:t>
      </w:r>
      <w:r>
        <w:rPr>
          <w:rFonts w:hint="default" w:ascii="Times New Roman" w:hAnsi="Times New Roman" w:eastAsia="宋体" w:cs="Times New Roman"/>
          <w:color w:val="auto"/>
        </w:rPr>
        <w:t>劳动定员约</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lang w:eastAsia="zh-CN"/>
        </w:rPr>
        <w:t>人</w:t>
      </w:r>
      <w:r>
        <w:rPr>
          <w:rFonts w:hint="default" w:ascii="Times New Roman" w:hAnsi="Times New Roman" w:eastAsia="宋体" w:cs="Times New Roman"/>
          <w:color w:val="auto"/>
        </w:rPr>
        <w:t>，生活垃圾产生量按0.5kg/人·d计，则每天可产生约</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kg的生活垃圾，</w:t>
      </w:r>
      <w:r>
        <w:rPr>
          <w:rFonts w:hint="default" w:ascii="Times New Roman" w:hAnsi="Times New Roman" w:eastAsia="宋体" w:cs="Times New Roman"/>
          <w:color w:val="auto"/>
          <w:lang w:eastAsia="zh-CN"/>
        </w:rPr>
        <w:t>则生活垃圾产生量为</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lang w:eastAsia="zh-CN"/>
        </w:rPr>
        <w:t>t/a，</w:t>
      </w:r>
      <w:r>
        <w:rPr>
          <w:rFonts w:hint="default" w:ascii="Times New Roman" w:hAnsi="Times New Roman" w:eastAsia="宋体" w:cs="Times New Roman"/>
          <w:color w:val="auto"/>
        </w:rPr>
        <w:t>生活垃圾</w:t>
      </w:r>
      <w:r>
        <w:rPr>
          <w:rFonts w:hint="default" w:ascii="Times New Roman" w:hAnsi="Times New Roman" w:eastAsia="宋体" w:cs="Times New Roman"/>
          <w:color w:val="auto"/>
          <w:lang w:eastAsia="zh-CN"/>
        </w:rPr>
        <w:t>经</w:t>
      </w:r>
      <w:r>
        <w:rPr>
          <w:rFonts w:hint="default" w:ascii="Times New Roman" w:hAnsi="Times New Roman" w:eastAsia="宋体" w:cs="Times New Roman"/>
          <w:color w:val="auto"/>
          <w:lang w:val="en-US" w:eastAsia="zh-CN"/>
        </w:rPr>
        <w:t>趸船</w:t>
      </w:r>
      <w:r>
        <w:rPr>
          <w:rFonts w:hint="default" w:ascii="Times New Roman" w:hAnsi="Times New Roman" w:eastAsia="宋体" w:cs="Times New Roman"/>
          <w:color w:val="auto"/>
        </w:rPr>
        <w:t>生活垃圾收集</w:t>
      </w:r>
      <w:r>
        <w:rPr>
          <w:rFonts w:hint="default" w:ascii="Times New Roman" w:hAnsi="Times New Roman" w:eastAsia="宋体" w:cs="Times New Roman"/>
          <w:color w:val="auto"/>
          <w:lang w:eastAsia="zh-CN"/>
        </w:rPr>
        <w:t>箱</w:t>
      </w:r>
      <w:r>
        <w:rPr>
          <w:rFonts w:hint="default" w:ascii="Times New Roman" w:hAnsi="Times New Roman" w:eastAsia="宋体" w:cs="Times New Roman"/>
          <w:color w:val="auto"/>
        </w:rPr>
        <w:t>收集后交环卫部门</w:t>
      </w:r>
      <w:r>
        <w:rPr>
          <w:rFonts w:hint="default" w:ascii="Times New Roman" w:hAnsi="Times New Roman" w:eastAsia="宋体" w:cs="Times New Roman"/>
          <w:color w:val="auto"/>
          <w:lang w:eastAsia="zh-CN"/>
        </w:rPr>
        <w:t>统一清运</w:t>
      </w:r>
      <w:r>
        <w:rPr>
          <w:rFonts w:hint="default" w:ascii="Times New Roman" w:hAnsi="Times New Roman" w:eastAsia="宋体" w:cs="Times New Roman"/>
          <w:color w:val="auto"/>
        </w:rPr>
        <w:t>。</w:t>
      </w:r>
    </w:p>
    <w:p w14:paraId="4BC02AD3">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②船舶员工生活垃圾</w:t>
      </w:r>
    </w:p>
    <w:p w14:paraId="0E06CB11">
      <w:pPr>
        <w:pStyle w:val="38"/>
        <w:keepNext w:val="0"/>
        <w:keepLines w:val="0"/>
        <w:pageBreakBefore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本项目年到港船只约</w:t>
      </w:r>
      <w:r>
        <w:rPr>
          <w:rFonts w:hint="default" w:ascii="Times New Roman" w:hAnsi="Times New Roman" w:eastAsia="宋体" w:cs="Times New Roman"/>
          <w:color w:val="auto"/>
          <w:lang w:val="en-US" w:eastAsia="zh-CN"/>
        </w:rPr>
        <w:t>900</w:t>
      </w:r>
      <w:r>
        <w:rPr>
          <w:rFonts w:hint="default" w:ascii="Times New Roman" w:hAnsi="Times New Roman" w:eastAsia="宋体" w:cs="Times New Roman"/>
          <w:color w:val="auto"/>
          <w:lang w:eastAsia="zh-CN"/>
        </w:rPr>
        <w:t>艘，船员以</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人/艘估算，</w:t>
      </w:r>
      <w:r>
        <w:rPr>
          <w:rFonts w:hint="default" w:ascii="Times New Roman" w:hAnsi="Times New Roman" w:eastAsia="宋体" w:cs="Times New Roman"/>
          <w:color w:val="auto"/>
        </w:rPr>
        <w:t>生活垃圾产生量按0.</w:t>
      </w:r>
      <w:r>
        <w:rPr>
          <w:rFonts w:hint="eastAsia" w:cs="Times New Roman"/>
          <w:color w:val="auto"/>
          <w:lang w:val="en-US" w:eastAsia="zh-CN"/>
        </w:rPr>
        <w:t>5</w:t>
      </w:r>
      <w:r>
        <w:rPr>
          <w:rFonts w:hint="default" w:ascii="Times New Roman" w:hAnsi="Times New Roman" w:eastAsia="宋体" w:cs="Times New Roman"/>
          <w:color w:val="auto"/>
        </w:rPr>
        <w:t>kg/人计，</w:t>
      </w:r>
      <w:r>
        <w:rPr>
          <w:rFonts w:hint="default" w:ascii="Times New Roman" w:hAnsi="Times New Roman" w:eastAsia="宋体" w:cs="Times New Roman"/>
          <w:color w:val="auto"/>
          <w:lang w:eastAsia="zh-CN"/>
        </w:rPr>
        <w:t>则生活垃圾产生量为</w:t>
      </w:r>
      <w:r>
        <w:rPr>
          <w:rFonts w:hint="eastAsia" w:cs="Times New Roman"/>
          <w:color w:val="auto"/>
          <w:lang w:val="en-US" w:eastAsia="zh-CN"/>
        </w:rPr>
        <w:t>2.7</w:t>
      </w:r>
      <w:r>
        <w:rPr>
          <w:rFonts w:hint="default" w:ascii="Times New Roman" w:hAnsi="Times New Roman" w:eastAsia="宋体" w:cs="Times New Roman"/>
          <w:color w:val="auto"/>
          <w:lang w:eastAsia="zh-CN"/>
        </w:rPr>
        <w:t>t/a，</w:t>
      </w:r>
      <w:r>
        <w:rPr>
          <w:rFonts w:hint="default" w:ascii="Times New Roman" w:hAnsi="Times New Roman" w:eastAsia="宋体" w:cs="Times New Roman"/>
          <w:color w:val="auto"/>
        </w:rPr>
        <w:t>船舶生活垃圾经趸船生活垃圾箱收集后交</w:t>
      </w:r>
      <w:r>
        <w:rPr>
          <w:rFonts w:hint="default" w:ascii="Times New Roman" w:hAnsi="Times New Roman" w:eastAsia="宋体" w:cs="Times New Roman"/>
          <w:color w:val="auto"/>
          <w:lang w:eastAsia="zh-CN"/>
        </w:rPr>
        <w:t>有</w:t>
      </w:r>
      <w:r>
        <w:rPr>
          <w:rFonts w:hint="default" w:ascii="Times New Roman" w:hAnsi="Times New Roman" w:eastAsia="宋体" w:cs="Times New Roman"/>
          <w:color w:val="auto"/>
          <w:lang w:val="en-US" w:eastAsia="zh-CN"/>
        </w:rPr>
        <w:t>环卫部门处理</w:t>
      </w:r>
      <w:r>
        <w:rPr>
          <w:rFonts w:hint="default" w:ascii="Times New Roman" w:hAnsi="Times New Roman" w:eastAsia="宋体" w:cs="Times New Roman"/>
          <w:color w:val="auto"/>
        </w:rPr>
        <w:t>。</w:t>
      </w:r>
    </w:p>
    <w:p w14:paraId="53890C05">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表3.7.</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 xml:space="preserve">   项目固体废物产排情况一览表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87"/>
        <w:gridCol w:w="2041"/>
        <w:gridCol w:w="1270"/>
        <w:gridCol w:w="1275"/>
        <w:gridCol w:w="2947"/>
      </w:tblGrid>
      <w:tr w14:paraId="1931A5D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1BF1ADB2">
            <w:pPr>
              <w:pStyle w:val="41"/>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序号</w:t>
            </w:r>
          </w:p>
        </w:tc>
        <w:tc>
          <w:tcPr>
            <w:tcW w:w="2041" w:type="dxa"/>
            <w:noWrap w:val="0"/>
            <w:vAlign w:val="center"/>
          </w:tcPr>
          <w:p w14:paraId="72D887B4">
            <w:pPr>
              <w:pStyle w:val="41"/>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固废名称</w:t>
            </w:r>
          </w:p>
        </w:tc>
        <w:tc>
          <w:tcPr>
            <w:tcW w:w="1270" w:type="dxa"/>
            <w:noWrap w:val="0"/>
            <w:vAlign w:val="center"/>
          </w:tcPr>
          <w:p w14:paraId="5459B59B">
            <w:pPr>
              <w:pStyle w:val="41"/>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属性类别</w:t>
            </w:r>
          </w:p>
        </w:tc>
        <w:tc>
          <w:tcPr>
            <w:tcW w:w="1275" w:type="dxa"/>
            <w:noWrap w:val="0"/>
            <w:vAlign w:val="center"/>
          </w:tcPr>
          <w:p w14:paraId="10BBE382">
            <w:pPr>
              <w:pStyle w:val="41"/>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排放量（t/a）</w:t>
            </w:r>
          </w:p>
        </w:tc>
        <w:tc>
          <w:tcPr>
            <w:tcW w:w="2947" w:type="dxa"/>
            <w:noWrap w:val="0"/>
            <w:vAlign w:val="center"/>
          </w:tcPr>
          <w:p w14:paraId="0C46CF31">
            <w:pPr>
              <w:pStyle w:val="41"/>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去向</w:t>
            </w:r>
          </w:p>
        </w:tc>
      </w:tr>
      <w:tr w14:paraId="1B105F2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4F1B609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041" w:type="dxa"/>
            <w:noWrap w:val="0"/>
            <w:vAlign w:val="center"/>
          </w:tcPr>
          <w:p w14:paraId="6A4A73C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趸船</w:t>
            </w:r>
            <w:r>
              <w:rPr>
                <w:rFonts w:hint="default" w:ascii="Times New Roman" w:hAnsi="Times New Roman" w:eastAsia="宋体" w:cs="Times New Roman"/>
                <w:color w:val="auto"/>
              </w:rPr>
              <w:t>员工生活垃圾</w:t>
            </w:r>
          </w:p>
        </w:tc>
        <w:tc>
          <w:tcPr>
            <w:tcW w:w="1270" w:type="dxa"/>
            <w:noWrap w:val="0"/>
            <w:vAlign w:val="center"/>
          </w:tcPr>
          <w:p w14:paraId="7DE712B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1275" w:type="dxa"/>
            <w:noWrap w:val="0"/>
            <w:vAlign w:val="center"/>
          </w:tcPr>
          <w:p w14:paraId="44F5A450">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2947" w:type="dxa"/>
            <w:noWrap w:val="0"/>
            <w:vAlign w:val="center"/>
          </w:tcPr>
          <w:p w14:paraId="12CA245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生活垃圾收集箱收集后交环卫部门统一清运</w:t>
            </w:r>
          </w:p>
        </w:tc>
      </w:tr>
      <w:tr w14:paraId="6983DED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2D9B2DE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041" w:type="dxa"/>
            <w:noWrap w:val="0"/>
            <w:vAlign w:val="center"/>
          </w:tcPr>
          <w:p w14:paraId="24F8257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船舶员工生活垃圾</w:t>
            </w:r>
          </w:p>
        </w:tc>
        <w:tc>
          <w:tcPr>
            <w:tcW w:w="1270" w:type="dxa"/>
            <w:noWrap w:val="0"/>
            <w:vAlign w:val="center"/>
          </w:tcPr>
          <w:p w14:paraId="78BE4FF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1275" w:type="dxa"/>
            <w:noWrap w:val="0"/>
            <w:vAlign w:val="center"/>
          </w:tcPr>
          <w:p w14:paraId="1B03868A">
            <w:pPr>
              <w:pStyle w:val="41"/>
              <w:bidi w:val="0"/>
              <w:rPr>
                <w:rFonts w:hint="default" w:ascii="Times New Roman" w:hAnsi="Times New Roman" w:eastAsia="宋体" w:cs="Times New Roman"/>
                <w:color w:val="auto"/>
                <w:lang w:val="en-US" w:eastAsia="zh-CN"/>
              </w:rPr>
            </w:pPr>
            <w:r>
              <w:rPr>
                <w:rFonts w:hint="eastAsia" w:cs="Times New Roman"/>
                <w:color w:val="auto"/>
                <w:lang w:val="en-US" w:eastAsia="zh-CN"/>
              </w:rPr>
              <w:t>2.7</w:t>
            </w:r>
          </w:p>
        </w:tc>
        <w:tc>
          <w:tcPr>
            <w:tcW w:w="2947" w:type="dxa"/>
            <w:noWrap w:val="0"/>
            <w:vAlign w:val="center"/>
          </w:tcPr>
          <w:p w14:paraId="1E594B1A">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u w:val="none"/>
                <w:lang w:val="en-US"/>
              </w:rPr>
              <w:t>经趸船生活垃圾箱收集后交具有专业资质的接收船接收</w:t>
            </w:r>
          </w:p>
        </w:tc>
      </w:tr>
    </w:tbl>
    <w:p w14:paraId="5C21C847">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3.7.4.5 生态环境影响</w:t>
      </w:r>
    </w:p>
    <w:p w14:paraId="15905472">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en-US"/>
        </w:rPr>
        <w:t>本项目到港船只吃水水深≤</w:t>
      </w:r>
      <w:r>
        <w:rPr>
          <w:rFonts w:hint="default" w:ascii="Times New Roman" w:hAnsi="Times New Roman" w:eastAsia="宋体" w:cs="Times New Roman"/>
          <w:color w:val="auto"/>
          <w:lang w:val="en-US" w:eastAsia="zh-CN"/>
        </w:rPr>
        <w:t>1.0m，江段平均水深7-8m，鱼类仍可在到港船舶下面游动，但是随着到港船舶数量的增加，压缩了鱼类的生存空间，强大的噪声污染干扰了它们正常的生存环境，将会对鱼类产生一定影响。</w:t>
      </w:r>
    </w:p>
    <w:p w14:paraId="03875EA0">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（2）由于船舶的操作不当、碰撞、搁浅，从而引起船舶溢油事故，造成船舶燃料油溢漏入湘江，将影响湘江的生态环境。</w:t>
      </w:r>
    </w:p>
    <w:p w14:paraId="7024492F">
      <w:pPr>
        <w:pStyle w:val="38"/>
        <w:ind w:firstLine="480"/>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rPr>
        <w:t>本项目</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rPr>
        <w:t>东洞庭湖江豚自然保护区</w:t>
      </w:r>
      <w:r>
        <w:rPr>
          <w:rFonts w:hint="default" w:ascii="Times New Roman" w:hAnsi="Times New Roman" w:eastAsia="宋体" w:cs="Times New Roman"/>
          <w:color w:val="auto"/>
          <w:sz w:val="24"/>
          <w:szCs w:val="24"/>
          <w:lang w:val="en-US" w:eastAsia="zh-CN"/>
        </w:rPr>
        <w:t>缓冲区，</w:t>
      </w:r>
      <w:r>
        <w:rPr>
          <w:rFonts w:hint="default" w:ascii="Times New Roman" w:hAnsi="Times New Roman" w:eastAsia="宋体" w:cs="Times New Roman"/>
          <w:color w:val="auto"/>
          <w:sz w:val="24"/>
          <w:szCs w:val="24"/>
          <w:lang w:eastAsia="zh-CN"/>
        </w:rPr>
        <w:t>目前已编制了《</w:t>
      </w:r>
      <w:bookmarkStart w:id="473" w:name="_Toc16196"/>
      <w:r>
        <w:rPr>
          <w:rFonts w:hint="default" w:ascii="Times New Roman" w:hAnsi="Times New Roman" w:eastAsia="宋体" w:cs="Times New Roman"/>
          <w:color w:val="auto"/>
          <w:sz w:val="24"/>
          <w:szCs w:val="24"/>
          <w:lang w:eastAsia="zh-CN"/>
        </w:rPr>
        <w:t>岳阳县鹿角交通渔政综合</w:t>
      </w:r>
      <w:r>
        <w:rPr>
          <w:rFonts w:hint="default" w:ascii="Times New Roman" w:hAnsi="Times New Roman" w:eastAsia="宋体" w:cs="Times New Roman"/>
          <w:color w:val="auto"/>
          <w:sz w:val="24"/>
          <w:szCs w:val="24"/>
          <w:lang w:val="en-US" w:eastAsia="zh-CN"/>
        </w:rPr>
        <w:t>执法</w:t>
      </w:r>
      <w:r>
        <w:rPr>
          <w:rFonts w:hint="default" w:ascii="Times New Roman" w:hAnsi="Times New Roman" w:eastAsia="宋体" w:cs="Times New Roman"/>
          <w:color w:val="auto"/>
          <w:sz w:val="24"/>
          <w:szCs w:val="24"/>
          <w:lang w:eastAsia="zh-CN"/>
        </w:rPr>
        <w:t>码头提质改造工程</w:t>
      </w:r>
      <w:bookmarkEnd w:id="473"/>
      <w:bookmarkStart w:id="474" w:name="_Toc26630"/>
      <w:r>
        <w:rPr>
          <w:rFonts w:hint="default" w:ascii="Times New Roman" w:hAnsi="Times New Roman" w:eastAsia="宋体" w:cs="Times New Roman"/>
          <w:color w:val="auto"/>
          <w:sz w:val="24"/>
          <w:szCs w:val="24"/>
          <w:lang w:eastAsia="zh-CN"/>
        </w:rPr>
        <w:t>对湖南东洞庭湖国家级自然保护区</w:t>
      </w:r>
      <w:bookmarkEnd w:id="474"/>
      <w:bookmarkStart w:id="475" w:name="_Toc7602"/>
      <w:r>
        <w:rPr>
          <w:rFonts w:hint="default" w:ascii="Times New Roman" w:hAnsi="Times New Roman" w:eastAsia="宋体" w:cs="Times New Roman"/>
          <w:color w:val="auto"/>
          <w:sz w:val="24"/>
          <w:szCs w:val="24"/>
          <w:lang w:eastAsia="zh-CN"/>
        </w:rPr>
        <w:t>生态影响专题报告</w:t>
      </w:r>
      <w:bookmarkEnd w:id="475"/>
      <w:r>
        <w:rPr>
          <w:rFonts w:hint="default" w:ascii="Times New Roman" w:hAnsi="Times New Roman" w:eastAsia="宋体" w:cs="Times New Roman"/>
          <w:color w:val="auto"/>
          <w:sz w:val="24"/>
          <w:szCs w:val="24"/>
          <w:lang w:eastAsia="zh-CN"/>
        </w:rPr>
        <w:t>》。本项目生态影响分析全部引用生态影响专题报告中结论进行评价。</w:t>
      </w:r>
    </w:p>
    <w:p w14:paraId="6D4D3AEA">
      <w:pPr>
        <w:pStyle w:val="38"/>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对水生生物的影响</w:t>
      </w:r>
    </w:p>
    <w:p w14:paraId="2631F18E">
      <w:pPr>
        <w:pStyle w:val="3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本项目施工期河底扰动将会造成局部范围水域浊度和悬浮物增加，对鱼类、浮游动植物的生境将会产生短期的局部影响。</w:t>
      </w:r>
    </w:p>
    <w:p w14:paraId="0ADB472E">
      <w:pPr>
        <w:pStyle w:val="38"/>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②对江豚洄游的影响</w:t>
      </w:r>
    </w:p>
    <w:p w14:paraId="67E50719">
      <w:pPr>
        <w:pStyle w:val="15"/>
        <w:numPr>
          <w:ilvl w:val="0"/>
          <w:numId w:val="0"/>
        </w:numPr>
        <w:ind w:leftChars="0" w:firstLine="42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本项目进港船舶停留在湘江水面将占用一部分过水断面，使过水断面面积减少，船舶对水流形态有一定的干扰，使局部流程发生改变，对江豚等水生动物迁移将会产生短期的局部影响。</w:t>
      </w:r>
    </w:p>
    <w:p w14:paraId="7C614620">
      <w:pPr>
        <w:rPr>
          <w:rFonts w:hint="default" w:ascii="Times New Roman" w:hAnsi="Times New Roman" w:eastAsia="宋体" w:cs="Times New Roman"/>
          <w:color w:val="auto"/>
          <w:sz w:val="28"/>
          <w:szCs w:val="28"/>
          <w:lang w:val="en-US" w:eastAsia="zh-CN"/>
        </w:rPr>
        <w:sectPr>
          <w:footerReference r:id="rId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eastAsia="宋体" w:cs="Times New Roman"/>
          <w:color w:val="auto"/>
          <w:sz w:val="24"/>
          <w:szCs w:val="24"/>
          <w:lang w:val="en-US" w:eastAsia="zh-CN"/>
        </w:rPr>
        <w:br w:type="page"/>
      </w:r>
      <w:bookmarkStart w:id="476" w:name="_Toc3025"/>
      <w:bookmarkStart w:id="477" w:name="_Toc29939"/>
    </w:p>
    <w:p w14:paraId="1F467136">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478" w:name="_Toc29843"/>
      <w:bookmarkStart w:id="479" w:name="_Toc30976"/>
      <w:r>
        <w:rPr>
          <w:rFonts w:hint="default" w:ascii="Times New Roman" w:hAnsi="Times New Roman" w:eastAsia="宋体" w:cs="Times New Roman"/>
          <w:color w:val="auto"/>
          <w:sz w:val="28"/>
          <w:szCs w:val="28"/>
          <w:lang w:val="en-US" w:eastAsia="zh-CN"/>
        </w:rPr>
        <w:t>3.9</w:t>
      </w:r>
      <w:r>
        <w:rPr>
          <w:rFonts w:hint="default" w:ascii="Times New Roman" w:hAnsi="Times New Roman" w:eastAsia="宋体" w:cs="Times New Roman"/>
          <w:color w:val="auto"/>
          <w:sz w:val="28"/>
          <w:szCs w:val="28"/>
        </w:rPr>
        <w:t>污染物排放量汇总</w:t>
      </w:r>
      <w:bookmarkEnd w:id="476"/>
      <w:bookmarkEnd w:id="477"/>
      <w:bookmarkEnd w:id="478"/>
      <w:bookmarkEnd w:id="479"/>
    </w:p>
    <w:p w14:paraId="48AACC88">
      <w:pPr>
        <w:pStyle w:val="38"/>
        <w:pageBreakBefore w:val="0"/>
        <w:kinsoku/>
        <w:wordWrap/>
        <w:overflowPunct/>
        <w:topLinePunct w:val="0"/>
        <w:autoSpaceDE/>
        <w:autoSpaceDN/>
        <w:bidi w:val="0"/>
        <w:adjustRightInd/>
        <w:snapToGrid/>
        <w:spacing w:line="24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通过上述工程分析，本项目污染物排放量汇总见下表。</w:t>
      </w:r>
    </w:p>
    <w:p w14:paraId="36B26B78">
      <w:pPr>
        <w:pStyle w:val="4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项目污染物产生及排放情况汇总表 单位：t/a</w:t>
      </w:r>
    </w:p>
    <w:tbl>
      <w:tblPr>
        <w:tblStyle w:val="29"/>
        <w:tblW w:w="13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45"/>
        <w:gridCol w:w="1359"/>
        <w:gridCol w:w="1017"/>
        <w:gridCol w:w="1850"/>
        <w:gridCol w:w="1517"/>
        <w:gridCol w:w="1766"/>
        <w:gridCol w:w="1600"/>
        <w:gridCol w:w="2782"/>
      </w:tblGrid>
      <w:tr w14:paraId="603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56" w:type="dxa"/>
            <w:vMerge w:val="restart"/>
            <w:noWrap w:val="0"/>
            <w:vAlign w:val="center"/>
          </w:tcPr>
          <w:p w14:paraId="5612470F">
            <w:pPr>
              <w:pStyle w:val="41"/>
              <w:rPr>
                <w:rFonts w:hint="default" w:ascii="Times New Roman" w:hAnsi="Times New Roman" w:eastAsia="宋体" w:cs="Times New Roman"/>
                <w:b/>
                <w:bCs/>
                <w:color w:val="auto"/>
                <w:kern w:val="2"/>
                <w:sz w:val="21"/>
                <w:szCs w:val="24"/>
                <w:lang w:val="en-US" w:eastAsia="zh-CN"/>
              </w:rPr>
            </w:pPr>
            <w:bookmarkStart w:id="480" w:name="_Hlk509235414"/>
            <w:r>
              <w:rPr>
                <w:rFonts w:hint="default" w:ascii="Times New Roman" w:hAnsi="Times New Roman" w:eastAsia="宋体" w:cs="Times New Roman"/>
                <w:b/>
                <w:bCs/>
                <w:color w:val="auto"/>
                <w:kern w:val="2"/>
                <w:sz w:val="21"/>
                <w:szCs w:val="24"/>
                <w:lang w:val="en-US" w:eastAsia="zh-CN"/>
              </w:rPr>
              <w:t>废水</w:t>
            </w:r>
          </w:p>
        </w:tc>
        <w:tc>
          <w:tcPr>
            <w:tcW w:w="1545" w:type="dxa"/>
            <w:vMerge w:val="restart"/>
            <w:noWrap w:val="0"/>
            <w:vAlign w:val="center"/>
          </w:tcPr>
          <w:p w14:paraId="4982F3F2">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废水类型</w:t>
            </w:r>
          </w:p>
        </w:tc>
        <w:tc>
          <w:tcPr>
            <w:tcW w:w="2376" w:type="dxa"/>
            <w:gridSpan w:val="2"/>
            <w:vMerge w:val="restart"/>
            <w:noWrap w:val="0"/>
            <w:vAlign w:val="center"/>
          </w:tcPr>
          <w:p w14:paraId="342125AA">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污染物</w:t>
            </w:r>
          </w:p>
        </w:tc>
        <w:tc>
          <w:tcPr>
            <w:tcW w:w="3367" w:type="dxa"/>
            <w:gridSpan w:val="2"/>
            <w:noWrap w:val="0"/>
            <w:vAlign w:val="center"/>
          </w:tcPr>
          <w:p w14:paraId="042C2213">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产生情况</w:t>
            </w:r>
          </w:p>
        </w:tc>
        <w:tc>
          <w:tcPr>
            <w:tcW w:w="3366" w:type="dxa"/>
            <w:gridSpan w:val="2"/>
            <w:noWrap w:val="0"/>
            <w:vAlign w:val="center"/>
          </w:tcPr>
          <w:p w14:paraId="53C898C4">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排放情况</w:t>
            </w:r>
          </w:p>
        </w:tc>
        <w:tc>
          <w:tcPr>
            <w:tcW w:w="2782" w:type="dxa"/>
            <w:vMerge w:val="restart"/>
            <w:noWrap w:val="0"/>
            <w:vAlign w:val="center"/>
          </w:tcPr>
          <w:p w14:paraId="196D996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治理措施</w:t>
            </w:r>
          </w:p>
        </w:tc>
      </w:tr>
      <w:tr w14:paraId="2C70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07157303">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496DAE47">
            <w:pPr>
              <w:pStyle w:val="41"/>
              <w:rPr>
                <w:rFonts w:hint="default" w:ascii="Times New Roman" w:hAnsi="Times New Roman" w:eastAsia="宋体" w:cs="Times New Roman"/>
                <w:b/>
                <w:bCs/>
                <w:color w:val="auto"/>
                <w:kern w:val="2"/>
                <w:sz w:val="21"/>
                <w:szCs w:val="24"/>
                <w:lang w:val="en-US" w:eastAsia="zh-CN"/>
              </w:rPr>
            </w:pPr>
          </w:p>
        </w:tc>
        <w:tc>
          <w:tcPr>
            <w:tcW w:w="2376" w:type="dxa"/>
            <w:gridSpan w:val="2"/>
            <w:vMerge w:val="continue"/>
            <w:noWrap w:val="0"/>
            <w:vAlign w:val="center"/>
          </w:tcPr>
          <w:p w14:paraId="0514B734">
            <w:pPr>
              <w:pStyle w:val="41"/>
              <w:rPr>
                <w:rFonts w:hint="default" w:ascii="Times New Roman" w:hAnsi="Times New Roman" w:eastAsia="宋体" w:cs="Times New Roman"/>
                <w:b/>
                <w:bCs/>
                <w:color w:val="auto"/>
                <w:kern w:val="2"/>
                <w:sz w:val="21"/>
                <w:szCs w:val="24"/>
                <w:lang w:val="en-US" w:eastAsia="zh-CN"/>
              </w:rPr>
            </w:pPr>
          </w:p>
        </w:tc>
        <w:tc>
          <w:tcPr>
            <w:tcW w:w="1850" w:type="dxa"/>
            <w:noWrap w:val="0"/>
            <w:vAlign w:val="center"/>
          </w:tcPr>
          <w:p w14:paraId="52E4DB6F">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产生浓度（</w:t>
            </w:r>
            <w:r>
              <w:rPr>
                <w:rFonts w:hint="default" w:ascii="Times New Roman" w:hAnsi="Times New Roman" w:eastAsia="宋体" w:cs="Times New Roman"/>
                <w:b/>
                <w:bCs/>
                <w:color w:val="auto"/>
                <w:kern w:val="2"/>
                <w:sz w:val="21"/>
                <w:szCs w:val="24"/>
                <w:lang w:val="nl-NL" w:eastAsia="zh-CN"/>
              </w:rPr>
              <w:t>mg/L</w:t>
            </w:r>
            <w:r>
              <w:rPr>
                <w:rFonts w:hint="default" w:ascii="Times New Roman" w:hAnsi="Times New Roman" w:eastAsia="宋体" w:cs="Times New Roman"/>
                <w:b/>
                <w:bCs/>
                <w:color w:val="auto"/>
                <w:kern w:val="2"/>
                <w:sz w:val="21"/>
                <w:szCs w:val="24"/>
                <w:lang w:val="en-US" w:eastAsia="zh-CN"/>
              </w:rPr>
              <w:t>）</w:t>
            </w:r>
          </w:p>
        </w:tc>
        <w:tc>
          <w:tcPr>
            <w:tcW w:w="1517" w:type="dxa"/>
            <w:noWrap w:val="0"/>
            <w:vAlign w:val="center"/>
          </w:tcPr>
          <w:p w14:paraId="6F9AF88C">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产生量（t/a）</w:t>
            </w:r>
          </w:p>
        </w:tc>
        <w:tc>
          <w:tcPr>
            <w:tcW w:w="1766" w:type="dxa"/>
            <w:noWrap w:val="0"/>
            <w:vAlign w:val="center"/>
          </w:tcPr>
          <w:p w14:paraId="09B03C96">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排放浓度（</w:t>
            </w:r>
            <w:r>
              <w:rPr>
                <w:rFonts w:hint="default" w:ascii="Times New Roman" w:hAnsi="Times New Roman" w:eastAsia="宋体" w:cs="Times New Roman"/>
                <w:b/>
                <w:bCs/>
                <w:color w:val="auto"/>
                <w:kern w:val="2"/>
                <w:sz w:val="21"/>
                <w:szCs w:val="24"/>
                <w:lang w:val="nl-NL" w:eastAsia="zh-CN"/>
              </w:rPr>
              <w:t>mg/L</w:t>
            </w:r>
            <w:r>
              <w:rPr>
                <w:rFonts w:hint="default" w:ascii="Times New Roman" w:hAnsi="Times New Roman" w:eastAsia="宋体" w:cs="Times New Roman"/>
                <w:b/>
                <w:bCs/>
                <w:color w:val="auto"/>
                <w:kern w:val="2"/>
                <w:sz w:val="21"/>
                <w:szCs w:val="24"/>
                <w:lang w:val="en-US" w:eastAsia="zh-CN"/>
              </w:rPr>
              <w:t>）</w:t>
            </w:r>
          </w:p>
        </w:tc>
        <w:tc>
          <w:tcPr>
            <w:tcW w:w="1600" w:type="dxa"/>
            <w:noWrap w:val="0"/>
            <w:vAlign w:val="center"/>
          </w:tcPr>
          <w:p w14:paraId="584F3F4A">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排放量（t/a）</w:t>
            </w:r>
          </w:p>
        </w:tc>
        <w:tc>
          <w:tcPr>
            <w:tcW w:w="2782" w:type="dxa"/>
            <w:vMerge w:val="continue"/>
            <w:noWrap w:val="0"/>
            <w:vAlign w:val="center"/>
          </w:tcPr>
          <w:p w14:paraId="45283044">
            <w:pPr>
              <w:pStyle w:val="41"/>
              <w:rPr>
                <w:rFonts w:hint="default" w:ascii="Times New Roman" w:hAnsi="Times New Roman" w:eastAsia="宋体" w:cs="Times New Roman"/>
                <w:color w:val="auto"/>
                <w:kern w:val="2"/>
                <w:sz w:val="21"/>
                <w:szCs w:val="24"/>
                <w:lang w:val="en-US" w:eastAsia="zh-CN"/>
              </w:rPr>
            </w:pPr>
          </w:p>
        </w:tc>
      </w:tr>
      <w:tr w14:paraId="206F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4CCE8363">
            <w:pPr>
              <w:pStyle w:val="41"/>
              <w:rPr>
                <w:rFonts w:hint="default" w:ascii="Times New Roman" w:hAnsi="Times New Roman" w:eastAsia="宋体" w:cs="Times New Roman"/>
                <w:b/>
                <w:bCs/>
                <w:color w:val="auto"/>
                <w:kern w:val="2"/>
                <w:sz w:val="21"/>
                <w:szCs w:val="24"/>
                <w:lang w:val="en-US" w:eastAsia="zh-CN"/>
              </w:rPr>
            </w:pPr>
          </w:p>
        </w:tc>
        <w:tc>
          <w:tcPr>
            <w:tcW w:w="1545" w:type="dxa"/>
            <w:vMerge w:val="restart"/>
            <w:noWrap w:val="0"/>
            <w:vAlign w:val="center"/>
          </w:tcPr>
          <w:p w14:paraId="1A445D9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生活污水</w:t>
            </w:r>
          </w:p>
        </w:tc>
        <w:tc>
          <w:tcPr>
            <w:tcW w:w="2376" w:type="dxa"/>
            <w:gridSpan w:val="2"/>
            <w:noWrap w:val="0"/>
            <w:vAlign w:val="center"/>
          </w:tcPr>
          <w:p w14:paraId="3AEA1C2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废水量</w:t>
            </w:r>
          </w:p>
        </w:tc>
        <w:tc>
          <w:tcPr>
            <w:tcW w:w="1850" w:type="dxa"/>
            <w:noWrap w:val="0"/>
            <w:vAlign w:val="center"/>
          </w:tcPr>
          <w:p w14:paraId="0926D9E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517" w:type="dxa"/>
            <w:noWrap w:val="0"/>
            <w:vAlign w:val="center"/>
          </w:tcPr>
          <w:p w14:paraId="6E0FAA1B">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lang w:val="en-US" w:eastAsia="zh-CN"/>
              </w:rPr>
              <w:t>64.8</w:t>
            </w:r>
          </w:p>
        </w:tc>
        <w:tc>
          <w:tcPr>
            <w:tcW w:w="1766" w:type="dxa"/>
            <w:noWrap w:val="0"/>
            <w:vAlign w:val="center"/>
          </w:tcPr>
          <w:p w14:paraId="6EABA1D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4DBDC8C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lang w:val="en-US" w:eastAsia="zh-CN"/>
              </w:rPr>
              <w:t>0</w:t>
            </w:r>
          </w:p>
        </w:tc>
        <w:tc>
          <w:tcPr>
            <w:tcW w:w="2782" w:type="dxa"/>
            <w:vMerge w:val="restart"/>
            <w:noWrap w:val="0"/>
            <w:vAlign w:val="center"/>
          </w:tcPr>
          <w:p w14:paraId="17F40746">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经收集后交由化粪池预处理后作为区域灌溉水回用</w:t>
            </w:r>
          </w:p>
        </w:tc>
      </w:tr>
      <w:tr w14:paraId="4795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1D95819F">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0A97747A">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199A19BA">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COD</w:t>
            </w:r>
          </w:p>
        </w:tc>
        <w:tc>
          <w:tcPr>
            <w:tcW w:w="1850" w:type="dxa"/>
            <w:noWrap w:val="0"/>
            <w:vAlign w:val="center"/>
          </w:tcPr>
          <w:p w14:paraId="55C9D4AA">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350</w:t>
            </w:r>
          </w:p>
        </w:tc>
        <w:tc>
          <w:tcPr>
            <w:tcW w:w="1517" w:type="dxa"/>
            <w:noWrap w:val="0"/>
            <w:vAlign w:val="center"/>
          </w:tcPr>
          <w:p w14:paraId="61FC4078">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0.023</w:t>
            </w:r>
          </w:p>
        </w:tc>
        <w:tc>
          <w:tcPr>
            <w:tcW w:w="1766" w:type="dxa"/>
            <w:noWrap w:val="0"/>
            <w:vAlign w:val="center"/>
          </w:tcPr>
          <w:p w14:paraId="79C2249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6EBD267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2782" w:type="dxa"/>
            <w:vMerge w:val="continue"/>
            <w:noWrap w:val="0"/>
            <w:vAlign w:val="center"/>
          </w:tcPr>
          <w:p w14:paraId="42A7332E">
            <w:pPr>
              <w:pStyle w:val="41"/>
              <w:rPr>
                <w:rFonts w:hint="default" w:ascii="Times New Roman" w:hAnsi="Times New Roman" w:eastAsia="宋体" w:cs="Times New Roman"/>
                <w:color w:val="auto"/>
                <w:kern w:val="2"/>
                <w:sz w:val="21"/>
                <w:szCs w:val="24"/>
                <w:lang w:val="en-US" w:eastAsia="zh-CN"/>
              </w:rPr>
            </w:pPr>
          </w:p>
        </w:tc>
      </w:tr>
      <w:tr w14:paraId="21E2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2C5F2259">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71008154">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05F0AA18">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850" w:type="dxa"/>
            <w:noWrap w:val="0"/>
            <w:vAlign w:val="center"/>
          </w:tcPr>
          <w:p w14:paraId="52802BAA">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250</w:t>
            </w:r>
          </w:p>
        </w:tc>
        <w:tc>
          <w:tcPr>
            <w:tcW w:w="1517" w:type="dxa"/>
            <w:noWrap w:val="0"/>
            <w:vAlign w:val="center"/>
          </w:tcPr>
          <w:p w14:paraId="57325835">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 xml:space="preserve">0.016 </w:t>
            </w:r>
          </w:p>
        </w:tc>
        <w:tc>
          <w:tcPr>
            <w:tcW w:w="1766" w:type="dxa"/>
            <w:noWrap w:val="0"/>
            <w:vAlign w:val="center"/>
          </w:tcPr>
          <w:p w14:paraId="371989D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00BDB7F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2782" w:type="dxa"/>
            <w:vMerge w:val="continue"/>
            <w:noWrap w:val="0"/>
            <w:vAlign w:val="center"/>
          </w:tcPr>
          <w:p w14:paraId="7C6E0213">
            <w:pPr>
              <w:pStyle w:val="41"/>
              <w:rPr>
                <w:rFonts w:hint="default" w:ascii="Times New Roman" w:hAnsi="Times New Roman" w:eastAsia="宋体" w:cs="Times New Roman"/>
                <w:color w:val="auto"/>
                <w:kern w:val="2"/>
                <w:sz w:val="21"/>
                <w:szCs w:val="24"/>
                <w:lang w:val="en-US" w:eastAsia="zh-CN"/>
              </w:rPr>
            </w:pPr>
          </w:p>
        </w:tc>
      </w:tr>
      <w:tr w14:paraId="14D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5502721A">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7845AEDF">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701A7A25">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SS</w:t>
            </w:r>
          </w:p>
        </w:tc>
        <w:tc>
          <w:tcPr>
            <w:tcW w:w="1850" w:type="dxa"/>
            <w:noWrap w:val="0"/>
            <w:vAlign w:val="center"/>
          </w:tcPr>
          <w:p w14:paraId="76B0E1EE">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400</w:t>
            </w:r>
          </w:p>
        </w:tc>
        <w:tc>
          <w:tcPr>
            <w:tcW w:w="1517" w:type="dxa"/>
            <w:noWrap w:val="0"/>
            <w:vAlign w:val="center"/>
          </w:tcPr>
          <w:p w14:paraId="44538409">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0.026</w:t>
            </w:r>
          </w:p>
        </w:tc>
        <w:tc>
          <w:tcPr>
            <w:tcW w:w="1766" w:type="dxa"/>
            <w:noWrap w:val="0"/>
            <w:vAlign w:val="center"/>
          </w:tcPr>
          <w:p w14:paraId="0546EBD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6D20600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2782" w:type="dxa"/>
            <w:vMerge w:val="continue"/>
            <w:noWrap w:val="0"/>
            <w:vAlign w:val="center"/>
          </w:tcPr>
          <w:p w14:paraId="2890CF1C">
            <w:pPr>
              <w:pStyle w:val="41"/>
              <w:rPr>
                <w:rFonts w:hint="default" w:ascii="Times New Roman" w:hAnsi="Times New Roman" w:eastAsia="宋体" w:cs="Times New Roman"/>
                <w:color w:val="auto"/>
                <w:kern w:val="2"/>
                <w:sz w:val="21"/>
                <w:szCs w:val="24"/>
                <w:lang w:val="en-US" w:eastAsia="zh-CN"/>
              </w:rPr>
            </w:pPr>
          </w:p>
        </w:tc>
      </w:tr>
      <w:tr w14:paraId="55E7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78637617">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3E6A42D6">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31D3A1C5">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NH3-N</w:t>
            </w:r>
          </w:p>
        </w:tc>
        <w:tc>
          <w:tcPr>
            <w:tcW w:w="1850" w:type="dxa"/>
            <w:noWrap w:val="0"/>
            <w:vAlign w:val="center"/>
          </w:tcPr>
          <w:p w14:paraId="5285C6B4">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40</w:t>
            </w:r>
          </w:p>
        </w:tc>
        <w:tc>
          <w:tcPr>
            <w:tcW w:w="1517" w:type="dxa"/>
            <w:noWrap w:val="0"/>
            <w:vAlign w:val="center"/>
          </w:tcPr>
          <w:p w14:paraId="59AEEC2C">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0.003</w:t>
            </w:r>
          </w:p>
        </w:tc>
        <w:tc>
          <w:tcPr>
            <w:tcW w:w="1766" w:type="dxa"/>
            <w:noWrap w:val="0"/>
            <w:vAlign w:val="center"/>
          </w:tcPr>
          <w:p w14:paraId="480AA815">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54384CF0">
            <w:pPr>
              <w:pStyle w:val="41"/>
              <w:rPr>
                <w:rFonts w:hint="default" w:ascii="Times New Roman" w:hAnsi="Times New Roman" w:eastAsia="宋体" w:cs="Times New Roman"/>
                <w:color w:val="auto"/>
                <w:kern w:val="2"/>
                <w:sz w:val="21"/>
                <w:szCs w:val="24"/>
                <w:lang w:val="en-US" w:eastAsia="zh-CN"/>
              </w:rPr>
            </w:pPr>
          </w:p>
        </w:tc>
        <w:tc>
          <w:tcPr>
            <w:tcW w:w="2782" w:type="dxa"/>
            <w:vMerge w:val="continue"/>
            <w:noWrap w:val="0"/>
            <w:vAlign w:val="center"/>
          </w:tcPr>
          <w:p w14:paraId="5B80635D">
            <w:pPr>
              <w:pStyle w:val="41"/>
              <w:rPr>
                <w:rFonts w:hint="default" w:ascii="Times New Roman" w:hAnsi="Times New Roman" w:eastAsia="宋体" w:cs="Times New Roman"/>
                <w:color w:val="auto"/>
                <w:kern w:val="2"/>
                <w:sz w:val="21"/>
                <w:szCs w:val="24"/>
                <w:lang w:val="en-US" w:eastAsia="zh-CN"/>
              </w:rPr>
            </w:pPr>
          </w:p>
        </w:tc>
      </w:tr>
      <w:tr w14:paraId="68E0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6" w:type="dxa"/>
            <w:vMerge w:val="continue"/>
            <w:noWrap w:val="0"/>
            <w:vAlign w:val="center"/>
          </w:tcPr>
          <w:p w14:paraId="6C48DD84">
            <w:pPr>
              <w:pStyle w:val="41"/>
              <w:rPr>
                <w:rFonts w:hint="default" w:ascii="Times New Roman" w:hAnsi="Times New Roman" w:eastAsia="宋体" w:cs="Times New Roman"/>
                <w:b/>
                <w:bCs/>
                <w:color w:val="auto"/>
                <w:kern w:val="2"/>
                <w:sz w:val="21"/>
                <w:szCs w:val="24"/>
                <w:lang w:val="en-US" w:eastAsia="zh-CN"/>
              </w:rPr>
            </w:pPr>
          </w:p>
        </w:tc>
        <w:tc>
          <w:tcPr>
            <w:tcW w:w="1545" w:type="dxa"/>
            <w:vMerge w:val="restart"/>
            <w:noWrap w:val="0"/>
            <w:vAlign w:val="center"/>
          </w:tcPr>
          <w:p w14:paraId="71282A2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船舶含油废水</w:t>
            </w:r>
          </w:p>
        </w:tc>
        <w:tc>
          <w:tcPr>
            <w:tcW w:w="2376" w:type="dxa"/>
            <w:gridSpan w:val="2"/>
            <w:noWrap w:val="0"/>
            <w:vAlign w:val="center"/>
          </w:tcPr>
          <w:p w14:paraId="5F5AFF4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废水量</w:t>
            </w:r>
          </w:p>
        </w:tc>
        <w:tc>
          <w:tcPr>
            <w:tcW w:w="1850" w:type="dxa"/>
            <w:noWrap w:val="0"/>
            <w:vAlign w:val="center"/>
          </w:tcPr>
          <w:p w14:paraId="3D10400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517" w:type="dxa"/>
            <w:noWrap w:val="0"/>
            <w:vAlign w:val="center"/>
          </w:tcPr>
          <w:p w14:paraId="042F3EAE">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150</w:t>
            </w:r>
          </w:p>
        </w:tc>
        <w:tc>
          <w:tcPr>
            <w:tcW w:w="1766" w:type="dxa"/>
            <w:noWrap w:val="0"/>
            <w:vAlign w:val="center"/>
          </w:tcPr>
          <w:p w14:paraId="5B6D881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582F0E7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0</w:t>
            </w:r>
          </w:p>
        </w:tc>
        <w:tc>
          <w:tcPr>
            <w:tcW w:w="2782" w:type="dxa"/>
            <w:vMerge w:val="restart"/>
            <w:noWrap w:val="0"/>
            <w:vAlign w:val="center"/>
          </w:tcPr>
          <w:p w14:paraId="70BD182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含油污水箱收集后由有资质单位接收处置</w:t>
            </w:r>
          </w:p>
        </w:tc>
      </w:tr>
      <w:tr w14:paraId="59CE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40C0ACFA">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50CD32AB">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667CB97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石油类</w:t>
            </w:r>
          </w:p>
        </w:tc>
        <w:tc>
          <w:tcPr>
            <w:tcW w:w="1850" w:type="dxa"/>
            <w:noWrap w:val="0"/>
            <w:vAlign w:val="center"/>
          </w:tcPr>
          <w:p w14:paraId="799E860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5000</w:t>
            </w:r>
          </w:p>
        </w:tc>
        <w:tc>
          <w:tcPr>
            <w:tcW w:w="1517" w:type="dxa"/>
            <w:noWrap w:val="0"/>
            <w:vAlign w:val="center"/>
          </w:tcPr>
          <w:p w14:paraId="4DB0EDA1">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0.75</w:t>
            </w:r>
          </w:p>
        </w:tc>
        <w:tc>
          <w:tcPr>
            <w:tcW w:w="1766" w:type="dxa"/>
            <w:noWrap w:val="0"/>
            <w:vAlign w:val="center"/>
          </w:tcPr>
          <w:p w14:paraId="201E614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w:t>
            </w:r>
          </w:p>
        </w:tc>
        <w:tc>
          <w:tcPr>
            <w:tcW w:w="1600" w:type="dxa"/>
            <w:noWrap w:val="0"/>
            <w:vAlign w:val="center"/>
          </w:tcPr>
          <w:p w14:paraId="4826738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0</w:t>
            </w:r>
          </w:p>
        </w:tc>
        <w:tc>
          <w:tcPr>
            <w:tcW w:w="2782" w:type="dxa"/>
            <w:vMerge w:val="continue"/>
            <w:noWrap w:val="0"/>
            <w:vAlign w:val="center"/>
          </w:tcPr>
          <w:p w14:paraId="5F1E4611">
            <w:pPr>
              <w:pStyle w:val="41"/>
              <w:rPr>
                <w:rFonts w:hint="default" w:ascii="Times New Roman" w:hAnsi="Times New Roman" w:eastAsia="宋体" w:cs="Times New Roman"/>
                <w:color w:val="auto"/>
                <w:kern w:val="2"/>
                <w:sz w:val="21"/>
                <w:szCs w:val="24"/>
                <w:lang w:val="en-US" w:eastAsia="zh-CN"/>
              </w:rPr>
            </w:pPr>
          </w:p>
        </w:tc>
      </w:tr>
      <w:tr w14:paraId="2186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0360E2B7">
            <w:pPr>
              <w:pStyle w:val="41"/>
              <w:rPr>
                <w:rFonts w:hint="default" w:ascii="Times New Roman" w:hAnsi="Times New Roman" w:eastAsia="宋体" w:cs="Times New Roman"/>
                <w:b/>
                <w:bCs/>
                <w:color w:val="auto"/>
                <w:kern w:val="2"/>
                <w:sz w:val="21"/>
                <w:szCs w:val="24"/>
                <w:lang w:val="en-US" w:eastAsia="zh-CN"/>
              </w:rPr>
            </w:pPr>
          </w:p>
        </w:tc>
        <w:tc>
          <w:tcPr>
            <w:tcW w:w="1545" w:type="dxa"/>
            <w:vMerge w:val="restart"/>
            <w:noWrap w:val="0"/>
            <w:vAlign w:val="center"/>
          </w:tcPr>
          <w:p w14:paraId="698989C5">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船舶生活污水</w:t>
            </w:r>
          </w:p>
        </w:tc>
        <w:tc>
          <w:tcPr>
            <w:tcW w:w="2376" w:type="dxa"/>
            <w:gridSpan w:val="2"/>
            <w:noWrap w:val="0"/>
            <w:vAlign w:val="center"/>
          </w:tcPr>
          <w:p w14:paraId="73CD6D28">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废水量</w:t>
            </w:r>
          </w:p>
        </w:tc>
        <w:tc>
          <w:tcPr>
            <w:tcW w:w="1850" w:type="dxa"/>
            <w:noWrap w:val="0"/>
            <w:vAlign w:val="center"/>
          </w:tcPr>
          <w:p w14:paraId="372C5579">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w:t>
            </w:r>
          </w:p>
        </w:tc>
        <w:tc>
          <w:tcPr>
            <w:tcW w:w="1517" w:type="dxa"/>
            <w:noWrap w:val="0"/>
            <w:vAlign w:val="center"/>
          </w:tcPr>
          <w:p w14:paraId="7A77D12E">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216</w:t>
            </w:r>
          </w:p>
        </w:tc>
        <w:tc>
          <w:tcPr>
            <w:tcW w:w="1766" w:type="dxa"/>
            <w:noWrap w:val="0"/>
            <w:vAlign w:val="center"/>
          </w:tcPr>
          <w:p w14:paraId="5248B272">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5E623EEA">
            <w:pPr>
              <w:pStyle w:val="41"/>
              <w:rPr>
                <w:rFonts w:hint="default" w:ascii="Times New Roman" w:hAnsi="Times New Roman" w:eastAsia="宋体" w:cs="Times New Roman"/>
                <w:color w:val="auto"/>
                <w:kern w:val="2"/>
                <w:sz w:val="21"/>
                <w:szCs w:val="24"/>
                <w:lang w:val="en-US" w:eastAsia="zh-CN"/>
              </w:rPr>
            </w:pPr>
          </w:p>
        </w:tc>
        <w:tc>
          <w:tcPr>
            <w:tcW w:w="2782" w:type="dxa"/>
            <w:vMerge w:val="restart"/>
            <w:noWrap w:val="0"/>
            <w:vAlign w:val="center"/>
          </w:tcPr>
          <w:p w14:paraId="5837EE3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1"/>
                <w:lang w:val="en-US" w:eastAsia="zh-CN"/>
              </w:rPr>
              <w:t>经收集后交由化粪池预处理后作为区域灌溉水回用</w:t>
            </w:r>
          </w:p>
        </w:tc>
      </w:tr>
      <w:tr w14:paraId="6BB3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2B92EF20">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4F41C013">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53D5D8D1">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COD</w:t>
            </w:r>
          </w:p>
        </w:tc>
        <w:tc>
          <w:tcPr>
            <w:tcW w:w="1850" w:type="dxa"/>
            <w:noWrap w:val="0"/>
            <w:vAlign w:val="center"/>
          </w:tcPr>
          <w:p w14:paraId="16D4763F">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350</w:t>
            </w:r>
          </w:p>
        </w:tc>
        <w:tc>
          <w:tcPr>
            <w:tcW w:w="1517" w:type="dxa"/>
            <w:noWrap w:val="0"/>
            <w:vAlign w:val="center"/>
          </w:tcPr>
          <w:p w14:paraId="542B60A3">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0.076</w:t>
            </w:r>
          </w:p>
        </w:tc>
        <w:tc>
          <w:tcPr>
            <w:tcW w:w="1766" w:type="dxa"/>
            <w:noWrap w:val="0"/>
            <w:vAlign w:val="center"/>
          </w:tcPr>
          <w:p w14:paraId="3BBFC2E3">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4ED189E6">
            <w:pPr>
              <w:pStyle w:val="41"/>
              <w:rPr>
                <w:rFonts w:hint="default" w:ascii="Times New Roman" w:hAnsi="Times New Roman" w:eastAsia="宋体" w:cs="Times New Roman"/>
                <w:color w:val="auto"/>
                <w:kern w:val="2"/>
                <w:sz w:val="21"/>
                <w:szCs w:val="24"/>
                <w:lang w:val="en-US" w:eastAsia="zh-CN"/>
              </w:rPr>
            </w:pPr>
          </w:p>
        </w:tc>
        <w:tc>
          <w:tcPr>
            <w:tcW w:w="2782" w:type="dxa"/>
            <w:vMerge w:val="continue"/>
            <w:noWrap w:val="0"/>
            <w:vAlign w:val="center"/>
          </w:tcPr>
          <w:p w14:paraId="452779F6">
            <w:pPr>
              <w:pStyle w:val="41"/>
              <w:rPr>
                <w:rFonts w:hint="default" w:ascii="Times New Roman" w:hAnsi="Times New Roman" w:eastAsia="宋体" w:cs="Times New Roman"/>
                <w:color w:val="auto"/>
                <w:kern w:val="2"/>
                <w:sz w:val="21"/>
                <w:szCs w:val="24"/>
                <w:lang w:val="en-US" w:eastAsia="zh-CN"/>
              </w:rPr>
            </w:pPr>
          </w:p>
        </w:tc>
      </w:tr>
      <w:tr w14:paraId="291C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313C691B">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4D809D41">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06BA3017">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850" w:type="dxa"/>
            <w:noWrap w:val="0"/>
            <w:vAlign w:val="center"/>
          </w:tcPr>
          <w:p w14:paraId="342D7467">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250</w:t>
            </w:r>
          </w:p>
        </w:tc>
        <w:tc>
          <w:tcPr>
            <w:tcW w:w="1517" w:type="dxa"/>
            <w:noWrap w:val="0"/>
            <w:vAlign w:val="center"/>
          </w:tcPr>
          <w:p w14:paraId="7115D773">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0.054</w:t>
            </w:r>
          </w:p>
        </w:tc>
        <w:tc>
          <w:tcPr>
            <w:tcW w:w="1766" w:type="dxa"/>
            <w:noWrap w:val="0"/>
            <w:vAlign w:val="center"/>
          </w:tcPr>
          <w:p w14:paraId="08A968D7">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61D7D42D">
            <w:pPr>
              <w:pStyle w:val="41"/>
              <w:rPr>
                <w:rFonts w:hint="default" w:ascii="Times New Roman" w:hAnsi="Times New Roman" w:eastAsia="宋体" w:cs="Times New Roman"/>
                <w:color w:val="auto"/>
                <w:kern w:val="2"/>
                <w:sz w:val="21"/>
                <w:szCs w:val="24"/>
                <w:lang w:val="en-US" w:eastAsia="zh-CN"/>
              </w:rPr>
            </w:pPr>
          </w:p>
        </w:tc>
        <w:tc>
          <w:tcPr>
            <w:tcW w:w="2782" w:type="dxa"/>
            <w:vMerge w:val="continue"/>
            <w:noWrap w:val="0"/>
            <w:vAlign w:val="center"/>
          </w:tcPr>
          <w:p w14:paraId="41D79143">
            <w:pPr>
              <w:pStyle w:val="41"/>
              <w:rPr>
                <w:rFonts w:hint="default" w:ascii="Times New Roman" w:hAnsi="Times New Roman" w:eastAsia="宋体" w:cs="Times New Roman"/>
                <w:color w:val="auto"/>
                <w:kern w:val="2"/>
                <w:sz w:val="21"/>
                <w:szCs w:val="24"/>
                <w:lang w:val="en-US" w:eastAsia="zh-CN"/>
              </w:rPr>
            </w:pPr>
          </w:p>
        </w:tc>
      </w:tr>
      <w:tr w14:paraId="4C5A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7EA3119C">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118B0180">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613D9697">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SS</w:t>
            </w:r>
          </w:p>
        </w:tc>
        <w:tc>
          <w:tcPr>
            <w:tcW w:w="1850" w:type="dxa"/>
            <w:noWrap w:val="0"/>
            <w:vAlign w:val="center"/>
          </w:tcPr>
          <w:p w14:paraId="5FF69A5C">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400</w:t>
            </w:r>
          </w:p>
        </w:tc>
        <w:tc>
          <w:tcPr>
            <w:tcW w:w="1517" w:type="dxa"/>
            <w:noWrap w:val="0"/>
            <w:vAlign w:val="center"/>
          </w:tcPr>
          <w:p w14:paraId="6662DD67">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0.086</w:t>
            </w:r>
          </w:p>
        </w:tc>
        <w:tc>
          <w:tcPr>
            <w:tcW w:w="1766" w:type="dxa"/>
            <w:noWrap w:val="0"/>
            <w:vAlign w:val="center"/>
          </w:tcPr>
          <w:p w14:paraId="6F234D0C">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562E9FCB">
            <w:pPr>
              <w:pStyle w:val="41"/>
              <w:rPr>
                <w:rFonts w:hint="default" w:ascii="Times New Roman" w:hAnsi="Times New Roman" w:eastAsia="宋体" w:cs="Times New Roman"/>
                <w:color w:val="auto"/>
                <w:kern w:val="2"/>
                <w:sz w:val="21"/>
                <w:szCs w:val="24"/>
                <w:lang w:val="en-US" w:eastAsia="zh-CN"/>
              </w:rPr>
            </w:pPr>
          </w:p>
        </w:tc>
        <w:tc>
          <w:tcPr>
            <w:tcW w:w="2782" w:type="dxa"/>
            <w:vMerge w:val="continue"/>
            <w:noWrap w:val="0"/>
            <w:vAlign w:val="center"/>
          </w:tcPr>
          <w:p w14:paraId="487A6137">
            <w:pPr>
              <w:pStyle w:val="41"/>
              <w:rPr>
                <w:rFonts w:hint="default" w:ascii="Times New Roman" w:hAnsi="Times New Roman" w:eastAsia="宋体" w:cs="Times New Roman"/>
                <w:color w:val="auto"/>
                <w:kern w:val="2"/>
                <w:sz w:val="21"/>
                <w:szCs w:val="24"/>
                <w:lang w:val="en-US" w:eastAsia="zh-CN"/>
              </w:rPr>
            </w:pPr>
          </w:p>
        </w:tc>
      </w:tr>
      <w:tr w14:paraId="7DC7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6" w:type="dxa"/>
            <w:vMerge w:val="continue"/>
            <w:noWrap w:val="0"/>
            <w:vAlign w:val="center"/>
          </w:tcPr>
          <w:p w14:paraId="48F3016E">
            <w:pPr>
              <w:pStyle w:val="41"/>
              <w:rPr>
                <w:rFonts w:hint="default" w:ascii="Times New Roman" w:hAnsi="Times New Roman" w:eastAsia="宋体" w:cs="Times New Roman"/>
                <w:b/>
                <w:bCs/>
                <w:color w:val="auto"/>
                <w:kern w:val="2"/>
                <w:sz w:val="21"/>
                <w:szCs w:val="24"/>
                <w:lang w:val="en-US" w:eastAsia="zh-CN"/>
              </w:rPr>
            </w:pPr>
          </w:p>
        </w:tc>
        <w:tc>
          <w:tcPr>
            <w:tcW w:w="1545" w:type="dxa"/>
            <w:vMerge w:val="continue"/>
            <w:noWrap w:val="0"/>
            <w:vAlign w:val="center"/>
          </w:tcPr>
          <w:p w14:paraId="40368017">
            <w:pPr>
              <w:pStyle w:val="41"/>
              <w:rPr>
                <w:rFonts w:hint="default" w:ascii="Times New Roman" w:hAnsi="Times New Roman" w:eastAsia="宋体" w:cs="Times New Roman"/>
                <w:color w:val="auto"/>
                <w:kern w:val="2"/>
                <w:sz w:val="21"/>
                <w:szCs w:val="24"/>
                <w:lang w:val="en-US" w:eastAsia="zh-CN"/>
              </w:rPr>
            </w:pPr>
          </w:p>
        </w:tc>
        <w:tc>
          <w:tcPr>
            <w:tcW w:w="2376" w:type="dxa"/>
            <w:gridSpan w:val="2"/>
            <w:noWrap w:val="0"/>
            <w:vAlign w:val="center"/>
          </w:tcPr>
          <w:p w14:paraId="65152FCD">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NH3-N</w:t>
            </w:r>
          </w:p>
        </w:tc>
        <w:tc>
          <w:tcPr>
            <w:tcW w:w="1850" w:type="dxa"/>
            <w:noWrap w:val="0"/>
            <w:vAlign w:val="center"/>
          </w:tcPr>
          <w:p w14:paraId="6546A5B7">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40</w:t>
            </w:r>
          </w:p>
        </w:tc>
        <w:tc>
          <w:tcPr>
            <w:tcW w:w="1517" w:type="dxa"/>
            <w:noWrap w:val="0"/>
            <w:vAlign w:val="center"/>
          </w:tcPr>
          <w:p w14:paraId="0BD2D8B3">
            <w:pPr>
              <w:pStyle w:val="41"/>
              <w:bidi w:val="0"/>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sz w:val="21"/>
                <w:szCs w:val="21"/>
                <w:lang w:val="en-US" w:eastAsia="zh-CN"/>
              </w:rPr>
              <w:t>0.009</w:t>
            </w:r>
          </w:p>
        </w:tc>
        <w:tc>
          <w:tcPr>
            <w:tcW w:w="1766" w:type="dxa"/>
            <w:noWrap w:val="0"/>
            <w:vAlign w:val="center"/>
          </w:tcPr>
          <w:p w14:paraId="4FBAEBB7">
            <w:pPr>
              <w:pStyle w:val="41"/>
              <w:rPr>
                <w:rFonts w:hint="default" w:ascii="Times New Roman" w:hAnsi="Times New Roman" w:eastAsia="宋体" w:cs="Times New Roman"/>
                <w:color w:val="auto"/>
                <w:kern w:val="2"/>
                <w:sz w:val="21"/>
                <w:szCs w:val="24"/>
                <w:lang w:val="en-US" w:eastAsia="zh-CN"/>
              </w:rPr>
            </w:pPr>
          </w:p>
        </w:tc>
        <w:tc>
          <w:tcPr>
            <w:tcW w:w="1600" w:type="dxa"/>
            <w:noWrap w:val="0"/>
            <w:vAlign w:val="center"/>
          </w:tcPr>
          <w:p w14:paraId="2803B3CD">
            <w:pPr>
              <w:pStyle w:val="41"/>
              <w:rPr>
                <w:rFonts w:hint="default" w:ascii="Times New Roman" w:hAnsi="Times New Roman" w:eastAsia="宋体" w:cs="Times New Roman"/>
                <w:color w:val="auto"/>
                <w:kern w:val="2"/>
                <w:sz w:val="21"/>
                <w:szCs w:val="24"/>
                <w:lang w:val="en-US" w:eastAsia="zh-CN"/>
              </w:rPr>
            </w:pPr>
          </w:p>
        </w:tc>
        <w:tc>
          <w:tcPr>
            <w:tcW w:w="2782" w:type="dxa"/>
            <w:vMerge w:val="continue"/>
            <w:noWrap w:val="0"/>
            <w:vAlign w:val="center"/>
          </w:tcPr>
          <w:p w14:paraId="3A3E10CA">
            <w:pPr>
              <w:pStyle w:val="41"/>
              <w:rPr>
                <w:rFonts w:hint="default" w:ascii="Times New Roman" w:hAnsi="Times New Roman" w:eastAsia="宋体" w:cs="Times New Roman"/>
                <w:color w:val="auto"/>
                <w:kern w:val="2"/>
                <w:sz w:val="21"/>
                <w:szCs w:val="24"/>
                <w:lang w:val="en-US" w:eastAsia="zh-CN"/>
              </w:rPr>
            </w:pPr>
          </w:p>
        </w:tc>
      </w:tr>
      <w:tr w14:paraId="689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56" w:type="dxa"/>
            <w:vMerge w:val="restart"/>
            <w:noWrap w:val="0"/>
            <w:vAlign w:val="center"/>
          </w:tcPr>
          <w:p w14:paraId="04D05D92">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废气</w:t>
            </w:r>
          </w:p>
        </w:tc>
        <w:tc>
          <w:tcPr>
            <w:tcW w:w="1545" w:type="dxa"/>
            <w:noWrap w:val="0"/>
            <w:vAlign w:val="center"/>
          </w:tcPr>
          <w:p w14:paraId="2085E5A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类型</w:t>
            </w:r>
          </w:p>
        </w:tc>
        <w:tc>
          <w:tcPr>
            <w:tcW w:w="2376" w:type="dxa"/>
            <w:gridSpan w:val="2"/>
            <w:noWrap w:val="0"/>
            <w:vAlign w:val="center"/>
          </w:tcPr>
          <w:p w14:paraId="18E60EA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污染物</w:t>
            </w:r>
          </w:p>
        </w:tc>
        <w:tc>
          <w:tcPr>
            <w:tcW w:w="1850" w:type="dxa"/>
            <w:noWrap w:val="0"/>
            <w:vAlign w:val="center"/>
          </w:tcPr>
          <w:p w14:paraId="542B1FA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产生速率（kg/h）</w:t>
            </w:r>
          </w:p>
        </w:tc>
        <w:tc>
          <w:tcPr>
            <w:tcW w:w="1517" w:type="dxa"/>
            <w:noWrap w:val="0"/>
            <w:vAlign w:val="center"/>
          </w:tcPr>
          <w:p w14:paraId="5809731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产生量（t/a）</w:t>
            </w:r>
          </w:p>
        </w:tc>
        <w:tc>
          <w:tcPr>
            <w:tcW w:w="1766" w:type="dxa"/>
            <w:noWrap w:val="0"/>
            <w:vAlign w:val="center"/>
          </w:tcPr>
          <w:p w14:paraId="162064A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排放速率（kg/h）</w:t>
            </w:r>
          </w:p>
        </w:tc>
        <w:tc>
          <w:tcPr>
            <w:tcW w:w="1600" w:type="dxa"/>
            <w:noWrap w:val="0"/>
            <w:vAlign w:val="center"/>
          </w:tcPr>
          <w:p w14:paraId="6F011D2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排放量（t/a）</w:t>
            </w:r>
          </w:p>
        </w:tc>
        <w:tc>
          <w:tcPr>
            <w:tcW w:w="2782" w:type="dxa"/>
            <w:noWrap w:val="0"/>
            <w:vAlign w:val="center"/>
          </w:tcPr>
          <w:p w14:paraId="086D1DB8">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治理措施</w:t>
            </w:r>
          </w:p>
        </w:tc>
      </w:tr>
      <w:tr w14:paraId="4E7C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6" w:type="dxa"/>
            <w:vMerge w:val="continue"/>
            <w:noWrap w:val="0"/>
            <w:vAlign w:val="center"/>
          </w:tcPr>
          <w:p w14:paraId="2A6BD7AC">
            <w:pPr>
              <w:pStyle w:val="41"/>
              <w:rPr>
                <w:rFonts w:hint="default" w:ascii="Times New Roman" w:hAnsi="Times New Roman" w:eastAsia="宋体" w:cs="Times New Roman"/>
                <w:b/>
                <w:bCs/>
                <w:color w:val="auto"/>
                <w:kern w:val="2"/>
                <w:sz w:val="21"/>
                <w:szCs w:val="24"/>
                <w:lang w:val="en-US" w:eastAsia="zh-CN"/>
              </w:rPr>
            </w:pPr>
          </w:p>
        </w:tc>
        <w:tc>
          <w:tcPr>
            <w:tcW w:w="1545" w:type="dxa"/>
            <w:noWrap w:val="0"/>
            <w:vAlign w:val="center"/>
          </w:tcPr>
          <w:p w14:paraId="2260819C">
            <w:pPr>
              <w:pStyle w:val="41"/>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船舶燃油废气</w:t>
            </w:r>
          </w:p>
        </w:tc>
        <w:tc>
          <w:tcPr>
            <w:tcW w:w="1359" w:type="dxa"/>
            <w:noWrap w:val="0"/>
            <w:vAlign w:val="center"/>
          </w:tcPr>
          <w:p w14:paraId="1C48469F">
            <w:pPr>
              <w:pStyle w:val="41"/>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SO</w:t>
            </w:r>
            <w:r>
              <w:rPr>
                <w:rFonts w:hint="default" w:ascii="Times New Roman" w:hAnsi="Times New Roman" w:eastAsia="宋体" w:cs="Times New Roman"/>
                <w:color w:val="auto"/>
                <w:kern w:val="2"/>
                <w:sz w:val="21"/>
                <w:szCs w:val="24"/>
                <w:vertAlign w:val="subscript"/>
                <w:lang w:val="en-US" w:eastAsia="zh-CN"/>
              </w:rPr>
              <w:t>2</w:t>
            </w:r>
            <w:r>
              <w:rPr>
                <w:rFonts w:hint="default" w:ascii="Times New Roman" w:hAnsi="Times New Roman" w:eastAsia="宋体" w:cs="Times New Roman"/>
                <w:color w:val="auto"/>
                <w:kern w:val="2"/>
                <w:sz w:val="21"/>
                <w:szCs w:val="24"/>
                <w:lang w:val="en-US" w:eastAsia="zh-CN"/>
              </w:rPr>
              <w:t>、CO、THC、NOx</w:t>
            </w:r>
          </w:p>
        </w:tc>
        <w:tc>
          <w:tcPr>
            <w:tcW w:w="1017" w:type="dxa"/>
            <w:noWrap w:val="0"/>
            <w:vAlign w:val="center"/>
          </w:tcPr>
          <w:p w14:paraId="7AF07DB8">
            <w:pPr>
              <w:pStyle w:val="41"/>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无组织</w:t>
            </w:r>
          </w:p>
        </w:tc>
        <w:tc>
          <w:tcPr>
            <w:tcW w:w="1850" w:type="dxa"/>
            <w:noWrap w:val="0"/>
            <w:vAlign w:val="center"/>
          </w:tcPr>
          <w:p w14:paraId="06DF0A0F">
            <w:pPr>
              <w:pStyle w:val="41"/>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少量</w:t>
            </w:r>
          </w:p>
        </w:tc>
        <w:tc>
          <w:tcPr>
            <w:tcW w:w="1517" w:type="dxa"/>
            <w:noWrap w:val="0"/>
            <w:vAlign w:val="center"/>
          </w:tcPr>
          <w:p w14:paraId="0971118D">
            <w:pPr>
              <w:pStyle w:val="41"/>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少量</w:t>
            </w:r>
          </w:p>
        </w:tc>
        <w:tc>
          <w:tcPr>
            <w:tcW w:w="1766" w:type="dxa"/>
            <w:noWrap w:val="0"/>
            <w:vAlign w:val="center"/>
          </w:tcPr>
          <w:p w14:paraId="39F19CB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少量</w:t>
            </w:r>
          </w:p>
        </w:tc>
        <w:tc>
          <w:tcPr>
            <w:tcW w:w="1600" w:type="dxa"/>
            <w:noWrap w:val="0"/>
            <w:vAlign w:val="center"/>
          </w:tcPr>
          <w:p w14:paraId="6D40287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少量</w:t>
            </w:r>
          </w:p>
        </w:tc>
        <w:tc>
          <w:tcPr>
            <w:tcW w:w="2782" w:type="dxa"/>
            <w:noWrap w:val="0"/>
            <w:vAlign w:val="center"/>
          </w:tcPr>
          <w:p w14:paraId="502565DD">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加强进出场区交通管理、限速行驶</w:t>
            </w:r>
          </w:p>
        </w:tc>
      </w:tr>
      <w:tr w14:paraId="4727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56" w:type="dxa"/>
            <w:vMerge w:val="continue"/>
            <w:noWrap w:val="0"/>
            <w:vAlign w:val="center"/>
          </w:tcPr>
          <w:p w14:paraId="4B628AC8">
            <w:pPr>
              <w:pStyle w:val="41"/>
              <w:rPr>
                <w:rFonts w:hint="default" w:ascii="Times New Roman" w:hAnsi="Times New Roman" w:eastAsia="宋体" w:cs="Times New Roman"/>
                <w:b/>
                <w:bCs/>
                <w:color w:val="auto"/>
              </w:rPr>
            </w:pPr>
          </w:p>
        </w:tc>
        <w:tc>
          <w:tcPr>
            <w:tcW w:w="1545" w:type="dxa"/>
            <w:noWrap w:val="0"/>
            <w:vAlign w:val="center"/>
          </w:tcPr>
          <w:p w14:paraId="4072DC11">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油烟废气</w:t>
            </w:r>
          </w:p>
        </w:tc>
        <w:tc>
          <w:tcPr>
            <w:tcW w:w="1359" w:type="dxa"/>
            <w:noWrap w:val="0"/>
            <w:vAlign w:val="center"/>
          </w:tcPr>
          <w:p w14:paraId="77F5D1D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油烟废气</w:t>
            </w:r>
          </w:p>
        </w:tc>
        <w:tc>
          <w:tcPr>
            <w:tcW w:w="1017" w:type="dxa"/>
            <w:noWrap w:val="0"/>
            <w:vAlign w:val="center"/>
          </w:tcPr>
          <w:p w14:paraId="1BE31EA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无组织</w:t>
            </w:r>
          </w:p>
        </w:tc>
        <w:tc>
          <w:tcPr>
            <w:tcW w:w="1850" w:type="dxa"/>
            <w:noWrap w:val="0"/>
            <w:vAlign w:val="center"/>
          </w:tcPr>
          <w:p w14:paraId="16E4B128">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2.25</w:t>
            </w:r>
          </w:p>
        </w:tc>
        <w:tc>
          <w:tcPr>
            <w:tcW w:w="1517" w:type="dxa"/>
            <w:noWrap w:val="0"/>
            <w:vAlign w:val="center"/>
          </w:tcPr>
          <w:p w14:paraId="096D3B06">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0.0054</w:t>
            </w:r>
          </w:p>
        </w:tc>
        <w:tc>
          <w:tcPr>
            <w:tcW w:w="1766" w:type="dxa"/>
            <w:noWrap w:val="0"/>
            <w:vAlign w:val="center"/>
          </w:tcPr>
          <w:p w14:paraId="7BC3B127">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0.90</w:t>
            </w:r>
          </w:p>
        </w:tc>
        <w:tc>
          <w:tcPr>
            <w:tcW w:w="1600" w:type="dxa"/>
            <w:noWrap w:val="0"/>
            <w:vAlign w:val="center"/>
          </w:tcPr>
          <w:p w14:paraId="4976D146">
            <w:pPr>
              <w:pStyle w:val="41"/>
              <w:rPr>
                <w:rFonts w:hint="default" w:ascii="Times New Roman" w:hAnsi="Times New Roman" w:eastAsia="宋体" w:cs="Times New Roman"/>
                <w:color w:val="auto"/>
                <w:kern w:val="2"/>
                <w:sz w:val="21"/>
                <w:szCs w:val="24"/>
                <w:lang w:val="en-US" w:eastAsia="zh-CN"/>
              </w:rPr>
            </w:pPr>
            <w:r>
              <w:rPr>
                <w:rFonts w:hint="eastAsia" w:cs="Times New Roman"/>
                <w:color w:val="auto"/>
                <w:kern w:val="2"/>
                <w:sz w:val="21"/>
                <w:szCs w:val="24"/>
                <w:lang w:val="en-US" w:eastAsia="zh-CN"/>
              </w:rPr>
              <w:t>0.0022</w:t>
            </w:r>
          </w:p>
        </w:tc>
        <w:tc>
          <w:tcPr>
            <w:tcW w:w="2782" w:type="dxa"/>
            <w:noWrap w:val="0"/>
            <w:vAlign w:val="center"/>
          </w:tcPr>
          <w:p w14:paraId="1F09D194">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油烟净化装置</w:t>
            </w:r>
          </w:p>
        </w:tc>
      </w:tr>
      <w:tr w14:paraId="1DF1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restart"/>
            <w:noWrap w:val="0"/>
            <w:vAlign w:val="center"/>
          </w:tcPr>
          <w:p w14:paraId="01C37B8D">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固废</w:t>
            </w:r>
          </w:p>
        </w:tc>
        <w:tc>
          <w:tcPr>
            <w:tcW w:w="1545" w:type="dxa"/>
            <w:noWrap w:val="0"/>
            <w:vAlign w:val="center"/>
          </w:tcPr>
          <w:p w14:paraId="5A4FD589">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固废种类</w:t>
            </w:r>
          </w:p>
        </w:tc>
        <w:tc>
          <w:tcPr>
            <w:tcW w:w="2376" w:type="dxa"/>
            <w:gridSpan w:val="2"/>
            <w:noWrap w:val="0"/>
            <w:vAlign w:val="center"/>
          </w:tcPr>
          <w:p w14:paraId="72867C3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固废名称</w:t>
            </w:r>
          </w:p>
        </w:tc>
        <w:tc>
          <w:tcPr>
            <w:tcW w:w="3367" w:type="dxa"/>
            <w:gridSpan w:val="2"/>
            <w:noWrap w:val="0"/>
            <w:vAlign w:val="center"/>
          </w:tcPr>
          <w:p w14:paraId="6164A6DF">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产生量（t）</w:t>
            </w:r>
          </w:p>
        </w:tc>
        <w:tc>
          <w:tcPr>
            <w:tcW w:w="3366" w:type="dxa"/>
            <w:gridSpan w:val="2"/>
            <w:noWrap w:val="0"/>
            <w:vAlign w:val="center"/>
          </w:tcPr>
          <w:p w14:paraId="0050DE5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排放量（t）</w:t>
            </w:r>
          </w:p>
        </w:tc>
        <w:tc>
          <w:tcPr>
            <w:tcW w:w="2782" w:type="dxa"/>
            <w:noWrap w:val="0"/>
            <w:vAlign w:val="center"/>
          </w:tcPr>
          <w:p w14:paraId="394FBDB2">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处置措施</w:t>
            </w:r>
          </w:p>
        </w:tc>
      </w:tr>
      <w:tr w14:paraId="39D5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21BAC7E1">
            <w:pPr>
              <w:pStyle w:val="41"/>
              <w:rPr>
                <w:rFonts w:hint="default" w:ascii="Times New Roman" w:hAnsi="Times New Roman" w:eastAsia="宋体" w:cs="Times New Roman"/>
                <w:b/>
                <w:bCs/>
                <w:color w:val="auto"/>
                <w:kern w:val="2"/>
                <w:sz w:val="21"/>
                <w:szCs w:val="24"/>
                <w:lang w:val="en-US" w:eastAsia="zh-CN"/>
              </w:rPr>
            </w:pPr>
          </w:p>
        </w:tc>
        <w:tc>
          <w:tcPr>
            <w:tcW w:w="1545" w:type="dxa"/>
            <w:noWrap w:val="0"/>
            <w:vAlign w:val="center"/>
          </w:tcPr>
          <w:p w14:paraId="7A6338A6">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趸船员工生活</w:t>
            </w:r>
          </w:p>
        </w:tc>
        <w:tc>
          <w:tcPr>
            <w:tcW w:w="2376" w:type="dxa"/>
            <w:gridSpan w:val="2"/>
            <w:noWrap w:val="0"/>
            <w:vAlign w:val="center"/>
          </w:tcPr>
          <w:p w14:paraId="5C5AFDAC">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生活垃圾</w:t>
            </w:r>
          </w:p>
        </w:tc>
        <w:tc>
          <w:tcPr>
            <w:tcW w:w="3367" w:type="dxa"/>
            <w:gridSpan w:val="2"/>
            <w:noWrap w:val="0"/>
            <w:vAlign w:val="center"/>
          </w:tcPr>
          <w:p w14:paraId="45CFD7AE">
            <w:pPr>
              <w:pStyle w:val="41"/>
              <w:bidi w:val="0"/>
              <w:rPr>
                <w:rFonts w:hint="default" w:ascii="Times New Roman" w:hAnsi="Times New Roman" w:eastAsia="宋体" w:cs="Times New Roman"/>
                <w:color w:val="auto"/>
                <w:kern w:val="2"/>
                <w:sz w:val="21"/>
                <w:szCs w:val="24"/>
                <w:lang w:eastAsia="zh-CN"/>
              </w:rPr>
            </w:pPr>
            <w:r>
              <w:rPr>
                <w:rFonts w:hint="default" w:ascii="Times New Roman" w:hAnsi="Times New Roman" w:eastAsia="宋体" w:cs="Times New Roman"/>
                <w:color w:val="auto"/>
                <w:lang w:val="en-US" w:eastAsia="zh-CN"/>
              </w:rPr>
              <w:t>1.2</w:t>
            </w:r>
          </w:p>
        </w:tc>
        <w:tc>
          <w:tcPr>
            <w:tcW w:w="3366" w:type="dxa"/>
            <w:gridSpan w:val="2"/>
            <w:noWrap w:val="0"/>
            <w:vAlign w:val="center"/>
          </w:tcPr>
          <w:p w14:paraId="688CC14B">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lang w:val="en-US" w:eastAsia="zh-CN"/>
              </w:rPr>
              <w:t>0</w:t>
            </w:r>
          </w:p>
        </w:tc>
        <w:tc>
          <w:tcPr>
            <w:tcW w:w="2782" w:type="dxa"/>
            <w:noWrap w:val="0"/>
            <w:vAlign w:val="center"/>
          </w:tcPr>
          <w:p w14:paraId="096AB5C8">
            <w:pPr>
              <w:pStyle w:val="41"/>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rPr>
              <w:t>码头场区生活垃圾收集箱收集后交环卫部门统一清运</w:t>
            </w:r>
          </w:p>
        </w:tc>
      </w:tr>
      <w:tr w14:paraId="28D0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vMerge w:val="continue"/>
            <w:noWrap w:val="0"/>
            <w:vAlign w:val="center"/>
          </w:tcPr>
          <w:p w14:paraId="150FE12A">
            <w:pPr>
              <w:pStyle w:val="41"/>
              <w:rPr>
                <w:rFonts w:hint="default" w:ascii="Times New Roman" w:hAnsi="Times New Roman" w:eastAsia="宋体" w:cs="Times New Roman"/>
                <w:b/>
                <w:bCs/>
                <w:color w:val="auto"/>
                <w:kern w:val="2"/>
                <w:sz w:val="21"/>
                <w:szCs w:val="24"/>
                <w:lang w:val="en-US" w:eastAsia="zh-CN"/>
              </w:rPr>
            </w:pPr>
          </w:p>
        </w:tc>
        <w:tc>
          <w:tcPr>
            <w:tcW w:w="1545" w:type="dxa"/>
            <w:noWrap w:val="0"/>
            <w:vAlign w:val="center"/>
          </w:tcPr>
          <w:p w14:paraId="01D31D4A">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船舶生活垃圾</w:t>
            </w:r>
          </w:p>
        </w:tc>
        <w:tc>
          <w:tcPr>
            <w:tcW w:w="2376" w:type="dxa"/>
            <w:gridSpan w:val="2"/>
            <w:noWrap w:val="0"/>
            <w:vAlign w:val="center"/>
          </w:tcPr>
          <w:p w14:paraId="07A895E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生活垃圾</w:t>
            </w:r>
          </w:p>
        </w:tc>
        <w:tc>
          <w:tcPr>
            <w:tcW w:w="3367" w:type="dxa"/>
            <w:gridSpan w:val="2"/>
            <w:noWrap w:val="0"/>
            <w:vAlign w:val="center"/>
          </w:tcPr>
          <w:p w14:paraId="3361C53D">
            <w:pPr>
              <w:pStyle w:val="41"/>
              <w:bidi w:val="0"/>
              <w:rPr>
                <w:rFonts w:hint="default" w:ascii="Times New Roman" w:hAnsi="Times New Roman" w:eastAsia="宋体" w:cs="Times New Roman"/>
                <w:color w:val="auto"/>
                <w:kern w:val="2"/>
                <w:sz w:val="21"/>
                <w:szCs w:val="24"/>
                <w:lang w:val="en-US" w:eastAsia="zh-CN"/>
              </w:rPr>
            </w:pPr>
            <w:r>
              <w:rPr>
                <w:rFonts w:hint="eastAsia" w:cs="Times New Roman"/>
                <w:color w:val="auto"/>
                <w:lang w:val="en-US" w:eastAsia="zh-CN"/>
              </w:rPr>
              <w:t>2.7</w:t>
            </w:r>
          </w:p>
        </w:tc>
        <w:tc>
          <w:tcPr>
            <w:tcW w:w="3366" w:type="dxa"/>
            <w:gridSpan w:val="2"/>
            <w:noWrap w:val="0"/>
            <w:vAlign w:val="center"/>
          </w:tcPr>
          <w:p w14:paraId="1375571E">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0</w:t>
            </w:r>
          </w:p>
        </w:tc>
        <w:tc>
          <w:tcPr>
            <w:tcW w:w="2782" w:type="dxa"/>
            <w:noWrap w:val="0"/>
            <w:vAlign w:val="center"/>
          </w:tcPr>
          <w:p w14:paraId="309EE9A7">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经趸船生活垃圾箱收集后交有资质单位接收处置</w:t>
            </w:r>
          </w:p>
        </w:tc>
      </w:tr>
      <w:tr w14:paraId="18CE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6" w:type="dxa"/>
            <w:noWrap w:val="0"/>
            <w:vAlign w:val="center"/>
          </w:tcPr>
          <w:p w14:paraId="3A0841CD">
            <w:pPr>
              <w:pStyle w:val="41"/>
              <w:rPr>
                <w:rFonts w:hint="default" w:ascii="Times New Roman" w:hAnsi="Times New Roman" w:eastAsia="宋体" w:cs="Times New Roman"/>
                <w:b/>
                <w:bCs/>
                <w:color w:val="auto"/>
                <w:kern w:val="2"/>
                <w:sz w:val="21"/>
                <w:szCs w:val="24"/>
                <w:lang w:val="en-US" w:eastAsia="zh-CN"/>
              </w:rPr>
            </w:pPr>
            <w:r>
              <w:rPr>
                <w:rFonts w:hint="default" w:ascii="Times New Roman" w:hAnsi="Times New Roman" w:eastAsia="宋体" w:cs="Times New Roman"/>
                <w:b/>
                <w:bCs/>
                <w:color w:val="auto"/>
                <w:kern w:val="2"/>
                <w:sz w:val="21"/>
                <w:szCs w:val="24"/>
                <w:lang w:val="en-US" w:eastAsia="zh-CN"/>
              </w:rPr>
              <w:t>噪声</w:t>
            </w:r>
          </w:p>
        </w:tc>
        <w:tc>
          <w:tcPr>
            <w:tcW w:w="3921" w:type="dxa"/>
            <w:gridSpan w:val="3"/>
            <w:noWrap w:val="0"/>
            <w:vAlign w:val="center"/>
          </w:tcPr>
          <w:p w14:paraId="2B99A083">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设备噪声</w:t>
            </w:r>
          </w:p>
        </w:tc>
        <w:tc>
          <w:tcPr>
            <w:tcW w:w="9515" w:type="dxa"/>
            <w:gridSpan w:val="5"/>
            <w:noWrap w:val="0"/>
            <w:vAlign w:val="center"/>
          </w:tcPr>
          <w:p w14:paraId="445632E0">
            <w:pPr>
              <w:pStyle w:val="41"/>
              <w:rPr>
                <w:rFonts w:hint="default"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减振、消声，加强管理，降低航速，减少鸣笛次数，四场界达到《工业企业厂界环境噪声排放标准》（GB12348-2008）4类标准。</w:t>
            </w:r>
          </w:p>
        </w:tc>
      </w:tr>
      <w:bookmarkEnd w:id="480"/>
    </w:tbl>
    <w:p w14:paraId="5AB4BF5F">
      <w:pPr>
        <w:rPr>
          <w:rFonts w:hint="default" w:ascii="Times New Roman" w:hAnsi="Times New Roman" w:eastAsia="宋体" w:cs="Times New Roman"/>
          <w:color w:val="auto"/>
        </w:rPr>
      </w:pPr>
    </w:p>
    <w:p w14:paraId="1ACDB0DD">
      <w:pPr>
        <w:rPr>
          <w:rFonts w:hint="default" w:ascii="Times New Roman" w:hAnsi="Times New Roman" w:eastAsia="宋体" w:cs="Times New Roman"/>
          <w:color w:val="auto"/>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61811218">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481" w:name="_Toc28244"/>
      <w:bookmarkStart w:id="482" w:name="_Toc17687"/>
      <w:bookmarkStart w:id="483" w:name="_Toc6866"/>
      <w:r>
        <w:rPr>
          <w:rFonts w:hint="default" w:ascii="Times New Roman" w:hAnsi="Times New Roman" w:eastAsia="宋体" w:cs="Times New Roman"/>
          <w:color w:val="auto"/>
          <w:lang w:val="en-US" w:eastAsia="zh-CN"/>
        </w:rPr>
        <w:t>4、环境质量现状调查与评价</w:t>
      </w:r>
      <w:bookmarkEnd w:id="481"/>
      <w:bookmarkEnd w:id="482"/>
      <w:bookmarkEnd w:id="483"/>
    </w:p>
    <w:p w14:paraId="542D2582">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484" w:name="_Toc4722"/>
      <w:bookmarkStart w:id="485" w:name="_Toc31315"/>
      <w:r>
        <w:rPr>
          <w:rFonts w:hint="default" w:ascii="Times New Roman" w:hAnsi="Times New Roman" w:eastAsia="宋体" w:cs="Times New Roman"/>
          <w:color w:val="auto"/>
          <w:sz w:val="28"/>
          <w:szCs w:val="28"/>
          <w:lang w:val="en-US" w:eastAsia="zh-CN"/>
        </w:rPr>
        <w:t>4.1 区域自然环境概况</w:t>
      </w:r>
      <w:bookmarkEnd w:id="484"/>
      <w:bookmarkEnd w:id="485"/>
    </w:p>
    <w:p w14:paraId="782EC1C7">
      <w:pPr>
        <w:keepNext w:val="0"/>
        <w:keepLines w:val="0"/>
        <w:pageBreakBefore w:val="0"/>
        <w:widowControl w:val="0"/>
        <w:numPr>
          <w:ilvl w:val="0"/>
          <w:numId w:val="0"/>
        </w:numPr>
        <w:kinsoku/>
        <w:wordWrap/>
        <w:overflowPunct/>
        <w:topLinePunct w:val="0"/>
        <w:autoSpaceDE/>
        <w:autoSpaceDN/>
        <w:bidi w:val="0"/>
        <w:adjustRightInd/>
        <w:snapToGrid/>
        <w:ind w:leftChars="0" w:right="228" w:rightChars="95"/>
        <w:textAlignment w:val="auto"/>
        <w:outlineLvl w:val="2"/>
        <w:rPr>
          <w:rFonts w:hint="default" w:ascii="Times New Roman" w:hAnsi="Times New Roman" w:eastAsia="宋体" w:cs="Times New Roman"/>
          <w:b/>
          <w:bCs w:val="0"/>
          <w:color w:val="auto"/>
          <w:sz w:val="24"/>
          <w:szCs w:val="24"/>
          <w:lang w:val="en-US" w:eastAsia="zh-CN"/>
        </w:rPr>
      </w:pPr>
      <w:bookmarkStart w:id="486" w:name="_Toc23166"/>
      <w:r>
        <w:rPr>
          <w:rFonts w:hint="default" w:ascii="Times New Roman" w:hAnsi="Times New Roman" w:eastAsia="宋体" w:cs="Times New Roman"/>
          <w:b/>
          <w:bCs w:val="0"/>
          <w:color w:val="auto"/>
          <w:sz w:val="24"/>
          <w:szCs w:val="24"/>
          <w:lang w:val="en-US" w:eastAsia="zh-CN"/>
        </w:rPr>
        <w:t>4.1.1 地理位置</w:t>
      </w:r>
      <w:bookmarkEnd w:id="486"/>
    </w:p>
    <w:p w14:paraId="0C7E3904">
      <w:pPr>
        <w:keepNext w:val="0"/>
        <w:keepLines w:val="0"/>
        <w:pageBreakBefore w:val="0"/>
        <w:widowControl w:val="0"/>
        <w:numPr>
          <w:ilvl w:val="0"/>
          <w:numId w:val="0"/>
        </w:numPr>
        <w:kinsoku/>
        <w:wordWrap/>
        <w:overflowPunct/>
        <w:topLinePunct w:val="0"/>
        <w:autoSpaceDE/>
        <w:autoSpaceDN/>
        <w:bidi w:val="0"/>
        <w:adjustRightInd/>
        <w:snapToGrid/>
        <w:ind w:leftChars="0" w:right="228" w:rightChars="95" w:firstLine="42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岳阳地处湖南东北部，东邻湖北赤壁、崇阳、通城、江西铜鼓、修水，南抵长沙、浏阳、望城，西接沅江、南县、安乡县，北界湖北的石首、监利、洪湖、蒲圻市。市境北滨“黄金水道”长江，南抱洞庭，纳湘资沅澧四水，沿长江水路逆江而上247km可达沙市，再达枝江、宜昌、重庆和宜宾；顺长江而下231km可抵武汉，再抵九江、南京和上海等大中城市；南上洞庭湖经171km湘江可至长沙，再至株洲、湘潭；沿资水可至益阳，沿沅水可至常德，经澧水可至津市等省内重要城市。</w:t>
      </w:r>
    </w:p>
    <w:p w14:paraId="02BB49AD">
      <w:pPr>
        <w:keepNext w:val="0"/>
        <w:keepLines w:val="0"/>
        <w:pageBreakBefore w:val="0"/>
        <w:widowControl w:val="0"/>
        <w:numPr>
          <w:ilvl w:val="0"/>
          <w:numId w:val="0"/>
        </w:numPr>
        <w:kinsoku/>
        <w:wordWrap/>
        <w:overflowPunct/>
        <w:topLinePunct w:val="0"/>
        <w:autoSpaceDE/>
        <w:autoSpaceDN/>
        <w:bidi w:val="0"/>
        <w:adjustRightInd/>
        <w:snapToGrid/>
        <w:ind w:leftChars="0" w:right="228" w:rightChars="95" w:firstLine="42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岳阳市为“市管县”管理体制，现辖岳阳楼、君山、云溪3区，华容、平江、湘阴、岳阳4县，代管县级市临湘市和汨罗市。另设有国家级岳阳经济技术开发区、城陵矶新港区、南湖新区和屈原管理区。</w:t>
      </w:r>
    </w:p>
    <w:p w14:paraId="2F625A99">
      <w:pPr>
        <w:keepNext w:val="0"/>
        <w:keepLines w:val="0"/>
        <w:pageBreakBefore w:val="0"/>
        <w:widowControl w:val="0"/>
        <w:numPr>
          <w:ilvl w:val="0"/>
          <w:numId w:val="0"/>
        </w:numPr>
        <w:kinsoku/>
        <w:wordWrap/>
        <w:overflowPunct/>
        <w:topLinePunct w:val="0"/>
        <w:autoSpaceDE/>
        <w:autoSpaceDN/>
        <w:bidi w:val="0"/>
        <w:adjustRightInd/>
        <w:snapToGrid/>
        <w:ind w:leftChars="0" w:right="228" w:rightChars="95" w:firstLine="42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项目位于</w:t>
      </w:r>
      <w:r>
        <w:rPr>
          <w:rFonts w:hint="default" w:ascii="Times New Roman" w:hAnsi="Times New Roman" w:eastAsia="宋体" w:cs="Times New Roman"/>
          <w:color w:val="auto"/>
          <w:sz w:val="24"/>
          <w:szCs w:val="24"/>
        </w:rPr>
        <w:t>岳阳县鹿角码头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选址在东洞庭湖南部区域，岳阳县鹿角镇杨庙村的湘江右岸河段。</w:t>
      </w:r>
    </w:p>
    <w:p w14:paraId="63302E44">
      <w:pPr>
        <w:keepNext w:val="0"/>
        <w:keepLines w:val="0"/>
        <w:pageBreakBefore w:val="0"/>
        <w:widowControl w:val="0"/>
        <w:numPr>
          <w:ilvl w:val="0"/>
          <w:numId w:val="0"/>
        </w:numPr>
        <w:kinsoku/>
        <w:wordWrap/>
        <w:overflowPunct/>
        <w:topLinePunct w:val="0"/>
        <w:autoSpaceDE/>
        <w:autoSpaceDN/>
        <w:bidi w:val="0"/>
        <w:adjustRightInd/>
        <w:snapToGrid/>
        <w:ind w:right="228" w:rightChars="95"/>
        <w:textAlignment w:val="auto"/>
        <w:outlineLvl w:val="2"/>
        <w:rPr>
          <w:rFonts w:hint="default" w:ascii="Times New Roman" w:hAnsi="Times New Roman" w:eastAsia="宋体" w:cs="Times New Roman"/>
          <w:b/>
          <w:bCs/>
          <w:color w:val="auto"/>
          <w:sz w:val="24"/>
          <w:szCs w:val="24"/>
        </w:rPr>
      </w:pPr>
      <w:bookmarkStart w:id="487" w:name="_Toc25364"/>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1.2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地形地貌</w:t>
      </w:r>
      <w:bookmarkEnd w:id="487"/>
    </w:p>
    <w:p w14:paraId="03A4CD8A">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kern w:val="2"/>
          <w:sz w:val="24"/>
          <w:szCs w:val="24"/>
          <w:u w:val="none"/>
          <w:shd w:val="clear"/>
          <w:lang w:val="en-US" w:eastAsia="zh-CN" w:bidi="ar-SA"/>
        </w:rPr>
      </w:pPr>
      <w:r>
        <w:rPr>
          <w:rFonts w:hint="default" w:ascii="Times New Roman" w:hAnsi="Times New Roman" w:eastAsia="宋体" w:cs="Times New Roman"/>
          <w:color w:val="auto"/>
          <w:kern w:val="2"/>
          <w:sz w:val="24"/>
          <w:szCs w:val="24"/>
          <w:u w:val="none"/>
          <w:shd w:val="clear"/>
          <w:lang w:val="en-US" w:eastAsia="zh-CN" w:bidi="ar-SA"/>
        </w:rPr>
        <w:t>岳阳县境地貌自东北幕阜山余脉向西南东洞庭湖呈降阶梯状倾斜。山地、丘陵、岗地、平原、水面比例大致可分为12:11:24:13:40。山地主要分布在毛田镇、月田镇、张谷英镇、云山乡、相思乡、饶村乡及公田镇的一部分地方。主要山脉有相思山、大云山。丘陵主要分布于盆地周边或山间山麓 旁侧。岗地主要分布于东洞庭湖东岸的麻塘镇、城关镇、黄沙街及新墙河两 岸。平原主要分布在筻口、新墙、公田、鹿角、城关等乡镇。全县水域面积1190平方公里，占全县总面积的40.60%，主要为县辖东洞庭湖水面。</w:t>
      </w:r>
    </w:p>
    <w:p w14:paraId="22E06779">
      <w:pPr>
        <w:pStyle w:val="9"/>
        <w:keepNext/>
        <w:keepLines/>
        <w:pageBreakBefore w:val="0"/>
        <w:widowControl w:val="0"/>
        <w:numPr>
          <w:ilvl w:val="2"/>
          <w:numId w:val="0"/>
        </w:numPr>
        <w:kinsoku/>
        <w:wordWrap/>
        <w:overflowPunct/>
        <w:topLinePunct w:val="0"/>
        <w:autoSpaceDE/>
        <w:autoSpaceDN/>
        <w:bidi w:val="0"/>
        <w:adjustRightInd/>
        <w:snapToGrid/>
        <w:spacing w:before="0" w:after="0" w:line="360" w:lineRule="auto"/>
        <w:ind w:right="228" w:rightChars="95"/>
        <w:textAlignment w:val="auto"/>
        <w:rPr>
          <w:rFonts w:hint="default" w:ascii="Times New Roman" w:hAnsi="Times New Roman" w:eastAsia="宋体" w:cs="Times New Roman"/>
          <w:color w:val="auto"/>
          <w:sz w:val="24"/>
          <w:szCs w:val="24"/>
        </w:rPr>
      </w:pPr>
      <w:bookmarkStart w:id="488" w:name="_Toc27982"/>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地质地震资料</w:t>
      </w:r>
      <w:bookmarkEnd w:id="488"/>
    </w:p>
    <w:p w14:paraId="1197F4B3">
      <w:pPr>
        <w:pageBreakBefore w:val="0"/>
        <w:widowControl w:val="0"/>
        <w:kinsoku/>
        <w:wordWrap/>
        <w:overflowPunct/>
        <w:topLinePunct w:val="0"/>
        <w:autoSpaceDE/>
        <w:autoSpaceDN/>
        <w:bidi w:val="0"/>
        <w:adjustRightInd/>
        <w:snapToGrid/>
        <w:spacing w:line="360" w:lineRule="auto"/>
        <w:ind w:left="0" w:leftChars="0" w:right="228" w:rightChars="95" w:firstLine="360" w:firstLineChars="1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根据国家质量技术监督局2001年2月发布的中国地震动参数区划图（GB18306-2015）望城区地震动峰值加速度为0.05g，地震动反应谱特征周期为0.35s，建筑物设计需考虑相应的抗震设防措施。</w:t>
      </w:r>
    </w:p>
    <w:p w14:paraId="603CC230">
      <w:pPr>
        <w:pStyle w:val="4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228" w:rightChars="95" w:firstLine="0" w:firstLineChars="0"/>
        <w:jc w:val="left"/>
        <w:textAlignment w:val="auto"/>
        <w:rPr>
          <w:rFonts w:hint="default" w:ascii="Times New Roman" w:hAnsi="Times New Roman" w:eastAsia="宋体" w:cs="Times New Roman"/>
          <w:color w:val="auto"/>
          <w:sz w:val="24"/>
          <w:szCs w:val="24"/>
        </w:rPr>
      </w:pPr>
      <w:bookmarkStart w:id="489" w:name="_Toc20507"/>
      <w:bookmarkStart w:id="490" w:name="bookmark140"/>
      <w:bookmarkStart w:id="491" w:name="bookmark141"/>
      <w:bookmarkStart w:id="492" w:name="bookmark139"/>
      <w:r>
        <w:rPr>
          <w:rFonts w:hint="default" w:ascii="Times New Roman" w:hAnsi="Times New Roman" w:eastAsia="宋体" w:cs="Times New Roman"/>
          <w:color w:val="auto"/>
          <w:spacing w:val="0"/>
          <w:w w:val="100"/>
          <w:position w:val="0"/>
          <w:sz w:val="24"/>
          <w:szCs w:val="24"/>
          <w:lang w:val="en-US" w:eastAsia="zh-CN"/>
        </w:rPr>
        <w:t xml:space="preserve">4.1.4 </w:t>
      </w:r>
      <w:r>
        <w:rPr>
          <w:rFonts w:hint="default" w:ascii="Times New Roman" w:hAnsi="Times New Roman" w:eastAsia="宋体" w:cs="Times New Roman"/>
          <w:color w:val="auto"/>
          <w:spacing w:val="0"/>
          <w:w w:val="100"/>
          <w:position w:val="0"/>
          <w:sz w:val="24"/>
          <w:szCs w:val="24"/>
        </w:rPr>
        <w:t>气候环境</w:t>
      </w:r>
      <w:bookmarkEnd w:id="489"/>
      <w:bookmarkEnd w:id="490"/>
      <w:bookmarkEnd w:id="491"/>
      <w:bookmarkEnd w:id="492"/>
    </w:p>
    <w:p w14:paraId="58223352">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境地处长江中游中低纬度区，属亚热带大陆季风湿润气候，受季风的影响较大。其气候特点是：四季分明，季节性强，热量适度，春温多变，初秋有寒，严寒期短，暑热期长，雨水集中，夏、秋多旱。由于山地的 地形影响及洞庭湖水体的湖泊效应，因而气候多样，灾害性天气频繁，同时，山丘地区与湖区的气候也存在一定的差异。</w:t>
      </w:r>
    </w:p>
    <w:p w14:paraId="39DA4219">
      <w:pPr>
        <w:rPr>
          <w:rFonts w:hint="default" w:ascii="Times New Roman" w:hAnsi="Times New Roman" w:eastAsia="宋体" w:cs="Times New Roman"/>
          <w:color w:val="auto"/>
        </w:rPr>
      </w:pPr>
      <w:r>
        <w:rPr>
          <w:rFonts w:hint="default" w:ascii="Times New Roman" w:hAnsi="Times New Roman" w:eastAsia="宋体" w:cs="Times New Roman"/>
          <w:color w:val="auto"/>
          <w:spacing w:val="0"/>
          <w:w w:val="100"/>
          <w:position w:val="0"/>
          <w:sz w:val="24"/>
          <w:szCs w:val="24"/>
        </w:rPr>
        <w:t>县域平均</w:t>
      </w:r>
      <w:r>
        <w:rPr>
          <w:rFonts w:hint="default" w:ascii="Times New Roman" w:hAnsi="Times New Roman" w:eastAsia="宋体" w:cs="Times New Roman"/>
          <w:color w:val="auto"/>
          <w:spacing w:val="0"/>
          <w:w w:val="100"/>
          <w:position w:val="0"/>
          <w:sz w:val="24"/>
          <w:szCs w:val="24"/>
          <w:lang w:val="en-US" w:eastAsia="zh-CN"/>
        </w:rPr>
        <w:t>日</w:t>
      </w:r>
      <w:r>
        <w:rPr>
          <w:rFonts w:hint="default" w:ascii="Times New Roman" w:hAnsi="Times New Roman" w:eastAsia="宋体" w:cs="Times New Roman"/>
          <w:color w:val="auto"/>
          <w:spacing w:val="0"/>
          <w:w w:val="100"/>
          <w:position w:val="0"/>
          <w:sz w:val="24"/>
          <w:szCs w:val="24"/>
        </w:rPr>
        <w:t>照1814个小时，是湖南省-平均照最长的地区之一。19</w:t>
      </w:r>
      <w:r>
        <w:rPr>
          <w:rFonts w:hint="default" w:ascii="Times New Roman" w:hAnsi="Times New Roman" w:eastAsia="宋体" w:cs="Times New Roman"/>
          <w:color w:val="auto"/>
          <w:spacing w:val="0"/>
          <w:w w:val="100"/>
          <w:position w:val="0"/>
          <w:sz w:val="24"/>
          <w:szCs w:val="24"/>
          <w:lang w:val="en-US" w:eastAsia="zh-CN"/>
        </w:rPr>
        <w:t>80至</w:t>
      </w:r>
      <w:r>
        <w:rPr>
          <w:rFonts w:hint="default" w:ascii="Times New Roman" w:hAnsi="Times New Roman" w:eastAsia="宋体" w:cs="Times New Roman"/>
          <w:color w:val="auto"/>
          <w:spacing w:val="0"/>
          <w:w w:val="100"/>
          <w:position w:val="0"/>
          <w:sz w:val="24"/>
          <w:szCs w:val="24"/>
        </w:rPr>
        <w:t>20</w:t>
      </w:r>
      <w:r>
        <w:rPr>
          <w:rFonts w:hint="default" w:ascii="Times New Roman" w:hAnsi="Times New Roman" w:eastAsia="宋体" w:cs="Times New Roman"/>
          <w:color w:val="auto"/>
          <w:spacing w:val="0"/>
          <w:w w:val="100"/>
          <w:position w:val="0"/>
          <w:sz w:val="24"/>
          <w:szCs w:val="24"/>
          <w:lang w:val="en-US" w:eastAsia="zh-CN"/>
        </w:rPr>
        <w:t>20</w:t>
      </w:r>
      <w:r>
        <w:rPr>
          <w:rFonts w:hint="default" w:ascii="Times New Roman" w:hAnsi="Times New Roman" w:eastAsia="宋体" w:cs="Times New Roman"/>
          <w:color w:val="auto"/>
          <w:spacing w:val="0"/>
          <w:w w:val="100"/>
          <w:position w:val="0"/>
          <w:sz w:val="24"/>
          <w:szCs w:val="24"/>
        </w:rPr>
        <w:t>，本县最高-照为</w:t>
      </w:r>
      <w:r>
        <w:rPr>
          <w:rFonts w:hint="default" w:ascii="Times New Roman" w:hAnsi="Times New Roman" w:eastAsia="宋体" w:cs="Times New Roman"/>
          <w:color w:val="auto"/>
          <w:spacing w:val="0"/>
          <w:w w:val="100"/>
          <w:position w:val="0"/>
          <w:sz w:val="24"/>
          <w:szCs w:val="24"/>
          <w:lang w:val="en-US" w:eastAsia="en-US" w:bidi="en-US"/>
        </w:rPr>
        <w:t>2054.9</w:t>
      </w:r>
      <w:r>
        <w:rPr>
          <w:rFonts w:hint="default" w:ascii="Times New Roman" w:hAnsi="Times New Roman" w:eastAsia="宋体" w:cs="Times New Roman"/>
          <w:color w:val="auto"/>
          <w:spacing w:val="0"/>
          <w:w w:val="100"/>
          <w:position w:val="0"/>
          <w:sz w:val="24"/>
          <w:szCs w:val="24"/>
        </w:rPr>
        <w:t>小时，最低照为</w:t>
      </w:r>
      <w:r>
        <w:rPr>
          <w:rFonts w:hint="default" w:ascii="Times New Roman" w:hAnsi="Times New Roman" w:eastAsia="宋体" w:cs="Times New Roman"/>
          <w:color w:val="auto"/>
          <w:spacing w:val="0"/>
          <w:w w:val="100"/>
          <w:position w:val="0"/>
          <w:sz w:val="24"/>
          <w:szCs w:val="24"/>
          <w:lang w:val="en-US" w:eastAsia="en-US" w:bidi="en-US"/>
        </w:rPr>
        <w:t>145</w:t>
      </w:r>
      <w:r>
        <w:rPr>
          <w:rFonts w:hint="default" w:ascii="Times New Roman" w:hAnsi="Times New Roman" w:eastAsia="宋体" w:cs="Times New Roman"/>
          <w:color w:val="auto"/>
          <w:spacing w:val="0"/>
          <w:w w:val="100"/>
          <w:position w:val="0"/>
          <w:sz w:val="24"/>
          <w:szCs w:val="24"/>
          <w:lang w:val="en-US" w:eastAsia="zh-CN" w:bidi="en-US"/>
        </w:rPr>
        <w:t>5.</w:t>
      </w:r>
      <w:r>
        <w:rPr>
          <w:rFonts w:hint="default" w:ascii="Times New Roman" w:hAnsi="Times New Roman" w:eastAsia="宋体" w:cs="Times New Roman"/>
          <w:color w:val="auto"/>
          <w:spacing w:val="0"/>
          <w:w w:val="100"/>
          <w:position w:val="0"/>
          <w:sz w:val="24"/>
          <w:szCs w:val="24"/>
          <w:lang w:val="en-US" w:eastAsia="en-US" w:bidi="en-US"/>
        </w:rPr>
        <w:t>8</w:t>
      </w:r>
      <w:r>
        <w:rPr>
          <w:rFonts w:hint="default" w:ascii="Times New Roman" w:hAnsi="Times New Roman" w:eastAsia="宋体" w:cs="Times New Roman"/>
          <w:color w:val="auto"/>
          <w:spacing w:val="0"/>
          <w:w w:val="100"/>
          <w:position w:val="0"/>
          <w:sz w:val="24"/>
          <w:szCs w:val="24"/>
        </w:rPr>
        <w:t>小时，照率为41%。在夏、秋两季的晴天较多，照时数较长，分别为</w:t>
      </w:r>
      <w:r>
        <w:rPr>
          <w:rFonts w:hint="default" w:ascii="Times New Roman" w:hAnsi="Times New Roman" w:eastAsia="宋体" w:cs="Times New Roman"/>
          <w:color w:val="auto"/>
          <w:spacing w:val="0"/>
          <w:w w:val="100"/>
          <w:position w:val="0"/>
          <w:sz w:val="24"/>
          <w:szCs w:val="24"/>
          <w:lang w:val="en-US" w:eastAsia="en-US" w:bidi="en-US"/>
        </w:rPr>
        <w:t>552.8</w:t>
      </w:r>
      <w:r>
        <w:rPr>
          <w:rFonts w:hint="default" w:ascii="Times New Roman" w:hAnsi="Times New Roman" w:eastAsia="宋体" w:cs="Times New Roman"/>
          <w:color w:val="auto"/>
          <w:spacing w:val="0"/>
          <w:w w:val="100"/>
          <w:position w:val="0"/>
          <w:sz w:val="24"/>
          <w:szCs w:val="24"/>
        </w:rPr>
        <w:t>和</w:t>
      </w:r>
      <w:r>
        <w:rPr>
          <w:rFonts w:hint="default" w:ascii="Times New Roman" w:hAnsi="Times New Roman" w:eastAsia="宋体" w:cs="Times New Roman"/>
          <w:color w:val="auto"/>
          <w:spacing w:val="0"/>
          <w:w w:val="100"/>
          <w:position w:val="0"/>
          <w:sz w:val="24"/>
          <w:szCs w:val="24"/>
          <w:lang w:val="en-US" w:eastAsia="en-US" w:bidi="en-US"/>
        </w:rPr>
        <w:t>594.8</w:t>
      </w:r>
      <w:r>
        <w:rPr>
          <w:rFonts w:hint="default" w:ascii="Times New Roman" w:hAnsi="Times New Roman" w:eastAsia="宋体" w:cs="Times New Roman"/>
          <w:color w:val="auto"/>
          <w:spacing w:val="0"/>
          <w:w w:val="100"/>
          <w:position w:val="0"/>
          <w:sz w:val="24"/>
          <w:szCs w:val="24"/>
        </w:rPr>
        <w:t>小时，平均每天达到</w:t>
      </w:r>
      <w:r>
        <w:rPr>
          <w:rFonts w:hint="default" w:ascii="Times New Roman" w:hAnsi="Times New Roman" w:eastAsia="宋体" w:cs="Times New Roman"/>
          <w:color w:val="auto"/>
          <w:spacing w:val="0"/>
          <w:w w:val="100"/>
          <w:position w:val="0"/>
          <w:sz w:val="24"/>
          <w:szCs w:val="24"/>
          <w:lang w:val="en-US" w:eastAsia="en-US" w:bidi="en-US"/>
        </w:rPr>
        <w:t>6.1</w:t>
      </w:r>
      <w:r>
        <w:rPr>
          <w:rFonts w:hint="default" w:ascii="Times New Roman" w:hAnsi="Times New Roman" w:eastAsia="宋体" w:cs="Times New Roman"/>
          <w:color w:val="auto"/>
          <w:spacing w:val="0"/>
          <w:w w:val="100"/>
          <w:position w:val="0"/>
          <w:sz w:val="24"/>
          <w:szCs w:val="24"/>
        </w:rPr>
        <w:t>和</w:t>
      </w:r>
      <w:r>
        <w:rPr>
          <w:rFonts w:hint="default" w:ascii="Times New Roman" w:hAnsi="Times New Roman" w:eastAsia="宋体" w:cs="Times New Roman"/>
          <w:color w:val="auto"/>
          <w:spacing w:val="0"/>
          <w:w w:val="100"/>
          <w:position w:val="0"/>
          <w:sz w:val="24"/>
          <w:szCs w:val="24"/>
          <w:lang w:val="en-US" w:eastAsia="en-US" w:bidi="en-US"/>
        </w:rPr>
        <w:t>6.6</w:t>
      </w:r>
      <w:r>
        <w:rPr>
          <w:rFonts w:hint="default" w:ascii="Times New Roman" w:hAnsi="Times New Roman" w:eastAsia="宋体" w:cs="Times New Roman"/>
          <w:color w:val="auto"/>
          <w:spacing w:val="0"/>
          <w:w w:val="100"/>
          <w:position w:val="0"/>
          <w:sz w:val="24"/>
          <w:szCs w:val="24"/>
        </w:rPr>
        <w:t>小时，占全-照时数的6</w:t>
      </w:r>
      <w:r>
        <w:rPr>
          <w:rFonts w:hint="default" w:ascii="Times New Roman" w:hAnsi="Times New Roman" w:eastAsia="宋体" w:cs="Times New Roman"/>
          <w:color w:val="auto"/>
          <w:spacing w:val="0"/>
          <w:w w:val="100"/>
          <w:position w:val="0"/>
          <w:sz w:val="24"/>
          <w:szCs w:val="24"/>
          <w:lang w:eastAsia="zh-CN"/>
        </w:rPr>
        <w:t>5.</w:t>
      </w:r>
      <w:r>
        <w:rPr>
          <w:rFonts w:hint="default" w:ascii="Times New Roman" w:hAnsi="Times New Roman" w:eastAsia="宋体" w:cs="Times New Roman"/>
          <w:color w:val="auto"/>
          <w:spacing w:val="0"/>
          <w:w w:val="100"/>
          <w:position w:val="0"/>
          <w:sz w:val="24"/>
          <w:szCs w:val="24"/>
        </w:rPr>
        <w:t>3%。由于在此两季照时数多，所以经常出现夏季与秋季少雨干旱的现象。</w:t>
      </w:r>
    </w:p>
    <w:p w14:paraId="1EDBC0EB">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境内降水变化趋势受地理位置影响，西部滨湖区水量偏少，逐步向东部中低山区递增，东部靠近平江县幕阜山暴雨中心，平均降水量在1500毫米以上。西部处于湘北滨湖少雨区，平均降水在1200毫米以下。近30来，降水最多为1977的1708毫米。</w:t>
      </w:r>
    </w:p>
    <w:p w14:paraId="4CF3E8D7">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境内降水量的-内分配特点是前多后少，春多于冬，夏多于秋，分配悬殊大。每</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lang w:val="en-US" w:eastAsia="en-US" w:bidi="en-US"/>
        </w:rPr>
        <w:t>5—6</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降水较多，出现在5</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的占60%，6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的占40%。每</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1</w:t>
      </w:r>
      <w:r>
        <w:rPr>
          <w:rFonts w:hint="default" w:ascii="Times New Roman" w:hAnsi="Times New Roman" w:eastAsia="宋体" w:cs="Times New Roman"/>
          <w:color w:val="auto"/>
          <w:spacing w:val="0"/>
          <w:w w:val="100"/>
          <w:position w:val="0"/>
          <w:sz w:val="24"/>
          <w:szCs w:val="24"/>
        </w:rPr>
        <w:t>和</w:t>
      </w:r>
      <w:r>
        <w:rPr>
          <w:rFonts w:hint="default" w:ascii="Times New Roman" w:hAnsi="Times New Roman" w:eastAsia="宋体" w:cs="Times New Roman"/>
          <w:color w:val="auto"/>
          <w:spacing w:val="0"/>
          <w:w w:val="100"/>
          <w:position w:val="0"/>
          <w:sz w:val="24"/>
          <w:szCs w:val="24"/>
          <w:lang w:val="en-US" w:eastAsia="en-US" w:bidi="en-US"/>
        </w:rPr>
        <w:t>12,</w:t>
      </w:r>
      <w:r>
        <w:rPr>
          <w:rFonts w:hint="default" w:ascii="Times New Roman" w:hAnsi="Times New Roman" w:eastAsia="宋体" w:cs="Times New Roman"/>
          <w:color w:val="auto"/>
          <w:spacing w:val="0"/>
          <w:w w:val="100"/>
          <w:position w:val="0"/>
          <w:sz w:val="24"/>
          <w:szCs w:val="24"/>
        </w:rPr>
        <w:t>降水最少，分别为</w:t>
      </w:r>
      <w:r>
        <w:rPr>
          <w:rFonts w:hint="default" w:ascii="Times New Roman" w:hAnsi="Times New Roman" w:eastAsia="宋体" w:cs="Times New Roman"/>
          <w:color w:val="auto"/>
          <w:spacing w:val="0"/>
          <w:w w:val="100"/>
          <w:position w:val="0"/>
          <w:sz w:val="24"/>
          <w:szCs w:val="24"/>
          <w:lang w:val="en-US" w:eastAsia="en-US" w:bidi="en-US"/>
        </w:rPr>
        <w:t>42.5</w:t>
      </w:r>
      <w:r>
        <w:rPr>
          <w:rFonts w:hint="default" w:ascii="Times New Roman" w:hAnsi="Times New Roman" w:eastAsia="宋体" w:cs="Times New Roman"/>
          <w:color w:val="auto"/>
          <w:spacing w:val="0"/>
          <w:w w:val="100"/>
          <w:position w:val="0"/>
          <w:sz w:val="24"/>
          <w:szCs w:val="24"/>
        </w:rPr>
        <w:t>毫米和</w:t>
      </w:r>
      <w:r>
        <w:rPr>
          <w:rFonts w:hint="default" w:ascii="Times New Roman" w:hAnsi="Times New Roman" w:eastAsia="宋体" w:cs="Times New Roman"/>
          <w:color w:val="auto"/>
          <w:spacing w:val="0"/>
          <w:w w:val="100"/>
          <w:position w:val="0"/>
          <w:sz w:val="24"/>
          <w:szCs w:val="24"/>
          <w:lang w:val="en-US" w:eastAsia="en-US" w:bidi="en-US"/>
        </w:rPr>
        <w:t>47.4</w:t>
      </w:r>
      <w:r>
        <w:rPr>
          <w:rFonts w:hint="default" w:ascii="Times New Roman" w:hAnsi="Times New Roman" w:eastAsia="宋体" w:cs="Times New Roman"/>
          <w:color w:val="auto"/>
          <w:spacing w:val="0"/>
          <w:w w:val="100"/>
          <w:position w:val="0"/>
          <w:sz w:val="24"/>
          <w:szCs w:val="24"/>
        </w:rPr>
        <w:t>毫米，分别占全</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降水量的1.5%和4.8%。5</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和</w:t>
      </w:r>
      <w:r>
        <w:rPr>
          <w:rFonts w:hint="default" w:ascii="Times New Roman" w:hAnsi="Times New Roman" w:eastAsia="宋体" w:cs="Times New Roman"/>
          <w:color w:val="auto"/>
          <w:spacing w:val="0"/>
          <w:w w:val="100"/>
          <w:position w:val="0"/>
          <w:sz w:val="24"/>
          <w:szCs w:val="24"/>
          <w:lang w:val="en-US" w:eastAsia="en-US" w:bidi="en-US"/>
        </w:rPr>
        <w:t>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降水最多，容易渍涝成灾；8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和</w:t>
      </w:r>
      <w:r>
        <w:rPr>
          <w:rFonts w:hint="default" w:ascii="Times New Roman" w:hAnsi="Times New Roman" w:eastAsia="宋体" w:cs="Times New Roman"/>
          <w:color w:val="auto"/>
          <w:spacing w:val="0"/>
          <w:w w:val="100"/>
          <w:position w:val="0"/>
          <w:sz w:val="24"/>
          <w:szCs w:val="24"/>
          <w:lang w:val="en-US" w:eastAsia="en-US" w:bidi="en-US"/>
        </w:rPr>
        <w:t>9</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雨量较少，常出现</w:t>
      </w:r>
      <w:r>
        <w:rPr>
          <w:rFonts w:hint="default" w:ascii="Times New Roman" w:hAnsi="Times New Roman" w:eastAsia="宋体" w:cs="Times New Roman"/>
          <w:color w:val="auto"/>
          <w:spacing w:val="0"/>
          <w:w w:val="100"/>
          <w:position w:val="0"/>
          <w:sz w:val="24"/>
          <w:szCs w:val="24"/>
          <w:lang w:val="zh-CN" w:eastAsia="zh-CN" w:bidi="zh-CN"/>
        </w:rPr>
        <w:t>“秋</w:t>
      </w:r>
      <w:r>
        <w:rPr>
          <w:rFonts w:hint="default" w:ascii="Times New Roman" w:hAnsi="Times New Roman" w:eastAsia="宋体" w:cs="Times New Roman"/>
          <w:color w:val="auto"/>
          <w:spacing w:val="0"/>
          <w:w w:val="100"/>
          <w:position w:val="0"/>
          <w:sz w:val="24"/>
          <w:szCs w:val="24"/>
        </w:rPr>
        <w:t>老虎”天气。境内暴雨，起于</w:t>
      </w:r>
      <w:r>
        <w:rPr>
          <w:rFonts w:hint="default" w:ascii="Times New Roman" w:hAnsi="Times New Roman" w:eastAsia="宋体" w:cs="Times New Roman"/>
          <w:color w:val="auto"/>
          <w:spacing w:val="0"/>
          <w:w w:val="100"/>
          <w:position w:val="0"/>
          <w:sz w:val="24"/>
          <w:szCs w:val="24"/>
          <w:lang w:val="en-US" w:eastAsia="en-US" w:bidi="en-US"/>
        </w:rPr>
        <w:t>3</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终于</w:t>
      </w:r>
      <w:r>
        <w:rPr>
          <w:rFonts w:hint="default" w:ascii="Times New Roman" w:hAnsi="Times New Roman" w:eastAsia="宋体" w:cs="Times New Roman"/>
          <w:color w:val="auto"/>
          <w:spacing w:val="0"/>
          <w:w w:val="100"/>
          <w:position w:val="0"/>
          <w:sz w:val="24"/>
          <w:szCs w:val="24"/>
          <w:lang w:val="en-US" w:eastAsia="en-US" w:bidi="en-US"/>
        </w:rPr>
        <w:t>7</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此阶段降水集中，降水量大于150毫米以上的出现于6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、7</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w:t>
      </w:r>
      <w:r>
        <w:rPr>
          <w:rFonts w:hint="default" w:ascii="Times New Roman" w:hAnsi="Times New Roman" w:eastAsia="宋体" w:cs="Times New Roman"/>
          <w:color w:val="auto"/>
          <w:spacing w:val="0"/>
          <w:w w:val="100"/>
          <w:position w:val="0"/>
          <w:sz w:val="24"/>
          <w:szCs w:val="24"/>
          <w:lang w:val="en-US" w:eastAsia="en-US" w:bidi="en-US"/>
        </w:rPr>
        <w:t>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以6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为多，一最大暴雨为</w:t>
      </w:r>
      <w:r>
        <w:rPr>
          <w:rFonts w:hint="default" w:ascii="Times New Roman" w:hAnsi="Times New Roman" w:eastAsia="宋体" w:cs="Times New Roman"/>
          <w:color w:val="auto"/>
          <w:spacing w:val="0"/>
          <w:w w:val="100"/>
          <w:position w:val="0"/>
          <w:sz w:val="24"/>
          <w:szCs w:val="24"/>
          <w:lang w:val="en-US" w:eastAsia="en-US" w:bidi="en-US"/>
        </w:rPr>
        <w:t>246.1</w:t>
      </w:r>
      <w:r>
        <w:rPr>
          <w:rFonts w:hint="default" w:ascii="Times New Roman" w:hAnsi="Times New Roman" w:eastAsia="宋体" w:cs="Times New Roman"/>
          <w:color w:val="auto"/>
          <w:spacing w:val="0"/>
          <w:w w:val="100"/>
          <w:position w:val="0"/>
          <w:sz w:val="24"/>
          <w:szCs w:val="24"/>
        </w:rPr>
        <w:t>毫米。</w:t>
      </w:r>
    </w:p>
    <w:p w14:paraId="009FC4B4">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县域内西部滨湖的水面蒸发量大，平均为961毫米，东部山区的水面蒸发量小，平均为310毫米。常</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的6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蒸发量最大，</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平均为</w:t>
      </w:r>
      <w:r>
        <w:rPr>
          <w:rFonts w:hint="default" w:ascii="Times New Roman" w:hAnsi="Times New Roman" w:eastAsia="宋体" w:cs="Times New Roman"/>
          <w:color w:val="auto"/>
          <w:spacing w:val="0"/>
          <w:w w:val="100"/>
          <w:position w:val="0"/>
          <w:sz w:val="24"/>
          <w:szCs w:val="24"/>
          <w:lang w:val="en-US" w:eastAsia="en-US" w:bidi="en-US"/>
        </w:rPr>
        <w:t>42.6</w:t>
      </w:r>
      <w:r>
        <w:rPr>
          <w:rFonts w:hint="default" w:ascii="Times New Roman" w:hAnsi="Times New Roman" w:eastAsia="宋体" w:cs="Times New Roman"/>
          <w:color w:val="auto"/>
          <w:spacing w:val="0"/>
          <w:w w:val="100"/>
          <w:position w:val="0"/>
          <w:sz w:val="24"/>
          <w:szCs w:val="24"/>
        </w:rPr>
        <w:t>毫米，占</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蒸发量的44.3%。农作物与草木的植被蒸发，</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平均为</w:t>
      </w:r>
      <w:r>
        <w:rPr>
          <w:rFonts w:hint="default" w:ascii="Times New Roman" w:hAnsi="Times New Roman" w:eastAsia="宋体" w:cs="Times New Roman"/>
          <w:color w:val="auto"/>
          <w:spacing w:val="0"/>
          <w:w w:val="100"/>
          <w:position w:val="0"/>
          <w:sz w:val="24"/>
          <w:szCs w:val="24"/>
          <w:lang w:val="en-US" w:eastAsia="en-US" w:bidi="en-US"/>
        </w:rPr>
        <w:t>903.5</w:t>
      </w:r>
      <w:r>
        <w:rPr>
          <w:rFonts w:hint="default" w:ascii="Times New Roman" w:hAnsi="Times New Roman" w:eastAsia="宋体" w:cs="Times New Roman"/>
          <w:color w:val="auto"/>
          <w:spacing w:val="0"/>
          <w:w w:val="100"/>
          <w:position w:val="0"/>
          <w:sz w:val="24"/>
          <w:szCs w:val="24"/>
        </w:rPr>
        <w:t>毫米，以6</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为最大，</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平均为</w:t>
      </w:r>
      <w:r>
        <w:rPr>
          <w:rFonts w:hint="default" w:ascii="Times New Roman" w:hAnsi="Times New Roman" w:eastAsia="宋体" w:cs="Times New Roman"/>
          <w:color w:val="auto"/>
          <w:spacing w:val="0"/>
          <w:w w:val="100"/>
          <w:position w:val="0"/>
          <w:sz w:val="24"/>
          <w:szCs w:val="24"/>
          <w:lang w:val="en-US" w:eastAsia="en-US" w:bidi="en-US"/>
        </w:rPr>
        <w:t>441.2</w:t>
      </w:r>
      <w:r>
        <w:rPr>
          <w:rFonts w:hint="default" w:ascii="Times New Roman" w:hAnsi="Times New Roman" w:eastAsia="宋体" w:cs="Times New Roman"/>
          <w:color w:val="auto"/>
          <w:spacing w:val="0"/>
          <w:w w:val="100"/>
          <w:position w:val="0"/>
          <w:sz w:val="24"/>
          <w:szCs w:val="24"/>
        </w:rPr>
        <w:t>毫米，12</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份最小，</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平均为</w:t>
      </w:r>
      <w:r>
        <w:rPr>
          <w:rFonts w:hint="default" w:ascii="Times New Roman" w:hAnsi="Times New Roman" w:eastAsia="宋体" w:cs="Times New Roman"/>
          <w:color w:val="auto"/>
          <w:spacing w:val="0"/>
          <w:w w:val="100"/>
          <w:position w:val="0"/>
          <w:sz w:val="24"/>
          <w:szCs w:val="24"/>
          <w:lang w:val="en-US" w:eastAsia="en-US" w:bidi="en-US"/>
        </w:rPr>
        <w:t>22.3</w:t>
      </w:r>
      <w:r>
        <w:rPr>
          <w:rFonts w:hint="default" w:ascii="Times New Roman" w:hAnsi="Times New Roman" w:eastAsia="宋体" w:cs="Times New Roman"/>
          <w:color w:val="auto"/>
          <w:spacing w:val="0"/>
          <w:w w:val="100"/>
          <w:position w:val="0"/>
          <w:sz w:val="24"/>
          <w:szCs w:val="24"/>
        </w:rPr>
        <w:t>毫米。境内陆面蒸发由西部滨湖区750毫米逐步向东部山区递减。多</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平均蒸发为</w:t>
      </w:r>
      <w:r>
        <w:rPr>
          <w:rFonts w:hint="default" w:ascii="Times New Roman" w:hAnsi="Times New Roman" w:eastAsia="宋体" w:cs="Times New Roman"/>
          <w:color w:val="auto"/>
          <w:spacing w:val="0"/>
          <w:w w:val="100"/>
          <w:position w:val="0"/>
          <w:sz w:val="24"/>
          <w:szCs w:val="24"/>
          <w:lang w:val="en-US" w:eastAsia="en-US" w:bidi="en-US"/>
        </w:rPr>
        <w:t>753.5</w:t>
      </w:r>
      <w:r>
        <w:rPr>
          <w:rFonts w:hint="default" w:ascii="Times New Roman" w:hAnsi="Times New Roman" w:eastAsia="宋体" w:cs="Times New Roman"/>
          <w:color w:val="auto"/>
          <w:spacing w:val="0"/>
          <w:w w:val="100"/>
          <w:position w:val="0"/>
          <w:sz w:val="24"/>
          <w:szCs w:val="24"/>
        </w:rPr>
        <w:t>毫米，以8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最大，多</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蒸发量为</w:t>
      </w:r>
      <w:r>
        <w:rPr>
          <w:rFonts w:hint="default" w:ascii="Times New Roman" w:hAnsi="Times New Roman" w:eastAsia="宋体" w:cs="Times New Roman"/>
          <w:color w:val="auto"/>
          <w:spacing w:val="0"/>
          <w:w w:val="100"/>
          <w:position w:val="0"/>
          <w:sz w:val="24"/>
          <w:szCs w:val="24"/>
          <w:lang w:val="en-US" w:eastAsia="en-US" w:bidi="en-US"/>
        </w:rPr>
        <w:t>136.6</w:t>
      </w:r>
      <w:r>
        <w:rPr>
          <w:rFonts w:hint="default" w:ascii="Times New Roman" w:hAnsi="Times New Roman" w:eastAsia="宋体" w:cs="Times New Roman"/>
          <w:color w:val="auto"/>
          <w:spacing w:val="0"/>
          <w:w w:val="100"/>
          <w:position w:val="0"/>
          <w:sz w:val="24"/>
          <w:szCs w:val="24"/>
        </w:rPr>
        <w:t>毫米；</w:t>
      </w:r>
      <w:r>
        <w:rPr>
          <w:rFonts w:hint="default" w:ascii="Times New Roman" w:hAnsi="Times New Roman" w:eastAsia="宋体" w:cs="Times New Roman"/>
          <w:color w:val="auto"/>
          <w:spacing w:val="0"/>
          <w:w w:val="100"/>
          <w:position w:val="0"/>
          <w:sz w:val="24"/>
          <w:szCs w:val="24"/>
          <w:lang w:val="en-US" w:eastAsia="en-US" w:bidi="en-US"/>
        </w:rPr>
        <w:t>1</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rPr>
        <w:t>最小，为</w:t>
      </w:r>
      <w:r>
        <w:rPr>
          <w:rFonts w:hint="default" w:ascii="Times New Roman" w:hAnsi="Times New Roman" w:eastAsia="宋体" w:cs="Times New Roman"/>
          <w:color w:val="auto"/>
          <w:spacing w:val="0"/>
          <w:w w:val="100"/>
          <w:position w:val="0"/>
          <w:sz w:val="24"/>
          <w:szCs w:val="24"/>
          <w:lang w:val="en-US" w:eastAsia="en-US" w:bidi="en-US"/>
        </w:rPr>
        <w:t>13.7</w:t>
      </w:r>
      <w:r>
        <w:rPr>
          <w:rFonts w:hint="default" w:ascii="Times New Roman" w:hAnsi="Times New Roman" w:eastAsia="宋体" w:cs="Times New Roman"/>
          <w:color w:val="auto"/>
          <w:spacing w:val="0"/>
          <w:w w:val="100"/>
          <w:position w:val="0"/>
          <w:sz w:val="24"/>
          <w:szCs w:val="24"/>
        </w:rPr>
        <w:t>毫米。</w:t>
      </w:r>
    </w:p>
    <w:p w14:paraId="62B5C90D">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县域内气温随季节变化，出现较大差异。冬季最冷，夏季最热，极端最低气温为零下</w:t>
      </w:r>
      <w:r>
        <w:rPr>
          <w:rFonts w:hint="default" w:ascii="Times New Roman" w:hAnsi="Times New Roman" w:eastAsia="宋体" w:cs="Times New Roman"/>
          <w:color w:val="auto"/>
          <w:spacing w:val="0"/>
          <w:w w:val="100"/>
          <w:position w:val="0"/>
          <w:sz w:val="24"/>
          <w:szCs w:val="24"/>
          <w:lang w:val="en-US" w:eastAsia="en-US" w:bidi="en-US"/>
        </w:rPr>
        <w:t>1L8C,</w:t>
      </w:r>
      <w:r>
        <w:rPr>
          <w:rFonts w:hint="default" w:ascii="Times New Roman" w:hAnsi="Times New Roman" w:eastAsia="宋体" w:cs="Times New Roman"/>
          <w:color w:val="auto"/>
          <w:spacing w:val="0"/>
          <w:w w:val="100"/>
          <w:position w:val="0"/>
          <w:sz w:val="24"/>
          <w:szCs w:val="24"/>
        </w:rPr>
        <w:t>极端最高气温为</w:t>
      </w:r>
      <w:r>
        <w:rPr>
          <w:rFonts w:hint="default" w:ascii="Times New Roman" w:hAnsi="Times New Roman" w:eastAsia="宋体" w:cs="Times New Roman"/>
          <w:color w:val="auto"/>
          <w:spacing w:val="0"/>
          <w:w w:val="100"/>
          <w:position w:val="0"/>
          <w:sz w:val="24"/>
          <w:szCs w:val="24"/>
          <w:lang w:val="en-US" w:eastAsia="en-US" w:bidi="en-US"/>
        </w:rPr>
        <w:t>39.3C。</w:t>
      </w:r>
      <w:r>
        <w:rPr>
          <w:rFonts w:hint="default" w:ascii="Times New Roman" w:hAnsi="Times New Roman" w:eastAsia="宋体" w:cs="Times New Roman"/>
          <w:color w:val="auto"/>
          <w:spacing w:val="0"/>
          <w:w w:val="100"/>
          <w:position w:val="0"/>
          <w:sz w:val="24"/>
          <w:szCs w:val="24"/>
        </w:rPr>
        <w:t>多</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平均气温</w:t>
      </w:r>
      <w:r>
        <w:rPr>
          <w:rFonts w:hint="default" w:ascii="Times New Roman" w:hAnsi="Times New Roman" w:eastAsia="宋体" w:cs="Times New Roman"/>
          <w:color w:val="auto"/>
          <w:spacing w:val="0"/>
          <w:w w:val="100"/>
          <w:position w:val="0"/>
          <w:sz w:val="24"/>
          <w:szCs w:val="24"/>
          <w:lang w:val="en-US" w:eastAsia="en-US" w:bidi="en-US"/>
        </w:rPr>
        <w:t>17C。</w:t>
      </w:r>
      <w:r>
        <w:rPr>
          <w:rFonts w:hint="default" w:ascii="Times New Roman" w:hAnsi="Times New Roman" w:eastAsia="宋体" w:cs="Times New Roman"/>
          <w:color w:val="auto"/>
          <w:spacing w:val="0"/>
          <w:w w:val="100"/>
          <w:position w:val="0"/>
          <w:sz w:val="24"/>
          <w:szCs w:val="24"/>
        </w:rPr>
        <w:t>春季 （2</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w:t>
      </w:r>
      <w:r>
        <w:rPr>
          <w:rFonts w:hint="default" w:ascii="Times New Roman" w:hAnsi="Times New Roman" w:eastAsia="宋体" w:cs="Times New Roman"/>
          <w:color w:val="auto"/>
          <w:spacing w:val="0"/>
          <w:w w:val="100"/>
          <w:position w:val="0"/>
          <w:sz w:val="24"/>
          <w:szCs w:val="24"/>
          <w:lang w:val="en-US" w:eastAsia="en-US" w:bidi="en-US"/>
        </w:rPr>
        <w:t>4</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均温</w:t>
      </w:r>
      <w:r>
        <w:rPr>
          <w:rFonts w:hint="default" w:ascii="Times New Roman" w:hAnsi="Times New Roman" w:eastAsia="宋体" w:cs="Times New Roman"/>
          <w:color w:val="auto"/>
          <w:spacing w:val="0"/>
          <w:w w:val="100"/>
          <w:position w:val="0"/>
          <w:sz w:val="24"/>
          <w:szCs w:val="24"/>
          <w:lang w:val="en-US" w:eastAsia="en-US" w:bidi="en-US"/>
        </w:rPr>
        <w:t>1L2C;</w:t>
      </w:r>
      <w:r>
        <w:rPr>
          <w:rFonts w:hint="default" w:ascii="Times New Roman" w:hAnsi="Times New Roman" w:eastAsia="宋体" w:cs="Times New Roman"/>
          <w:color w:val="auto"/>
          <w:spacing w:val="0"/>
          <w:w w:val="100"/>
          <w:position w:val="0"/>
          <w:sz w:val="24"/>
          <w:szCs w:val="24"/>
        </w:rPr>
        <w:t>夏季（5</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至7</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）均温</w:t>
      </w:r>
      <w:r>
        <w:rPr>
          <w:rFonts w:hint="default" w:ascii="Times New Roman" w:hAnsi="Times New Roman" w:eastAsia="宋体" w:cs="Times New Roman"/>
          <w:color w:val="auto"/>
          <w:spacing w:val="0"/>
          <w:w w:val="100"/>
          <w:position w:val="0"/>
          <w:sz w:val="24"/>
          <w:szCs w:val="24"/>
          <w:lang w:val="en-US" w:eastAsia="en-US" w:bidi="en-US"/>
        </w:rPr>
        <w:t>25.4C;</w:t>
      </w:r>
      <w:r>
        <w:rPr>
          <w:rFonts w:hint="default" w:ascii="Times New Roman" w:hAnsi="Times New Roman" w:eastAsia="宋体" w:cs="Times New Roman"/>
          <w:color w:val="auto"/>
          <w:spacing w:val="0"/>
          <w:w w:val="100"/>
          <w:position w:val="0"/>
          <w:sz w:val="24"/>
          <w:szCs w:val="24"/>
        </w:rPr>
        <w:t>秋季（8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w:t>
      </w:r>
      <w:r>
        <w:rPr>
          <w:rFonts w:hint="default" w:ascii="Times New Roman" w:hAnsi="Times New Roman" w:eastAsia="宋体" w:cs="Times New Roman"/>
          <w:color w:val="auto"/>
          <w:spacing w:val="0"/>
          <w:w w:val="100"/>
          <w:position w:val="0"/>
          <w:sz w:val="24"/>
          <w:szCs w:val="24"/>
          <w:lang w:val="en-US" w:eastAsia="zh-CN"/>
        </w:rPr>
        <w:t>9月</w:t>
      </w:r>
      <w:r>
        <w:rPr>
          <w:rFonts w:hint="default" w:ascii="Times New Roman" w:hAnsi="Times New Roman" w:eastAsia="宋体" w:cs="Times New Roman"/>
          <w:color w:val="auto"/>
          <w:spacing w:val="0"/>
          <w:w w:val="100"/>
          <w:position w:val="0"/>
          <w:sz w:val="24"/>
          <w:szCs w:val="24"/>
        </w:rPr>
        <w:t>）均温为</w:t>
      </w:r>
      <w:r>
        <w:rPr>
          <w:rFonts w:hint="default" w:ascii="Times New Roman" w:hAnsi="Times New Roman" w:eastAsia="宋体" w:cs="Times New Roman"/>
          <w:color w:val="auto"/>
          <w:spacing w:val="0"/>
          <w:w w:val="100"/>
          <w:position w:val="0"/>
          <w:sz w:val="24"/>
          <w:szCs w:val="24"/>
          <w:lang w:val="en-US" w:eastAsia="en-US" w:bidi="en-US"/>
        </w:rPr>
        <w:t>23.5°C;</w:t>
      </w:r>
      <w:r>
        <w:rPr>
          <w:rFonts w:hint="default" w:ascii="Times New Roman" w:hAnsi="Times New Roman" w:eastAsia="宋体" w:cs="Times New Roman"/>
          <w:color w:val="auto"/>
          <w:spacing w:val="0"/>
          <w:w w:val="100"/>
          <w:position w:val="0"/>
          <w:sz w:val="24"/>
          <w:szCs w:val="24"/>
        </w:rPr>
        <w:t>冬季</w:t>
      </w:r>
      <w:r>
        <w:rPr>
          <w:rFonts w:hint="default" w:ascii="Times New Roman" w:hAnsi="Times New Roman" w:eastAsia="宋体" w:cs="Times New Roman"/>
          <w:color w:val="auto"/>
          <w:spacing w:val="0"/>
          <w:w w:val="100"/>
          <w:position w:val="0"/>
          <w:sz w:val="24"/>
          <w:szCs w:val="24"/>
          <w:lang w:val="en-US" w:eastAsia="en-US" w:bidi="en-US"/>
        </w:rPr>
        <w:t>（11</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至次</w:t>
      </w:r>
      <w:r>
        <w:rPr>
          <w:rFonts w:hint="default" w:ascii="Times New Roman" w:hAnsi="Times New Roman" w:eastAsia="宋体" w:cs="Times New Roman"/>
          <w:color w:val="auto"/>
          <w:spacing w:val="0"/>
          <w:w w:val="100"/>
          <w:position w:val="0"/>
          <w:sz w:val="24"/>
          <w:szCs w:val="24"/>
          <w:lang w:val="en-US" w:eastAsia="zh-CN" w:bidi="en-US"/>
        </w:rPr>
        <w:t>1月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均温</w:t>
      </w:r>
      <w:r>
        <w:rPr>
          <w:rFonts w:hint="default" w:ascii="Times New Roman" w:hAnsi="Times New Roman" w:eastAsia="宋体" w:cs="Times New Roman"/>
          <w:color w:val="auto"/>
          <w:spacing w:val="0"/>
          <w:w w:val="100"/>
          <w:position w:val="0"/>
          <w:sz w:val="24"/>
          <w:szCs w:val="24"/>
          <w:lang w:val="en-US" w:eastAsia="en-US" w:bidi="en-US"/>
        </w:rPr>
        <w:t>7.7C。</w:t>
      </w:r>
      <w:r>
        <w:rPr>
          <w:rFonts w:hint="default" w:ascii="Times New Roman" w:hAnsi="Times New Roman" w:eastAsia="宋体" w:cs="Times New Roman"/>
          <w:color w:val="auto"/>
          <w:spacing w:val="0"/>
          <w:w w:val="100"/>
          <w:position w:val="0"/>
          <w:sz w:val="24"/>
          <w:szCs w:val="24"/>
        </w:rPr>
        <w:t>最冷</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均温为</w:t>
      </w:r>
      <w:r>
        <w:rPr>
          <w:rFonts w:hint="default" w:ascii="Times New Roman" w:hAnsi="Times New Roman" w:eastAsia="宋体" w:cs="Times New Roman"/>
          <w:color w:val="auto"/>
          <w:spacing w:val="0"/>
          <w:w w:val="100"/>
          <w:position w:val="0"/>
          <w:sz w:val="24"/>
          <w:szCs w:val="24"/>
          <w:lang w:val="en-US" w:eastAsia="en-US" w:bidi="en-US"/>
        </w:rPr>
        <w:t>4.4C（</w:t>
      </w:r>
      <w:r>
        <w:rPr>
          <w:rFonts w:hint="default" w:ascii="Times New Roman" w:hAnsi="Times New Roman" w:eastAsia="宋体" w:cs="Times New Roman"/>
          <w:color w:val="auto"/>
          <w:spacing w:val="0"/>
          <w:w w:val="100"/>
          <w:position w:val="0"/>
          <w:sz w:val="24"/>
          <w:szCs w:val="24"/>
        </w:rPr>
        <w:t>出现在</w:t>
      </w:r>
      <w:r>
        <w:rPr>
          <w:rFonts w:hint="default" w:ascii="Times New Roman" w:hAnsi="Times New Roman" w:eastAsia="宋体" w:cs="Times New Roman"/>
          <w:color w:val="auto"/>
          <w:spacing w:val="0"/>
          <w:w w:val="100"/>
          <w:position w:val="0"/>
          <w:sz w:val="24"/>
          <w:szCs w:val="24"/>
          <w:lang w:val="en-US" w:eastAsia="en-US" w:bidi="en-US"/>
        </w:rPr>
        <w:t>1</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最热</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均温为</w:t>
      </w:r>
      <w:r>
        <w:rPr>
          <w:rFonts w:hint="default" w:ascii="Times New Roman" w:hAnsi="Times New Roman" w:eastAsia="宋体" w:cs="Times New Roman"/>
          <w:color w:val="auto"/>
          <w:spacing w:val="0"/>
          <w:w w:val="100"/>
          <w:position w:val="0"/>
          <w:sz w:val="24"/>
          <w:szCs w:val="24"/>
          <w:lang w:val="en-US" w:eastAsia="en-US" w:bidi="en-US"/>
        </w:rPr>
        <w:t>29.2C（</w:t>
      </w:r>
      <w:r>
        <w:rPr>
          <w:rFonts w:hint="default" w:ascii="Times New Roman" w:hAnsi="Times New Roman" w:eastAsia="宋体" w:cs="Times New Roman"/>
          <w:color w:val="auto"/>
          <w:spacing w:val="0"/>
          <w:w w:val="100"/>
          <w:position w:val="0"/>
          <w:sz w:val="24"/>
          <w:szCs w:val="24"/>
        </w:rPr>
        <w:t>出现在8</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w:t>
      </w:r>
    </w:p>
    <w:p w14:paraId="682E21EE">
      <w:pPr>
        <w:rPr>
          <w:rFonts w:hint="default" w:ascii="Times New Roman" w:hAnsi="Times New Roman" w:eastAsia="宋体" w:cs="Times New Roman"/>
          <w:color w:val="auto"/>
        </w:rPr>
      </w:pPr>
      <w:r>
        <w:rPr>
          <w:rFonts w:hint="default" w:ascii="Times New Roman" w:hAnsi="Times New Roman" w:eastAsia="宋体" w:cs="Times New Roman"/>
          <w:color w:val="auto"/>
          <w:spacing w:val="0"/>
          <w:w w:val="100"/>
          <w:position w:val="0"/>
          <w:sz w:val="24"/>
          <w:szCs w:val="24"/>
        </w:rPr>
        <w:t>霜、雪、冰雹县域内近30</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均无霜期</w:t>
      </w:r>
      <w:r>
        <w:rPr>
          <w:rFonts w:hint="default" w:ascii="Times New Roman" w:hAnsi="Times New Roman" w:eastAsia="宋体" w:cs="Times New Roman"/>
          <w:color w:val="auto"/>
          <w:spacing w:val="0"/>
          <w:w w:val="100"/>
          <w:position w:val="0"/>
          <w:sz w:val="24"/>
          <w:szCs w:val="24"/>
          <w:lang w:val="en-US" w:eastAsia="en-US" w:bidi="en-US"/>
        </w:rPr>
        <w:t>276.8</w:t>
      </w:r>
      <w:r>
        <w:rPr>
          <w:rFonts w:hint="default" w:ascii="Times New Roman" w:hAnsi="Times New Roman" w:eastAsia="宋体" w:cs="Times New Roman"/>
          <w:color w:val="auto"/>
          <w:spacing w:val="0"/>
          <w:w w:val="100"/>
          <w:position w:val="0"/>
          <w:sz w:val="24"/>
          <w:szCs w:val="24"/>
        </w:rPr>
        <w:t>天。霜期一般出现在12</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至次</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的</w:t>
      </w:r>
      <w:r>
        <w:rPr>
          <w:rFonts w:hint="default" w:ascii="Times New Roman" w:hAnsi="Times New Roman" w:eastAsia="宋体" w:cs="Times New Roman"/>
          <w:color w:val="auto"/>
          <w:spacing w:val="0"/>
          <w:w w:val="100"/>
          <w:position w:val="0"/>
          <w:sz w:val="24"/>
          <w:szCs w:val="24"/>
          <w:lang w:val="en-US" w:eastAsia="en-US" w:bidi="en-US"/>
        </w:rPr>
        <w:t>2</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最早出现在</w:t>
      </w:r>
      <w:r>
        <w:rPr>
          <w:rFonts w:hint="default" w:ascii="Times New Roman" w:hAnsi="Times New Roman" w:eastAsia="宋体" w:cs="Times New Roman"/>
          <w:color w:val="auto"/>
          <w:spacing w:val="0"/>
          <w:w w:val="100"/>
          <w:position w:val="0"/>
          <w:sz w:val="24"/>
          <w:szCs w:val="24"/>
          <w:lang w:val="en-US" w:eastAsia="en-US" w:bidi="en-US"/>
        </w:rPr>
        <w:t>10</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最迟出现在次</w:t>
      </w:r>
      <w:r>
        <w:rPr>
          <w:rFonts w:hint="default" w:ascii="Times New Roman" w:hAnsi="Times New Roman" w:eastAsia="宋体" w:cs="Times New Roman"/>
          <w:color w:val="auto"/>
          <w:spacing w:val="0"/>
          <w:w w:val="100"/>
          <w:position w:val="0"/>
          <w:sz w:val="24"/>
          <w:szCs w:val="24"/>
          <w:lang w:val="en-US" w:eastAsia="zh-CN" w:bidi="en-US"/>
        </w:rPr>
        <w:t>年</w:t>
      </w:r>
      <w:r>
        <w:rPr>
          <w:rFonts w:hint="default" w:ascii="Times New Roman" w:hAnsi="Times New Roman" w:eastAsia="宋体" w:cs="Times New Roman"/>
          <w:color w:val="auto"/>
          <w:spacing w:val="0"/>
          <w:w w:val="100"/>
          <w:position w:val="0"/>
          <w:sz w:val="24"/>
          <w:szCs w:val="24"/>
          <w:lang w:val="en-US" w:eastAsia="en-US" w:bidi="en-US"/>
        </w:rPr>
        <w:t>1</w:t>
      </w:r>
      <w:r>
        <w:rPr>
          <w:rFonts w:hint="default" w:ascii="Times New Roman" w:hAnsi="Times New Roman" w:eastAsia="宋体" w:cs="Times New Roman"/>
          <w:color w:val="auto"/>
          <w:spacing w:val="0"/>
          <w:w w:val="100"/>
          <w:position w:val="0"/>
          <w:sz w:val="24"/>
          <w:szCs w:val="24"/>
          <w:lang w:val="en-US" w:eastAsia="zh-CN" w:bidi="en-US"/>
        </w:rPr>
        <w:t>月，月</w:t>
      </w:r>
      <w:r>
        <w:rPr>
          <w:rFonts w:hint="default" w:ascii="Times New Roman" w:hAnsi="Times New Roman" w:eastAsia="宋体" w:cs="Times New Roman"/>
          <w:color w:val="auto"/>
          <w:spacing w:val="0"/>
          <w:w w:val="100"/>
          <w:position w:val="0"/>
          <w:sz w:val="24"/>
          <w:szCs w:val="24"/>
        </w:rPr>
        <w:t>平均霜21天，最多霜为33 天，最少</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霜11天。降雪一般出现在12</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至次</w:t>
      </w:r>
      <w:r>
        <w:rPr>
          <w:rFonts w:hint="default" w:ascii="Times New Roman" w:hAnsi="Times New Roman" w:eastAsia="宋体" w:cs="Times New Roman"/>
          <w:color w:val="auto"/>
          <w:spacing w:val="0"/>
          <w:w w:val="100"/>
          <w:position w:val="0"/>
          <w:sz w:val="24"/>
          <w:szCs w:val="24"/>
          <w:lang w:val="en-US" w:eastAsia="zh-CN" w:bidi="en-US"/>
        </w:rPr>
        <w:t>年</w:t>
      </w:r>
      <w:r>
        <w:rPr>
          <w:rFonts w:hint="default" w:ascii="Times New Roman" w:hAnsi="Times New Roman" w:eastAsia="宋体" w:cs="Times New Roman"/>
          <w:color w:val="auto"/>
          <w:spacing w:val="0"/>
          <w:w w:val="100"/>
          <w:position w:val="0"/>
          <w:sz w:val="24"/>
          <w:szCs w:val="24"/>
          <w:lang w:val="en-US" w:eastAsia="en-US" w:bidi="en-US"/>
        </w:rPr>
        <w:t>3</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最早出现在</w:t>
      </w:r>
      <w:r>
        <w:rPr>
          <w:rFonts w:hint="default" w:ascii="Times New Roman" w:hAnsi="Times New Roman" w:eastAsia="宋体" w:cs="Times New Roman"/>
          <w:color w:val="auto"/>
          <w:spacing w:val="0"/>
          <w:w w:val="100"/>
          <w:position w:val="0"/>
          <w:sz w:val="24"/>
          <w:szCs w:val="24"/>
          <w:lang w:val="en-US" w:eastAsia="en-US" w:bidi="en-US"/>
        </w:rPr>
        <w:t>11</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最迟出现在次</w:t>
      </w:r>
      <w:r>
        <w:rPr>
          <w:rFonts w:hint="default" w:ascii="Times New Roman" w:hAnsi="Times New Roman" w:eastAsia="宋体" w:cs="Times New Roman"/>
          <w:color w:val="auto"/>
          <w:spacing w:val="0"/>
          <w:w w:val="100"/>
          <w:position w:val="0"/>
          <w:sz w:val="24"/>
          <w:szCs w:val="24"/>
          <w:lang w:val="en-US" w:eastAsia="zh-CN" w:bidi="en-US"/>
        </w:rPr>
        <w:t>年</w:t>
      </w:r>
      <w:r>
        <w:rPr>
          <w:rFonts w:hint="default" w:ascii="Times New Roman" w:hAnsi="Times New Roman" w:eastAsia="宋体" w:cs="Times New Roman"/>
          <w:color w:val="auto"/>
          <w:spacing w:val="0"/>
          <w:w w:val="100"/>
          <w:position w:val="0"/>
          <w:sz w:val="24"/>
          <w:szCs w:val="24"/>
          <w:lang w:val="en-US" w:eastAsia="en-US" w:bidi="en-US"/>
        </w:rPr>
        <w:t>3</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多</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平均降雪为</w:t>
      </w:r>
      <w:r>
        <w:rPr>
          <w:rFonts w:hint="default" w:ascii="Times New Roman" w:hAnsi="Times New Roman" w:eastAsia="宋体" w:cs="Times New Roman"/>
          <w:color w:val="auto"/>
          <w:spacing w:val="0"/>
          <w:w w:val="100"/>
          <w:position w:val="0"/>
          <w:sz w:val="24"/>
          <w:szCs w:val="24"/>
          <w:lang w:val="en-US" w:eastAsia="en-US" w:bidi="en-US"/>
        </w:rPr>
        <w:t>10.9</w:t>
      </w:r>
      <w:r>
        <w:rPr>
          <w:rFonts w:hint="default" w:ascii="Times New Roman" w:hAnsi="Times New Roman" w:eastAsia="宋体" w:cs="Times New Roman"/>
          <w:color w:val="auto"/>
          <w:spacing w:val="0"/>
          <w:w w:val="100"/>
          <w:position w:val="0"/>
          <w:sz w:val="24"/>
          <w:szCs w:val="24"/>
        </w:rPr>
        <w:t>天，最多</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为20天，最少</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为5天，最大积雪深为23厘米。2007</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冬的大冰雪灾害，致使交通阻隔，部分自来水管冻裂，电杆倒塌、电缆断裂，电力中断。冰雹一般出现在1</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至</w:t>
      </w:r>
      <w:r>
        <w:rPr>
          <w:rFonts w:hint="default" w:ascii="Times New Roman" w:hAnsi="Times New Roman" w:eastAsia="宋体" w:cs="Times New Roman"/>
          <w:color w:val="auto"/>
          <w:spacing w:val="0"/>
          <w:w w:val="100"/>
          <w:position w:val="0"/>
          <w:sz w:val="24"/>
          <w:szCs w:val="24"/>
          <w:lang w:val="en-US" w:eastAsia="en-US" w:bidi="en-US"/>
        </w:rPr>
        <w:t>3</w:t>
      </w:r>
      <w:r>
        <w:rPr>
          <w:rFonts w:hint="default" w:ascii="Times New Roman" w:hAnsi="Times New Roman" w:eastAsia="宋体" w:cs="Times New Roman"/>
          <w:color w:val="auto"/>
          <w:spacing w:val="0"/>
          <w:w w:val="100"/>
          <w:position w:val="0"/>
          <w:sz w:val="24"/>
          <w:szCs w:val="24"/>
          <w:lang w:val="en-US" w:eastAsia="zh-CN" w:bidi="en-US"/>
        </w:rPr>
        <w:t>月</w:t>
      </w:r>
      <w:r>
        <w:rPr>
          <w:rFonts w:hint="default" w:ascii="Times New Roman" w:hAnsi="Times New Roman" w:eastAsia="宋体" w:cs="Times New Roman"/>
          <w:color w:val="auto"/>
          <w:spacing w:val="0"/>
          <w:w w:val="100"/>
          <w:position w:val="0"/>
          <w:sz w:val="24"/>
          <w:szCs w:val="24"/>
          <w:lang w:val="en-US" w:eastAsia="en-US" w:bidi="en-US"/>
        </w:rPr>
        <w:t>,</w:t>
      </w:r>
      <w:r>
        <w:rPr>
          <w:rFonts w:hint="default" w:ascii="Times New Roman" w:hAnsi="Times New Roman" w:eastAsia="宋体" w:cs="Times New Roman"/>
          <w:color w:val="auto"/>
          <w:spacing w:val="0"/>
          <w:w w:val="100"/>
          <w:position w:val="0"/>
          <w:sz w:val="24"/>
          <w:szCs w:val="24"/>
        </w:rPr>
        <w:t>次数较少，</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均</w:t>
      </w:r>
      <w:r>
        <w:rPr>
          <w:rFonts w:hint="default" w:ascii="Times New Roman" w:hAnsi="Times New Roman" w:eastAsia="宋体" w:cs="Times New Roman"/>
          <w:color w:val="auto"/>
          <w:spacing w:val="0"/>
          <w:w w:val="100"/>
          <w:position w:val="0"/>
          <w:sz w:val="24"/>
          <w:szCs w:val="24"/>
          <w:lang w:val="en-US" w:eastAsia="en-US" w:bidi="en-US"/>
        </w:rPr>
        <w:t>0.2</w:t>
      </w:r>
      <w:r>
        <w:rPr>
          <w:rFonts w:hint="default" w:ascii="Times New Roman" w:hAnsi="Times New Roman" w:eastAsia="宋体" w:cs="Times New Roman"/>
          <w:color w:val="auto"/>
          <w:spacing w:val="0"/>
          <w:w w:val="100"/>
          <w:position w:val="0"/>
          <w:sz w:val="24"/>
          <w:szCs w:val="24"/>
        </w:rPr>
        <w:t>天，最多</w:t>
      </w:r>
      <w:r>
        <w:rPr>
          <w:rFonts w:hint="default" w:ascii="Times New Roman" w:hAnsi="Times New Roman" w:eastAsia="宋体" w:cs="Times New Roman"/>
          <w:color w:val="auto"/>
          <w:spacing w:val="0"/>
          <w:w w:val="100"/>
          <w:position w:val="0"/>
          <w:sz w:val="24"/>
          <w:szCs w:val="24"/>
          <w:lang w:val="en-US" w:eastAsia="zh-CN"/>
        </w:rPr>
        <w:t>月</w:t>
      </w:r>
      <w:r>
        <w:rPr>
          <w:rFonts w:hint="default" w:ascii="Times New Roman" w:hAnsi="Times New Roman" w:eastAsia="宋体" w:cs="Times New Roman"/>
          <w:color w:val="auto"/>
          <w:spacing w:val="0"/>
          <w:w w:val="100"/>
          <w:position w:val="0"/>
          <w:sz w:val="24"/>
          <w:szCs w:val="24"/>
        </w:rPr>
        <w:t>为2天，最大冰雹直径</w:t>
      </w:r>
      <w:r>
        <w:rPr>
          <w:rFonts w:hint="default" w:ascii="Times New Roman" w:hAnsi="Times New Roman" w:eastAsia="宋体" w:cs="Times New Roman"/>
          <w:color w:val="auto"/>
          <w:spacing w:val="0"/>
          <w:w w:val="100"/>
          <w:position w:val="0"/>
          <w:sz w:val="24"/>
          <w:szCs w:val="24"/>
          <w:lang w:val="en-US" w:eastAsia="en-US" w:bidi="en-US"/>
        </w:rPr>
        <w:t>1.2</w:t>
      </w:r>
      <w:r>
        <w:rPr>
          <w:rFonts w:hint="default" w:ascii="Times New Roman" w:hAnsi="Times New Roman" w:eastAsia="宋体" w:cs="Times New Roman"/>
          <w:color w:val="auto"/>
          <w:spacing w:val="0"/>
          <w:w w:val="100"/>
          <w:position w:val="0"/>
          <w:sz w:val="24"/>
          <w:szCs w:val="24"/>
        </w:rPr>
        <w:t>厘米。</w:t>
      </w:r>
    </w:p>
    <w:p w14:paraId="5B7E9A65">
      <w:pPr>
        <w:pStyle w:val="4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228" w:rightChars="95" w:firstLine="0" w:firstLineChars="0"/>
        <w:jc w:val="left"/>
        <w:textAlignment w:val="auto"/>
        <w:rPr>
          <w:rFonts w:hint="default" w:ascii="Times New Roman" w:hAnsi="Times New Roman" w:eastAsia="宋体" w:cs="Times New Roman"/>
          <w:color w:val="auto"/>
          <w:sz w:val="24"/>
          <w:szCs w:val="24"/>
        </w:rPr>
      </w:pPr>
      <w:bookmarkStart w:id="493" w:name="bookmark143"/>
      <w:bookmarkStart w:id="494" w:name="bookmark144"/>
      <w:bookmarkStart w:id="495" w:name="_Toc6903"/>
      <w:bookmarkStart w:id="496" w:name="bookmark142"/>
      <w:r>
        <w:rPr>
          <w:rFonts w:hint="default" w:ascii="Times New Roman" w:hAnsi="Times New Roman" w:eastAsia="宋体" w:cs="Times New Roman"/>
          <w:color w:val="auto"/>
          <w:spacing w:val="0"/>
          <w:w w:val="100"/>
          <w:position w:val="0"/>
          <w:sz w:val="24"/>
          <w:szCs w:val="24"/>
          <w:lang w:val="en-US" w:eastAsia="zh-CN"/>
        </w:rPr>
        <w:t xml:space="preserve">4.1.5 </w:t>
      </w:r>
      <w:r>
        <w:rPr>
          <w:rFonts w:hint="default" w:ascii="Times New Roman" w:hAnsi="Times New Roman" w:eastAsia="宋体" w:cs="Times New Roman"/>
          <w:color w:val="auto"/>
          <w:spacing w:val="0"/>
          <w:w w:val="100"/>
          <w:position w:val="0"/>
          <w:sz w:val="24"/>
          <w:szCs w:val="24"/>
        </w:rPr>
        <w:t>水文环境</w:t>
      </w:r>
      <w:bookmarkEnd w:id="493"/>
      <w:bookmarkEnd w:id="494"/>
      <w:bookmarkEnd w:id="495"/>
      <w:bookmarkEnd w:id="496"/>
    </w:p>
    <w:p w14:paraId="2EF9499A">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岳阳县水网密布</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全县有新墙河、汨罗河、东洞庭湖三大水系。主要河流有直泄东洞庭湖的新墙河、费家河、坪桥河；有直入南洞庭湖的罗水河。全县干支河流63条（入东洞庭湖59条、入南洞庭湖4条）。新墙河干流总长</w:t>
      </w:r>
      <w:r>
        <w:rPr>
          <w:rFonts w:hint="default" w:ascii="Times New Roman" w:hAnsi="Times New Roman" w:eastAsia="宋体" w:cs="Times New Roman"/>
          <w:color w:val="auto"/>
          <w:spacing w:val="0"/>
          <w:w w:val="100"/>
          <w:position w:val="0"/>
          <w:sz w:val="24"/>
          <w:szCs w:val="24"/>
          <w:lang w:val="en-US" w:eastAsia="en-US" w:bidi="en-US"/>
        </w:rPr>
        <w:t>115.40</w:t>
      </w:r>
      <w:r>
        <w:rPr>
          <w:rFonts w:hint="default" w:ascii="Times New Roman" w:hAnsi="Times New Roman" w:eastAsia="宋体" w:cs="Times New Roman"/>
          <w:color w:val="auto"/>
          <w:spacing w:val="0"/>
          <w:w w:val="100"/>
          <w:position w:val="0"/>
          <w:sz w:val="24"/>
          <w:szCs w:val="24"/>
        </w:rPr>
        <w:t>公里，沙港、游港河为新墙河两大支流，其中沙港河发源于平江县境内，经月田、铁山水库、公田、杨林，至筻口镇的三港嘴汇合游港河后入新墙河主流，县境流域面积</w:t>
      </w:r>
      <w:r>
        <w:rPr>
          <w:rFonts w:hint="default" w:ascii="Times New Roman" w:hAnsi="Times New Roman" w:eastAsia="宋体" w:cs="Times New Roman"/>
          <w:color w:val="auto"/>
          <w:spacing w:val="0"/>
          <w:w w:val="100"/>
          <w:position w:val="0"/>
          <w:sz w:val="24"/>
          <w:szCs w:val="24"/>
          <w:lang w:val="en-US" w:eastAsia="en-US" w:bidi="en-US"/>
        </w:rPr>
        <w:t>974.69</w:t>
      </w:r>
      <w:r>
        <w:rPr>
          <w:rFonts w:hint="default" w:ascii="Times New Roman" w:hAnsi="Times New Roman" w:eastAsia="宋体" w:cs="Times New Roman"/>
          <w:color w:val="auto"/>
          <w:spacing w:val="0"/>
          <w:w w:val="100"/>
          <w:position w:val="0"/>
          <w:sz w:val="24"/>
          <w:szCs w:val="24"/>
        </w:rPr>
        <w:t>平方公里；游港河发源于临湘市境内，由西塘入县境，经筻口至三港嘴汇入新墙河主流，县境流域面积275平方公里。沙港、游港河自三港嘴汇流后经新墙、荣家湾从破岚口入东洞庭湖，主流全长</w:t>
      </w:r>
      <w:r>
        <w:rPr>
          <w:rFonts w:hint="default" w:ascii="Times New Roman" w:hAnsi="Times New Roman" w:eastAsia="宋体" w:cs="Times New Roman"/>
          <w:color w:val="auto"/>
          <w:spacing w:val="0"/>
          <w:w w:val="100"/>
          <w:position w:val="0"/>
          <w:sz w:val="24"/>
          <w:szCs w:val="24"/>
          <w:lang w:val="en-US" w:eastAsia="en-US" w:bidi="en-US"/>
        </w:rPr>
        <w:t>26.80</w:t>
      </w:r>
      <w:r>
        <w:rPr>
          <w:rFonts w:hint="default" w:ascii="Times New Roman" w:hAnsi="Times New Roman" w:eastAsia="宋体" w:cs="Times New Roman"/>
          <w:color w:val="auto"/>
          <w:spacing w:val="0"/>
          <w:w w:val="100"/>
          <w:position w:val="0"/>
          <w:sz w:val="24"/>
          <w:szCs w:val="24"/>
        </w:rPr>
        <w:t>公里，流域面积418平方公里。罗水河发源于张谷英镇桂峰村，经岳坊、步仙桥、关王，进汩罗市，在县境长42公里，流域面积</w:t>
      </w:r>
      <w:r>
        <w:rPr>
          <w:rFonts w:hint="default" w:ascii="Times New Roman" w:hAnsi="Times New Roman" w:eastAsia="宋体" w:cs="Times New Roman"/>
          <w:color w:val="auto"/>
          <w:spacing w:val="0"/>
          <w:w w:val="100"/>
          <w:position w:val="0"/>
          <w:sz w:val="24"/>
          <w:szCs w:val="24"/>
          <w:lang w:val="en-US" w:eastAsia="en-US" w:bidi="en-US"/>
        </w:rPr>
        <w:t>133.20</w:t>
      </w:r>
      <w:r>
        <w:rPr>
          <w:rFonts w:hint="default" w:ascii="Times New Roman" w:hAnsi="Times New Roman" w:eastAsia="宋体" w:cs="Times New Roman"/>
          <w:color w:val="auto"/>
          <w:spacing w:val="0"/>
          <w:w w:val="100"/>
          <w:position w:val="0"/>
          <w:sz w:val="24"/>
          <w:szCs w:val="24"/>
        </w:rPr>
        <w:t>平方公里。</w:t>
      </w:r>
    </w:p>
    <w:p w14:paraId="6BF03ADA">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岳阳县境湖泊有与长江相通的东洞庭湖，有与境内河流相连的内湖。东洞庭湖面积</w:t>
      </w:r>
      <w:r>
        <w:rPr>
          <w:rFonts w:hint="default" w:ascii="Times New Roman" w:hAnsi="Times New Roman" w:eastAsia="宋体" w:cs="Times New Roman"/>
          <w:color w:val="auto"/>
          <w:spacing w:val="0"/>
          <w:w w:val="100"/>
          <w:position w:val="0"/>
          <w:sz w:val="24"/>
          <w:szCs w:val="24"/>
          <w:lang w:val="en-US" w:eastAsia="en-US" w:bidi="en-US"/>
        </w:rPr>
        <w:t>1327.80</w:t>
      </w:r>
      <w:r>
        <w:rPr>
          <w:rFonts w:hint="default" w:ascii="Times New Roman" w:hAnsi="Times New Roman" w:eastAsia="宋体" w:cs="Times New Roman"/>
          <w:color w:val="auto"/>
          <w:spacing w:val="0"/>
          <w:w w:val="100"/>
          <w:position w:val="0"/>
          <w:sz w:val="24"/>
          <w:szCs w:val="24"/>
        </w:rPr>
        <w:t>平方公里。县境尚有大小内湖22个。</w:t>
      </w:r>
    </w:p>
    <w:p w14:paraId="2DA993FD">
      <w:pPr>
        <w:pStyle w:val="4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leftChars="0" w:right="228" w:rightChars="95" w:firstLine="0" w:firstLineChars="0"/>
        <w:jc w:val="left"/>
        <w:textAlignment w:val="auto"/>
        <w:rPr>
          <w:rFonts w:hint="default" w:ascii="Times New Roman" w:hAnsi="Times New Roman" w:eastAsia="宋体" w:cs="Times New Roman"/>
          <w:color w:val="auto"/>
          <w:sz w:val="24"/>
          <w:szCs w:val="24"/>
        </w:rPr>
      </w:pPr>
      <w:bookmarkStart w:id="497" w:name="_Toc14735"/>
      <w:bookmarkStart w:id="498" w:name="bookmark146"/>
      <w:bookmarkStart w:id="499" w:name="bookmark145"/>
      <w:bookmarkStart w:id="500" w:name="bookmark147"/>
      <w:r>
        <w:rPr>
          <w:rFonts w:hint="default" w:ascii="Times New Roman" w:hAnsi="Times New Roman" w:eastAsia="宋体" w:cs="Times New Roman"/>
          <w:color w:val="auto"/>
          <w:spacing w:val="0"/>
          <w:w w:val="100"/>
          <w:position w:val="0"/>
          <w:sz w:val="24"/>
          <w:szCs w:val="24"/>
          <w:lang w:val="en-US" w:eastAsia="zh-CN"/>
        </w:rPr>
        <w:t xml:space="preserve">4.1.6 </w:t>
      </w:r>
      <w:r>
        <w:rPr>
          <w:rFonts w:hint="default" w:ascii="Times New Roman" w:hAnsi="Times New Roman" w:eastAsia="宋体" w:cs="Times New Roman"/>
          <w:color w:val="auto"/>
          <w:spacing w:val="0"/>
          <w:w w:val="100"/>
          <w:position w:val="0"/>
          <w:sz w:val="24"/>
          <w:szCs w:val="24"/>
        </w:rPr>
        <w:t>自然资源</w:t>
      </w:r>
      <w:bookmarkEnd w:id="497"/>
      <w:bookmarkEnd w:id="498"/>
      <w:bookmarkEnd w:id="499"/>
      <w:bookmarkEnd w:id="500"/>
    </w:p>
    <w:p w14:paraId="555844D3">
      <w:pPr>
        <w:pStyle w:val="45"/>
        <w:keepNext w:val="0"/>
        <w:keepLines w:val="0"/>
        <w:pageBreakBefore w:val="0"/>
        <w:widowControl w:val="0"/>
        <w:shd w:val="clear" w:color="auto" w:fill="auto"/>
        <w:tabs>
          <w:tab w:val="left" w:pos="988"/>
        </w:tabs>
        <w:kinsoku/>
        <w:wordWrap/>
        <w:overflowPunct/>
        <w:topLinePunct w:val="0"/>
        <w:autoSpaceDE/>
        <w:autoSpaceDN/>
        <w:bidi w:val="0"/>
        <w:adjustRightInd/>
        <w:snapToGrid/>
        <w:spacing w:before="0" w:line="360" w:lineRule="auto"/>
        <w:ind w:left="0" w:right="228" w:rightChars="95" w:firstLine="580"/>
        <w:jc w:val="both"/>
        <w:textAlignment w:val="auto"/>
        <w:outlineLvl w:val="9"/>
        <w:rPr>
          <w:rFonts w:hint="default" w:ascii="Times New Roman" w:hAnsi="Times New Roman" w:eastAsia="宋体" w:cs="Times New Roman"/>
          <w:color w:val="auto"/>
          <w:sz w:val="24"/>
          <w:szCs w:val="24"/>
        </w:rPr>
      </w:pPr>
      <w:bookmarkStart w:id="501" w:name="bookmark148"/>
      <w:bookmarkStart w:id="502" w:name="_Toc15450"/>
      <w:r>
        <w:rPr>
          <w:rFonts w:hint="default" w:ascii="Times New Roman" w:hAnsi="Times New Roman" w:eastAsia="宋体" w:cs="Times New Roman"/>
          <w:color w:val="auto"/>
          <w:spacing w:val="0"/>
          <w:w w:val="100"/>
          <w:position w:val="0"/>
          <w:sz w:val="24"/>
          <w:szCs w:val="24"/>
        </w:rPr>
        <w:t>1</w:t>
      </w:r>
      <w:bookmarkEnd w:id="501"/>
      <w:r>
        <w:rPr>
          <w:rFonts w:hint="default" w:ascii="Times New Roman" w:hAnsi="Times New Roman" w:eastAsia="宋体" w:cs="Times New Roman"/>
          <w:color w:val="auto"/>
          <w:spacing w:val="0"/>
          <w:w w:val="100"/>
          <w:position w:val="0"/>
          <w:sz w:val="24"/>
          <w:szCs w:val="24"/>
        </w:rPr>
        <w:t>、矿产资源</w:t>
      </w:r>
      <w:bookmarkEnd w:id="502"/>
    </w:p>
    <w:p w14:paraId="75579084">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岳阳县境内已探明的矿藏有钒、锰、铀、铍、煤、磷、石煤、萤石、绿 柱石、大理石、石灰石、钾长石、重晶石、独居石、白云石、黄铁石、石英砂矿、泥炭矿、铁矿、耐火粘土等20多种。钒矿储量占全世界的四分之一，独居石、砂石等资源储量居湘北地区之首。</w:t>
      </w:r>
    </w:p>
    <w:p w14:paraId="62A1ED9B">
      <w:pPr>
        <w:pStyle w:val="45"/>
        <w:keepNext w:val="0"/>
        <w:keepLines w:val="0"/>
        <w:pageBreakBefore w:val="0"/>
        <w:widowControl w:val="0"/>
        <w:shd w:val="clear" w:color="auto" w:fill="auto"/>
        <w:tabs>
          <w:tab w:val="left" w:pos="988"/>
        </w:tabs>
        <w:kinsoku/>
        <w:wordWrap/>
        <w:overflowPunct/>
        <w:topLinePunct w:val="0"/>
        <w:autoSpaceDE/>
        <w:autoSpaceDN/>
        <w:bidi w:val="0"/>
        <w:adjustRightInd/>
        <w:snapToGrid/>
        <w:spacing w:before="0" w:line="360" w:lineRule="auto"/>
        <w:ind w:left="0" w:right="228" w:rightChars="95" w:firstLine="580"/>
        <w:jc w:val="both"/>
        <w:textAlignment w:val="auto"/>
        <w:outlineLvl w:val="9"/>
        <w:rPr>
          <w:rFonts w:hint="default" w:ascii="Times New Roman" w:hAnsi="Times New Roman" w:eastAsia="宋体" w:cs="Times New Roman"/>
          <w:color w:val="auto"/>
          <w:sz w:val="24"/>
          <w:szCs w:val="24"/>
        </w:rPr>
      </w:pPr>
      <w:bookmarkStart w:id="503" w:name="bookmark149"/>
      <w:bookmarkStart w:id="504" w:name="_Toc28125"/>
      <w:r>
        <w:rPr>
          <w:rFonts w:hint="default" w:ascii="Times New Roman" w:hAnsi="Times New Roman" w:eastAsia="宋体" w:cs="Times New Roman"/>
          <w:color w:val="auto"/>
          <w:spacing w:val="0"/>
          <w:w w:val="100"/>
          <w:position w:val="0"/>
          <w:sz w:val="24"/>
          <w:szCs w:val="24"/>
        </w:rPr>
        <w:t>2</w:t>
      </w:r>
      <w:bookmarkEnd w:id="503"/>
      <w:r>
        <w:rPr>
          <w:rFonts w:hint="default" w:ascii="Times New Roman" w:hAnsi="Times New Roman" w:eastAsia="宋体" w:cs="Times New Roman"/>
          <w:color w:val="auto"/>
          <w:spacing w:val="0"/>
          <w:w w:val="100"/>
          <w:position w:val="0"/>
          <w:sz w:val="24"/>
          <w:szCs w:val="24"/>
        </w:rPr>
        <w:t>、砂石资源</w:t>
      </w:r>
      <w:bookmarkEnd w:id="504"/>
    </w:p>
    <w:p w14:paraId="68CEB143">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岳阳县东洞庭湖砂石资源蕴藏量丰富，总储量65500万吨，</w:t>
      </w:r>
      <w:r>
        <w:rPr>
          <w:rFonts w:hint="default" w:ascii="Times New Roman" w:hAnsi="Times New Roman" w:eastAsia="宋体" w:cs="Times New Roman"/>
          <w:color w:val="auto"/>
          <w:spacing w:val="0"/>
          <w:w w:val="100"/>
          <w:position w:val="0"/>
          <w:sz w:val="24"/>
          <w:szCs w:val="24"/>
          <w:lang w:val="en-US" w:eastAsia="zh-CN"/>
        </w:rPr>
        <w:t>年</w:t>
      </w:r>
      <w:r>
        <w:rPr>
          <w:rFonts w:hint="default" w:ascii="Times New Roman" w:hAnsi="Times New Roman" w:eastAsia="宋体" w:cs="Times New Roman"/>
          <w:color w:val="auto"/>
          <w:spacing w:val="0"/>
          <w:w w:val="100"/>
          <w:position w:val="0"/>
          <w:sz w:val="24"/>
          <w:szCs w:val="24"/>
        </w:rPr>
        <w:t>可开采量达 1380万吨，主要分布在东洞庭湖、新墙河流域及其滨湖地带。砂石具有质地优良、品种齐全、含硅量高、结构力强、采运方便等优点，广泛应用于建 筑、冶金、化工、自来水和石油等领域。</w:t>
      </w:r>
    </w:p>
    <w:p w14:paraId="75728F7A">
      <w:pPr>
        <w:pStyle w:val="45"/>
        <w:keepNext w:val="0"/>
        <w:keepLines w:val="0"/>
        <w:pageBreakBefore w:val="0"/>
        <w:widowControl w:val="0"/>
        <w:shd w:val="clear" w:color="auto" w:fill="auto"/>
        <w:tabs>
          <w:tab w:val="left" w:pos="988"/>
        </w:tabs>
        <w:kinsoku/>
        <w:wordWrap/>
        <w:overflowPunct/>
        <w:topLinePunct w:val="0"/>
        <w:autoSpaceDE/>
        <w:autoSpaceDN/>
        <w:bidi w:val="0"/>
        <w:adjustRightInd/>
        <w:snapToGrid/>
        <w:spacing w:before="0" w:line="360" w:lineRule="auto"/>
        <w:ind w:left="0" w:right="228" w:rightChars="95" w:firstLine="580"/>
        <w:jc w:val="both"/>
        <w:textAlignment w:val="auto"/>
        <w:outlineLvl w:val="9"/>
        <w:rPr>
          <w:rFonts w:hint="default" w:ascii="Times New Roman" w:hAnsi="Times New Roman" w:eastAsia="宋体" w:cs="Times New Roman"/>
          <w:color w:val="auto"/>
          <w:sz w:val="24"/>
          <w:szCs w:val="24"/>
        </w:rPr>
      </w:pPr>
      <w:bookmarkStart w:id="505" w:name="bookmark150"/>
      <w:bookmarkStart w:id="506" w:name="_Toc25253"/>
      <w:r>
        <w:rPr>
          <w:rFonts w:hint="default" w:ascii="Times New Roman" w:hAnsi="Times New Roman" w:eastAsia="宋体" w:cs="Times New Roman"/>
          <w:color w:val="auto"/>
          <w:spacing w:val="0"/>
          <w:w w:val="100"/>
          <w:position w:val="0"/>
          <w:sz w:val="24"/>
          <w:szCs w:val="24"/>
        </w:rPr>
        <w:t>3</w:t>
      </w:r>
      <w:bookmarkEnd w:id="505"/>
      <w:r>
        <w:rPr>
          <w:rFonts w:hint="default" w:ascii="Times New Roman" w:hAnsi="Times New Roman" w:eastAsia="宋体" w:cs="Times New Roman"/>
          <w:color w:val="auto"/>
          <w:spacing w:val="0"/>
          <w:w w:val="100"/>
          <w:position w:val="0"/>
          <w:sz w:val="24"/>
          <w:szCs w:val="24"/>
        </w:rPr>
        <w:t>、动物资源</w:t>
      </w:r>
      <w:bookmarkEnd w:id="506"/>
    </w:p>
    <w:p w14:paraId="37CC2BEC">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w w:val="100"/>
          <w:position w:val="0"/>
          <w:sz w:val="24"/>
          <w:szCs w:val="24"/>
        </w:rPr>
        <w:t>岳阳县境内有鱼类23科、114种；鸟类51科、266种；虫类78科、195种。属国家一级保护动物的有云豹、华南虎、白鳍豚等；属国家二级保护动物的有穿山甲、江豚、水獭、河鹿等；属国家三级保护动物的有貉、狐、刺猬、 黄鼬、青鼬、狗獾、豪猪、竹鼠等。主要经济鱼类有青、草、鲢、鳙、鲤、 鲫、鲤、鳊、鲶乌鳢等；主要鸟类有白鹤、山斑鸠、秋沙鸭等；主要家畜有猪、牛、羊、兔、猫、狗等；主要家禽有鸡、鸭、鹅、蜜峰等。</w:t>
      </w:r>
    </w:p>
    <w:p w14:paraId="1587ED31">
      <w:pPr>
        <w:rPr>
          <w:rFonts w:hint="default" w:ascii="Times New Roman" w:hAnsi="Times New Roman" w:eastAsia="宋体" w:cs="Times New Roman"/>
          <w:color w:val="auto"/>
        </w:rPr>
      </w:pPr>
      <w:bookmarkStart w:id="507" w:name="bookmark151"/>
      <w:bookmarkStart w:id="508" w:name="_Toc15046"/>
      <w:r>
        <w:rPr>
          <w:rFonts w:hint="default" w:ascii="Times New Roman" w:hAnsi="Times New Roman" w:eastAsia="宋体" w:cs="Times New Roman"/>
          <w:color w:val="auto"/>
          <w:spacing w:val="0"/>
          <w:w w:val="100"/>
          <w:position w:val="0"/>
          <w:sz w:val="24"/>
          <w:szCs w:val="24"/>
        </w:rPr>
        <w:t>4</w:t>
      </w:r>
      <w:bookmarkEnd w:id="507"/>
      <w:r>
        <w:rPr>
          <w:rFonts w:hint="default" w:ascii="Times New Roman" w:hAnsi="Times New Roman" w:eastAsia="宋体" w:cs="Times New Roman"/>
          <w:color w:val="auto"/>
          <w:spacing w:val="0"/>
          <w:w w:val="100"/>
          <w:position w:val="0"/>
          <w:sz w:val="24"/>
          <w:szCs w:val="24"/>
        </w:rPr>
        <w:t>、植物资源</w:t>
      </w:r>
      <w:bookmarkEnd w:id="508"/>
    </w:p>
    <w:p w14:paraId="2385033F">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岳阳县境内记录到的木本植物829种，其中乡土树种655种，属国家及省定保护树种24种。用材树种主要有杉、松、樟、枫、檫、楠、桐、柏等，牧草品种有增润牧草，果木树种主要有桃、李、梨、桔等。竹类有楠竹、凤凰竹等十余种，水生植物有芦苇、莲藕、茭白、席草等百余种，牧草种植面积8万亩，牧草品种有：增润草、皇竹草，甜象草等。</w:t>
      </w:r>
    </w:p>
    <w:p w14:paraId="7D42FAAC">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509" w:name="_Toc31175"/>
      <w:bookmarkStart w:id="510" w:name="_Toc5492"/>
      <w:r>
        <w:rPr>
          <w:rFonts w:hint="default" w:ascii="Times New Roman" w:hAnsi="Times New Roman" w:eastAsia="宋体" w:cs="Times New Roman"/>
          <w:color w:val="auto"/>
          <w:sz w:val="28"/>
          <w:szCs w:val="28"/>
          <w:lang w:val="en-US" w:eastAsia="zh-CN"/>
        </w:rPr>
        <w:t>4.2 湖南东洞庭湖国家级自然保护区概况</w:t>
      </w:r>
      <w:bookmarkEnd w:id="509"/>
      <w:bookmarkEnd w:id="510"/>
    </w:p>
    <w:p w14:paraId="2E2710D6">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湖南东洞庭湖国家级自然保护区成立于1982年，1992年加入“国际重要湿地公约”，被列为我国首批加入“国际重要湿地公约”的六个国际重要湿地之一，1994年经国务院批准升格为国家级自然保护区。2018年2月国务院批准了调整湖南东洞庭湖国家级自然保护区的范围和功能区划。调整后的湖南东洞庭湖国家级自然保护区总面积157627hm</w:t>
      </w:r>
      <w:r>
        <w:rPr>
          <w:rFonts w:hint="default" w:ascii="Times New Roman" w:hAnsi="Times New Roman" w:eastAsia="宋体" w:cs="Times New Roman"/>
          <w:color w:val="auto"/>
          <w:spacing w:val="0"/>
          <w:w w:val="100"/>
          <w:position w:val="0"/>
          <w:sz w:val="24"/>
          <w:szCs w:val="24"/>
          <w:vertAlign w:val="superscript"/>
        </w:rPr>
        <w:t>2</w:t>
      </w:r>
      <w:r>
        <w:rPr>
          <w:rFonts w:hint="default" w:ascii="Times New Roman" w:hAnsi="Times New Roman" w:eastAsia="宋体" w:cs="Times New Roman"/>
          <w:color w:val="auto"/>
          <w:spacing w:val="0"/>
          <w:w w:val="100"/>
          <w:position w:val="0"/>
          <w:sz w:val="24"/>
          <w:szCs w:val="24"/>
        </w:rPr>
        <w:t>，其中核心区面积33286hm</w:t>
      </w:r>
      <w:r>
        <w:rPr>
          <w:rFonts w:hint="default" w:ascii="Times New Roman" w:hAnsi="Times New Roman" w:eastAsia="宋体" w:cs="Times New Roman"/>
          <w:color w:val="auto"/>
          <w:spacing w:val="0"/>
          <w:w w:val="100"/>
          <w:position w:val="0"/>
          <w:sz w:val="24"/>
          <w:szCs w:val="24"/>
          <w:vertAlign w:val="superscript"/>
        </w:rPr>
        <w:t>2</w:t>
      </w:r>
      <w:r>
        <w:rPr>
          <w:rFonts w:hint="default" w:ascii="Times New Roman" w:hAnsi="Times New Roman" w:eastAsia="宋体" w:cs="Times New Roman"/>
          <w:color w:val="auto"/>
          <w:spacing w:val="0"/>
          <w:w w:val="100"/>
          <w:position w:val="0"/>
          <w:sz w:val="24"/>
          <w:szCs w:val="24"/>
        </w:rPr>
        <w:t>，缓冲区面积32369hm</w:t>
      </w:r>
      <w:r>
        <w:rPr>
          <w:rFonts w:hint="default" w:ascii="Times New Roman" w:hAnsi="Times New Roman" w:eastAsia="宋体" w:cs="Times New Roman"/>
          <w:color w:val="auto"/>
          <w:spacing w:val="0"/>
          <w:w w:val="100"/>
          <w:position w:val="0"/>
          <w:sz w:val="24"/>
          <w:szCs w:val="24"/>
          <w:vertAlign w:val="superscript"/>
        </w:rPr>
        <w:t>2</w:t>
      </w:r>
      <w:r>
        <w:rPr>
          <w:rFonts w:hint="default" w:ascii="Times New Roman" w:hAnsi="Times New Roman" w:eastAsia="宋体" w:cs="Times New Roman"/>
          <w:color w:val="auto"/>
          <w:spacing w:val="0"/>
          <w:w w:val="100"/>
          <w:position w:val="0"/>
          <w:sz w:val="24"/>
          <w:szCs w:val="24"/>
        </w:rPr>
        <w:t>，实验区面积91972hm</w:t>
      </w:r>
      <w:r>
        <w:rPr>
          <w:rFonts w:hint="default" w:ascii="Times New Roman" w:hAnsi="Times New Roman" w:eastAsia="宋体" w:cs="Times New Roman"/>
          <w:color w:val="auto"/>
          <w:spacing w:val="0"/>
          <w:w w:val="100"/>
          <w:position w:val="0"/>
          <w:sz w:val="24"/>
          <w:szCs w:val="24"/>
          <w:vertAlign w:val="superscript"/>
        </w:rPr>
        <w:t>2</w:t>
      </w:r>
      <w:r>
        <w:rPr>
          <w:rFonts w:hint="default" w:ascii="Times New Roman" w:hAnsi="Times New Roman" w:eastAsia="宋体" w:cs="Times New Roman"/>
          <w:color w:val="auto"/>
          <w:spacing w:val="0"/>
          <w:w w:val="100"/>
          <w:position w:val="0"/>
          <w:sz w:val="24"/>
          <w:szCs w:val="24"/>
        </w:rPr>
        <w:t>。保护区位于湖南省岳阳市境内，范围在东经112°43′59.5″-113°13′13.4″，北纬29°00′00″-29°37′45.7″之间。</w:t>
      </w:r>
    </w:p>
    <w:p w14:paraId="50A66A83">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东洞庭湖独特的生态环境孕育了丰富自然资源，根据湖南东洞庭湖国家级自然保护区前期综合科学考察报告（1993年）、湖南东洞庭湖国家级自然保护区范围和功能区调整综合科学考察报告（国家林业局中南林业调查规划设计院，2013.12）与多年来专家学者的实地调查研究，湖南东洞庭湖国家级自然保护区共有野生脊椎动物5纲37目110科534种。其中，鱼纲7目19科117种；两栖纲2目5科11种；爬行纲3目8科25种；鸟纲20目70科364种；哺乳纲7目14科33种。</w:t>
      </w:r>
    </w:p>
    <w:p w14:paraId="0C0D8E8A">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湖南东洞庭湖国家级自然保护区，是以保护湿地生态系统和越冬水禽为主，兼具科学研究、自然保护教育、生态旅游和开展经营利用于一体的大型、综合性的国家级自然保护区和国际重要湿地。</w:t>
      </w:r>
    </w:p>
    <w:p w14:paraId="137131B0">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湖南东洞庭湖国家级自然保护区是生物多样性极为丰富的国际重要湿地，主要保护对象如下：</w:t>
      </w:r>
    </w:p>
    <w:p w14:paraId="4F0E01D1">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①保护湿地生态系统和生物多样性，湿地生态系统完整，生物资源丰富；</w:t>
      </w:r>
    </w:p>
    <w:p w14:paraId="2FD5F943">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②保护珍稀濒危水禽，白鹤、黑鹤、东方白鹤、小天鹅、鸿雁等珍稀濒危鸟类，集中在核心区；</w:t>
      </w:r>
    </w:p>
    <w:p w14:paraId="385F8EAA">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③保护自然生态环境和自然资源。</w:t>
      </w:r>
    </w:p>
    <w:p w14:paraId="4CAEED94">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湖南东洞庭湖国家级自然保护区的主要保护动植物对象为：</w:t>
      </w:r>
    </w:p>
    <w:p w14:paraId="2AE720C9">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①主要保护金荞麦、野大豆、中华结缕草等国家重点保护野生植物；</w:t>
      </w:r>
    </w:p>
    <w:p w14:paraId="3064D4AB">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②鱼类资源：中华鲟(Acipenser sinensis)、白鲟（Psephurus gladius）、胭脂（Myxocyprinus asiaticus）等珍稀鱼类；</w:t>
      </w:r>
    </w:p>
    <w:p w14:paraId="56714612">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③两栖动物：虎纹蛙（Rana rugulosa）等国家保护动物；</w:t>
      </w:r>
    </w:p>
    <w:p w14:paraId="5A7D2716">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④鸟类：东方白鹤、黑鹤、中华秋沙鸭、白鹤、白头鹤、大鸨等国家保护动物；</w:t>
      </w:r>
    </w:p>
    <w:p w14:paraId="0AF22551">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⑤哺乳动物：长江江豚、麋鹿等国家保护动物。</w:t>
      </w:r>
    </w:p>
    <w:p w14:paraId="5B87DB7F">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228" w:rightChars="95" w:firstLine="58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本项目位于</w:t>
      </w:r>
      <w:r>
        <w:rPr>
          <w:rFonts w:hint="default" w:ascii="Times New Roman" w:hAnsi="Times New Roman" w:eastAsia="宋体" w:cs="Times New Roman"/>
          <w:color w:val="auto"/>
          <w:spacing w:val="0"/>
          <w:w w:val="100"/>
          <w:position w:val="0"/>
          <w:sz w:val="24"/>
          <w:szCs w:val="24"/>
        </w:rPr>
        <w:t>湖南东洞庭湖国家级自然保护区</w:t>
      </w:r>
      <w:r>
        <w:rPr>
          <w:rFonts w:hint="eastAsia" w:ascii="Times New Roman" w:hAnsi="Times New Roman" w:eastAsia="宋体" w:cs="Times New Roman"/>
          <w:color w:val="auto"/>
          <w:spacing w:val="0"/>
          <w:w w:val="100"/>
          <w:position w:val="0"/>
          <w:sz w:val="24"/>
          <w:szCs w:val="24"/>
          <w:lang w:val="en-US" w:eastAsia="zh-CN"/>
        </w:rPr>
        <w:t>的实验区。</w:t>
      </w:r>
    </w:p>
    <w:p w14:paraId="02483729">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228" w:rightChars="95" w:firstLine="0" w:firstLineChars="0"/>
        <w:jc w:val="center"/>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drawing>
          <wp:inline distT="0" distB="0" distL="114300" distR="114300">
            <wp:extent cx="5268595" cy="6954520"/>
            <wp:effectExtent l="0" t="0" r="8255" b="17780"/>
            <wp:docPr id="21" name="图片 5" descr="zongtiguihu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zongtiguihua_08"/>
                    <pic:cNvPicPr>
                      <a:picLocks noChangeAspect="1"/>
                    </pic:cNvPicPr>
                  </pic:nvPicPr>
                  <pic:blipFill>
                    <a:blip r:embed="rId27"/>
                    <a:stretch>
                      <a:fillRect/>
                    </a:stretch>
                  </pic:blipFill>
                  <pic:spPr>
                    <a:xfrm>
                      <a:off x="0" y="0"/>
                      <a:ext cx="5268595" cy="6954520"/>
                    </a:xfrm>
                    <a:prstGeom prst="rect">
                      <a:avLst/>
                    </a:prstGeom>
                    <a:noFill/>
                    <a:ln>
                      <a:noFill/>
                    </a:ln>
                  </pic:spPr>
                </pic:pic>
              </a:graphicData>
            </a:graphic>
          </wp:inline>
        </w:drawing>
      </w:r>
    </w:p>
    <w:p w14:paraId="2C682B4B">
      <w:pPr>
        <w:pStyle w:val="45"/>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leftChars="0" w:right="228" w:rightChars="95" w:firstLine="0" w:firstLineChars="0"/>
        <w:jc w:val="center"/>
        <w:textAlignment w:val="auto"/>
        <w:rPr>
          <w:rFonts w:hint="default" w:ascii="Times New Roman" w:hAnsi="Times New Roman" w:cs="Times New Roman"/>
          <w:color w:val="auto"/>
          <w:u w:val="none" w:color="auto"/>
        </w:rPr>
      </w:pPr>
      <w:r>
        <w:rPr>
          <w:rFonts w:hint="default" w:ascii="Times New Roman" w:hAnsi="Times New Roman" w:eastAsia="宋体" w:cs="Times New Roman"/>
          <w:b/>
          <w:bCs/>
          <w:color w:val="auto"/>
          <w:sz w:val="24"/>
          <w:szCs w:val="24"/>
          <w:u w:val="none" w:color="auto"/>
          <w:lang w:val="en-US" w:eastAsia="zh-CN"/>
        </w:rPr>
        <w:t xml:space="preserve">图4.2-1 </w:t>
      </w:r>
      <w:r>
        <w:rPr>
          <w:rFonts w:hint="eastAsia" w:ascii="Times New Roman" w:hAnsi="Times New Roman" w:eastAsia="宋体" w:cs="Times New Roman"/>
          <w:b/>
          <w:bCs/>
          <w:color w:val="auto"/>
          <w:sz w:val="24"/>
          <w:szCs w:val="24"/>
          <w:u w:val="none" w:color="auto"/>
          <w:lang w:val="en-US" w:eastAsia="zh-CN"/>
        </w:rPr>
        <w:t>湖南省</w:t>
      </w:r>
      <w:r>
        <w:rPr>
          <w:rFonts w:hint="default" w:ascii="Times New Roman" w:hAnsi="Times New Roman" w:eastAsia="宋体" w:cs="Times New Roman"/>
          <w:b/>
          <w:bCs/>
          <w:color w:val="auto"/>
          <w:sz w:val="24"/>
          <w:szCs w:val="24"/>
          <w:u w:val="none" w:color="auto"/>
          <w:lang w:val="en-US" w:eastAsia="zh-CN"/>
        </w:rPr>
        <w:t>东洞庭湖</w:t>
      </w:r>
      <w:r>
        <w:rPr>
          <w:rFonts w:hint="eastAsia" w:ascii="Times New Roman" w:hAnsi="Times New Roman" w:eastAsia="宋体" w:cs="Times New Roman"/>
          <w:b/>
          <w:bCs/>
          <w:color w:val="auto"/>
          <w:sz w:val="24"/>
          <w:szCs w:val="24"/>
          <w:u w:val="none" w:color="auto"/>
          <w:lang w:val="en-US" w:eastAsia="zh-CN"/>
        </w:rPr>
        <w:t>国家级</w:t>
      </w:r>
      <w:r>
        <w:rPr>
          <w:rFonts w:hint="default" w:ascii="Times New Roman" w:hAnsi="Times New Roman" w:eastAsia="宋体" w:cs="Times New Roman"/>
          <w:b/>
          <w:bCs/>
          <w:color w:val="auto"/>
          <w:sz w:val="24"/>
          <w:szCs w:val="24"/>
          <w:u w:val="none" w:color="auto"/>
          <w:lang w:val="en-US" w:eastAsia="zh-CN"/>
        </w:rPr>
        <w:t>自然保护区</w:t>
      </w:r>
      <w:r>
        <w:rPr>
          <w:rFonts w:hint="eastAsia" w:ascii="Times New Roman" w:hAnsi="Times New Roman" w:eastAsia="宋体" w:cs="Times New Roman"/>
          <w:b/>
          <w:bCs/>
          <w:color w:val="auto"/>
          <w:sz w:val="24"/>
          <w:szCs w:val="24"/>
          <w:u w:val="none" w:color="auto"/>
          <w:lang w:val="en-US" w:eastAsia="zh-CN"/>
        </w:rPr>
        <w:t>工程建设布局</w:t>
      </w:r>
      <w:r>
        <w:rPr>
          <w:rFonts w:hint="default" w:ascii="Times New Roman" w:hAnsi="Times New Roman" w:eastAsia="宋体" w:cs="Times New Roman"/>
          <w:b/>
          <w:bCs/>
          <w:color w:val="auto"/>
          <w:sz w:val="24"/>
          <w:szCs w:val="24"/>
          <w:u w:val="none" w:color="auto"/>
          <w:lang w:val="en-US" w:eastAsia="zh-CN"/>
        </w:rPr>
        <w:t>图</w:t>
      </w:r>
    </w:p>
    <w:p w14:paraId="795276E6">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511" w:name="_Toc9076"/>
      <w:bookmarkStart w:id="512" w:name="_Toc31531"/>
      <w:r>
        <w:rPr>
          <w:rFonts w:hint="default" w:ascii="Times New Roman" w:hAnsi="Times New Roman" w:eastAsia="宋体" w:cs="Times New Roman"/>
          <w:color w:val="auto"/>
          <w:sz w:val="28"/>
          <w:szCs w:val="28"/>
          <w:lang w:val="en-US" w:eastAsia="zh-CN"/>
        </w:rPr>
        <w:t>4.</w:t>
      </w:r>
      <w:r>
        <w:rPr>
          <w:rFonts w:hint="eastAsia"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 xml:space="preserve"> 东洞庭湖江豚自然保护区概况</w:t>
      </w:r>
      <w:bookmarkEnd w:id="511"/>
      <w:bookmarkEnd w:id="512"/>
    </w:p>
    <w:p w14:paraId="10BEBF4F">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为保护长江江豚资源及其生境，1996年，岳阳市人民政府批准成立了东洞庭湖江豚自然保护区，保护区等级为市级，范围介于112°43′～113°15E，28°59′～29°38′N之间，包括岳阳城陵矶三江口至鲶鱼口湘江洪道和东洞庭湖水域，总面积6.67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，其中核心区0.66万hm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、缓冲区5.93万hm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、实验区0.08万hm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其范围与功能区划见附图。2003年建立了岳阳市城陵矶水生野生动物救护中心。为便于保护区管理，2013年岳阳市政府对保护区功能区进行了调整，并以《岳阳市人民政府办公室关于同意调整岳阳市（东）洞庭湖江豚自然保护区及其功能区范围的批复》（岳政办函[2013]151号）对调整方案进行了批复，根据批复文件，调整后，保护区总面积不变，为6.67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，其中，核心区面积0.67万hm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，缓冲区面积为4万hm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，实验区面积为2万hm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。根据岳政办函[2013]151号文件中关于保护区的调整方案及要求，2018年1月，市农业委员会确定了保护区拐点坐标和功能区划图。</w:t>
      </w:r>
    </w:p>
    <w:p w14:paraId="73C70308">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岳阳东洞庭湖位于长江中下游荆江江段南侧，地处湖南省东北部岳阳市境内，地理坐标为东经112°45'35″～113°08'51″，北纬28°59'59″～29°32'07″之间。东与岳阳楼区毗邻，南与</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t>岳阳县</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、湘阴县、沅江县接壤，西、北与华容县、君山区相接。范围的具体四至界限为：</w:t>
      </w:r>
    </w:p>
    <w:p w14:paraId="122B28E4">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北边界线（西东）走向：采桑湖→大西湖→黄安湖排灌站→中心闸→丁字堤→君山造纸厂→君山农场水委会→芦西湾→湘鄂两省主航道分界线→城陵矶；</w:t>
      </w:r>
    </w:p>
    <w:p w14:paraId="5BC87C7C">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东边界线（北南）走向：城陵矶→市汽车渡口→市货运码头→粮运码头→龟山→太平咀→月形湖→春风乡渔场→湘粮湖→毛家湖渔场→九马嘴→万石湖→杨庙湖→下塔湖→上塔湖→小明湖→大明外湖→钓鱼台湖→磊石山→营田镇→潮洲尾；</w:t>
      </w:r>
    </w:p>
    <w:p w14:paraId="243DD3CA">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南边界线（东西）走向：潮洲尾→严家山→青潭乡→杨家台；</w:t>
      </w:r>
    </w:p>
    <w:p w14:paraId="51325B63">
      <w:pPr>
        <w:rPr>
          <w:rFonts w:hint="default" w:ascii="Times New Roman" w:hAnsi="Times New Roman" w:eastAsia="宋体" w:cs="Times New Roman"/>
          <w:color w:val="auto"/>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西边界线（南北）走向：杨家台→草尾河口→港南洲→上行河→下行河→简易闸→月亮湖→风车拐→漉湖→友谊沟→舵杆洲→三角围子→新沟闸→新胜村→团洲中学→团南四组→团福闸→二门闸→华容河→一门闸→采桑湖。</w:t>
      </w:r>
    </w:p>
    <w:p w14:paraId="2CBD662B">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2013年岳阳市政府对保护区进行了调整，根据岳政办函[2013]151号文件，调整后保护区总面积不变，6.67万hm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，其中，核心区面积0.67万hm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，缓冲区面积为4万hm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，实验区面积为2万hm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w:t>
      </w:r>
    </w:p>
    <w:p w14:paraId="4A73873A">
      <w:pPr>
        <w:pStyle w:val="38"/>
        <w:ind w:firstLine="482"/>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核心区：调整后保护区核心区分两块，即扁山核心区和鲶鱼口核心区。其中：扁山核心区范围为：北起洞庭湖公路大桥，西至芦席湾、裤裆湾、麻拐石、壕坝、君山、香炉山。君山后湖，南至太平嘴、扁山往南1000m处、罗汉洲、元嘴，东至从东风湖沿洞庭湖岸线至太平嘴范围内的深水区水域，总面积为3861.7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鲶鱼口核心区范围为：以鲶鱼口为中心上下游各约10km范围内的主河道深水区，即北起陡沙坡头，西至柴家嘴，东至上下青年湖，西北至漉洲芦苇场（草尾河入洞庭湖湖口），东南至磊石山范围内的深水区水域，总面积2838.3hm</w:t>
      </w:r>
      <w:r>
        <w:rPr>
          <w:rFonts w:hint="default" w:ascii="Times New Roman" w:hAnsi="Times New Roman" w:eastAsia="宋体" w:cs="Times New Roman"/>
          <w:color w:val="auto"/>
          <w:spacing w:val="0"/>
          <w:w w:val="100"/>
          <w:kern w:val="2"/>
          <w:position w:val="0"/>
          <w:sz w:val="24"/>
          <w:szCs w:val="24"/>
          <w:u w:val="none"/>
          <w:shd w:val="clear" w:color="auto" w:fill="auto"/>
          <w:vertAlign w:val="superscript"/>
          <w:lang w:val="en-US" w:eastAsia="zh-TW" w:bidi="zh-TW"/>
        </w:rPr>
        <w:t>2</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。核心区作为江豚重点保护区，是江豚及其他珍稀水生野生动物的主要栖息场所，将最大限度地保持自然状态和生态系统的完整性和减少人为干扰。本项目距离扁山核心区距离约</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t>5km。</w:t>
      </w:r>
    </w:p>
    <w:p w14:paraId="3341121C">
      <w:pPr>
        <w:pStyle w:val="38"/>
        <w:ind w:firstLine="482"/>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缓冲区：保护区域内除核心区、水运航道、传统芦苇生产区以及防浪林带以外的区域划为缓冲区，面积4万公顷</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t>，</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本项目涉及缓冲区。</w:t>
      </w:r>
    </w:p>
    <w:p w14:paraId="43975833">
      <w:pPr>
        <w:pStyle w:val="38"/>
        <w:ind w:firstLine="482"/>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实验区：保护区区界以内缓冲区以外的区域，包括大西湖、小西湖、春风湖等在内的湖泊和洲滩划为实验区，面积2万公顷。</w:t>
      </w:r>
    </w:p>
    <w:p w14:paraId="61BE61E2">
      <w:pPr>
        <w:pStyle w:val="38"/>
        <w:ind w:firstLine="480"/>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2018年2月确定了保护区界限，将保护区东侧、北侧岸线外50m处划定为实验区，岸线外50m至150m的100m宽水域划定为缓冲区。</w:t>
      </w:r>
    </w:p>
    <w:p w14:paraId="3ED4249B">
      <w:pPr>
        <w:rPr>
          <w:rFonts w:hint="default" w:ascii="Times New Roman" w:hAnsi="Times New Roman" w:eastAsia="宋体" w:cs="Times New Roman"/>
          <w:color w:val="auto"/>
        </w:rPr>
      </w:pP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保护区功能区的调整，主要针对江豚敞水区、深水区分布特点，以及江豚主要分布区域的特点设置保护区范围和功能区，有利于江豚保护及保护区管理，并协调了江豚保护与东洞庭湖发展的关系。</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CN" w:bidi="zh-TW"/>
        </w:rPr>
        <w:t>本项目位于东洞庭湖江豚市级自然保护区缓冲区</w:t>
      </w:r>
      <w:r>
        <w:rPr>
          <w:rFonts w:hint="default" w:ascii="Times New Roman" w:hAnsi="Times New Roman" w:eastAsia="宋体" w:cs="Times New Roman"/>
          <w:color w:val="auto"/>
          <w:spacing w:val="0"/>
          <w:w w:val="100"/>
          <w:kern w:val="2"/>
          <w:position w:val="0"/>
          <w:sz w:val="24"/>
          <w:szCs w:val="24"/>
          <w:u w:val="none"/>
          <w:shd w:val="clear" w:color="auto" w:fill="auto"/>
          <w:lang w:val="en-US" w:eastAsia="zh-TW" w:bidi="zh-TW"/>
        </w:rPr>
        <w:t>。</w:t>
      </w:r>
    </w:p>
    <w:p w14:paraId="7E7D8BE2">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-1 保护区功能调整后拐点坐标</w:t>
      </w:r>
    </w:p>
    <w:tbl>
      <w:tblPr>
        <w:tblStyle w:val="29"/>
        <w:tblpPr w:leftFromText="180" w:rightFromText="180" w:vertAnchor="text" w:tblpXSpec="center" w:tblpY="1"/>
        <w:tblOverlap w:val="never"/>
        <w:tblW w:w="4595" w:type="pct"/>
        <w:jc w:val="center"/>
        <w:tblLayout w:type="autofit"/>
        <w:tblCellMar>
          <w:top w:w="0" w:type="dxa"/>
          <w:left w:w="108" w:type="dxa"/>
          <w:bottom w:w="0" w:type="dxa"/>
          <w:right w:w="108" w:type="dxa"/>
        </w:tblCellMar>
      </w:tblPr>
      <w:tblGrid>
        <w:gridCol w:w="1336"/>
        <w:gridCol w:w="1441"/>
        <w:gridCol w:w="1229"/>
        <w:gridCol w:w="1273"/>
        <w:gridCol w:w="1374"/>
        <w:gridCol w:w="1173"/>
      </w:tblGrid>
      <w:tr w14:paraId="6E8E6342">
        <w:tblPrEx>
          <w:tblCellMar>
            <w:top w:w="0" w:type="dxa"/>
            <w:left w:w="108" w:type="dxa"/>
            <w:bottom w:w="0" w:type="dxa"/>
            <w:right w:w="108" w:type="dxa"/>
          </w:tblCellMar>
        </w:tblPrEx>
        <w:trPr>
          <w:trHeight w:val="172" w:hRule="atLeast"/>
          <w:jc w:val="center"/>
        </w:trPr>
        <w:tc>
          <w:tcPr>
            <w:tcW w:w="853" w:type="pct"/>
            <w:tcBorders>
              <w:top w:val="single" w:color="auto" w:sz="4" w:space="0"/>
              <w:left w:val="single" w:color="auto" w:sz="4" w:space="0"/>
              <w:bottom w:val="single" w:color="auto" w:sz="4" w:space="0"/>
              <w:right w:val="single" w:color="auto" w:sz="4" w:space="0"/>
            </w:tcBorders>
            <w:noWrap/>
            <w:vAlign w:val="center"/>
          </w:tcPr>
          <w:p w14:paraId="1487671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点编号</w:t>
            </w:r>
          </w:p>
        </w:tc>
        <w:tc>
          <w:tcPr>
            <w:tcW w:w="920" w:type="pct"/>
            <w:tcBorders>
              <w:top w:val="single" w:color="auto" w:sz="4" w:space="0"/>
              <w:left w:val="nil"/>
              <w:bottom w:val="single" w:color="auto" w:sz="4" w:space="0"/>
              <w:right w:val="single" w:color="auto" w:sz="4" w:space="0"/>
            </w:tcBorders>
            <w:noWrap/>
            <w:vAlign w:val="center"/>
          </w:tcPr>
          <w:p w14:paraId="347BAF1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经度E</w:t>
            </w:r>
          </w:p>
        </w:tc>
        <w:tc>
          <w:tcPr>
            <w:tcW w:w="785" w:type="pct"/>
            <w:tcBorders>
              <w:top w:val="single" w:color="auto" w:sz="4" w:space="0"/>
              <w:left w:val="nil"/>
              <w:bottom w:val="single" w:color="auto" w:sz="4" w:space="0"/>
              <w:right w:val="single" w:color="auto" w:sz="4" w:space="0"/>
            </w:tcBorders>
            <w:noWrap/>
            <w:vAlign w:val="center"/>
          </w:tcPr>
          <w:p w14:paraId="3C15390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纬度N</w:t>
            </w:r>
          </w:p>
        </w:tc>
        <w:tc>
          <w:tcPr>
            <w:tcW w:w="813" w:type="pct"/>
            <w:tcBorders>
              <w:top w:val="single" w:color="auto" w:sz="4" w:space="0"/>
              <w:left w:val="nil"/>
              <w:bottom w:val="single" w:color="auto" w:sz="4" w:space="0"/>
              <w:right w:val="single" w:color="auto" w:sz="4" w:space="0"/>
            </w:tcBorders>
            <w:noWrap/>
            <w:vAlign w:val="center"/>
          </w:tcPr>
          <w:p w14:paraId="79A4CF3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点编号</w:t>
            </w:r>
          </w:p>
        </w:tc>
        <w:tc>
          <w:tcPr>
            <w:tcW w:w="877" w:type="pct"/>
            <w:tcBorders>
              <w:top w:val="single" w:color="auto" w:sz="4" w:space="0"/>
              <w:left w:val="nil"/>
              <w:bottom w:val="single" w:color="auto" w:sz="4" w:space="0"/>
              <w:right w:val="single" w:color="auto" w:sz="4" w:space="0"/>
            </w:tcBorders>
            <w:noWrap/>
            <w:vAlign w:val="center"/>
          </w:tcPr>
          <w:p w14:paraId="667E6E1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经度E</w:t>
            </w:r>
          </w:p>
        </w:tc>
        <w:tc>
          <w:tcPr>
            <w:tcW w:w="749" w:type="pct"/>
            <w:tcBorders>
              <w:top w:val="single" w:color="auto" w:sz="4" w:space="0"/>
              <w:left w:val="nil"/>
              <w:bottom w:val="single" w:color="auto" w:sz="4" w:space="0"/>
              <w:right w:val="single" w:color="auto" w:sz="4" w:space="0"/>
            </w:tcBorders>
            <w:noWrap/>
            <w:vAlign w:val="center"/>
          </w:tcPr>
          <w:p w14:paraId="1404F27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纬度N</w:t>
            </w:r>
          </w:p>
        </w:tc>
      </w:tr>
      <w:tr w14:paraId="258EB40B">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CF695F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920" w:type="pct"/>
            <w:tcBorders>
              <w:top w:val="nil"/>
              <w:left w:val="nil"/>
              <w:bottom w:val="single" w:color="auto" w:sz="4" w:space="0"/>
              <w:right w:val="single" w:color="auto" w:sz="4" w:space="0"/>
            </w:tcBorders>
            <w:noWrap/>
            <w:vAlign w:val="center"/>
          </w:tcPr>
          <w:p w14:paraId="6C34BA7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112.869</w:t>
            </w:r>
          </w:p>
        </w:tc>
        <w:tc>
          <w:tcPr>
            <w:tcW w:w="785" w:type="pct"/>
            <w:tcBorders>
              <w:top w:val="nil"/>
              <w:left w:val="nil"/>
              <w:bottom w:val="single" w:color="auto" w:sz="4" w:space="0"/>
              <w:right w:val="single" w:color="auto" w:sz="4" w:space="0"/>
            </w:tcBorders>
            <w:noWrap/>
            <w:vAlign w:val="center"/>
          </w:tcPr>
          <w:p w14:paraId="3654DDB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29.478</w:t>
            </w:r>
          </w:p>
        </w:tc>
        <w:tc>
          <w:tcPr>
            <w:tcW w:w="813" w:type="pct"/>
            <w:tcBorders>
              <w:top w:val="nil"/>
              <w:left w:val="nil"/>
              <w:bottom w:val="single" w:color="auto" w:sz="4" w:space="0"/>
              <w:right w:val="single" w:color="auto" w:sz="4" w:space="0"/>
            </w:tcBorders>
            <w:noWrap/>
            <w:vAlign w:val="center"/>
          </w:tcPr>
          <w:p w14:paraId="3908C81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53</w:t>
            </w:r>
          </w:p>
        </w:tc>
        <w:tc>
          <w:tcPr>
            <w:tcW w:w="877" w:type="pct"/>
            <w:tcBorders>
              <w:top w:val="nil"/>
              <w:left w:val="nil"/>
              <w:bottom w:val="single" w:color="auto" w:sz="4" w:space="0"/>
              <w:right w:val="single" w:color="auto" w:sz="4" w:space="0"/>
            </w:tcBorders>
            <w:noWrap/>
            <w:vAlign w:val="center"/>
          </w:tcPr>
          <w:p w14:paraId="577E418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112.883</w:t>
            </w:r>
          </w:p>
        </w:tc>
        <w:tc>
          <w:tcPr>
            <w:tcW w:w="749" w:type="pct"/>
            <w:tcBorders>
              <w:top w:val="nil"/>
              <w:left w:val="nil"/>
              <w:bottom w:val="single" w:color="auto" w:sz="4" w:space="0"/>
              <w:right w:val="single" w:color="auto" w:sz="4" w:space="0"/>
            </w:tcBorders>
            <w:noWrap/>
            <w:vAlign w:val="center"/>
          </w:tcPr>
          <w:p w14:paraId="2CA3A79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28.938</w:t>
            </w:r>
          </w:p>
        </w:tc>
      </w:tr>
      <w:tr w14:paraId="7F13F0C4">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E23F6F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920" w:type="pct"/>
            <w:tcBorders>
              <w:top w:val="nil"/>
              <w:left w:val="nil"/>
              <w:bottom w:val="single" w:color="auto" w:sz="4" w:space="0"/>
              <w:right w:val="single" w:color="auto" w:sz="4" w:space="0"/>
            </w:tcBorders>
            <w:noWrap/>
            <w:vAlign w:val="center"/>
          </w:tcPr>
          <w:p w14:paraId="677139E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112.824</w:t>
            </w:r>
          </w:p>
        </w:tc>
        <w:tc>
          <w:tcPr>
            <w:tcW w:w="785" w:type="pct"/>
            <w:tcBorders>
              <w:top w:val="nil"/>
              <w:left w:val="nil"/>
              <w:bottom w:val="single" w:color="auto" w:sz="4" w:space="0"/>
              <w:right w:val="single" w:color="auto" w:sz="4" w:space="0"/>
            </w:tcBorders>
            <w:noWrap/>
            <w:vAlign w:val="center"/>
          </w:tcPr>
          <w:p w14:paraId="77E6CCC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29.434</w:t>
            </w:r>
          </w:p>
        </w:tc>
        <w:tc>
          <w:tcPr>
            <w:tcW w:w="813" w:type="pct"/>
            <w:tcBorders>
              <w:top w:val="nil"/>
              <w:left w:val="nil"/>
              <w:bottom w:val="single" w:color="auto" w:sz="4" w:space="0"/>
              <w:right w:val="single" w:color="auto" w:sz="4" w:space="0"/>
            </w:tcBorders>
            <w:noWrap/>
            <w:vAlign w:val="center"/>
          </w:tcPr>
          <w:p w14:paraId="3F06D14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54</w:t>
            </w:r>
          </w:p>
        </w:tc>
        <w:tc>
          <w:tcPr>
            <w:tcW w:w="877" w:type="pct"/>
            <w:tcBorders>
              <w:top w:val="nil"/>
              <w:left w:val="nil"/>
              <w:bottom w:val="single" w:color="auto" w:sz="4" w:space="0"/>
              <w:right w:val="single" w:color="auto" w:sz="4" w:space="0"/>
            </w:tcBorders>
            <w:noWrap/>
            <w:vAlign w:val="center"/>
          </w:tcPr>
          <w:p w14:paraId="61267B8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112.900</w:t>
            </w:r>
          </w:p>
        </w:tc>
        <w:tc>
          <w:tcPr>
            <w:tcW w:w="749" w:type="pct"/>
            <w:tcBorders>
              <w:top w:val="nil"/>
              <w:left w:val="nil"/>
              <w:bottom w:val="single" w:color="auto" w:sz="4" w:space="0"/>
              <w:right w:val="single" w:color="auto" w:sz="4" w:space="0"/>
            </w:tcBorders>
            <w:noWrap/>
            <w:vAlign w:val="center"/>
          </w:tcPr>
          <w:p w14:paraId="355C139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28.975</w:t>
            </w:r>
          </w:p>
        </w:tc>
      </w:tr>
      <w:tr w14:paraId="587D3617">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945782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920" w:type="pct"/>
            <w:tcBorders>
              <w:top w:val="nil"/>
              <w:left w:val="nil"/>
              <w:bottom w:val="single" w:color="auto" w:sz="4" w:space="0"/>
              <w:right w:val="single" w:color="auto" w:sz="4" w:space="0"/>
            </w:tcBorders>
            <w:noWrap/>
            <w:vAlign w:val="center"/>
          </w:tcPr>
          <w:p w14:paraId="69DB0C6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112.837</w:t>
            </w:r>
          </w:p>
        </w:tc>
        <w:tc>
          <w:tcPr>
            <w:tcW w:w="785" w:type="pct"/>
            <w:tcBorders>
              <w:top w:val="nil"/>
              <w:left w:val="nil"/>
              <w:bottom w:val="single" w:color="auto" w:sz="4" w:space="0"/>
              <w:right w:val="single" w:color="auto" w:sz="4" w:space="0"/>
            </w:tcBorders>
            <w:noWrap/>
            <w:vAlign w:val="center"/>
          </w:tcPr>
          <w:p w14:paraId="3024D23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29.391</w:t>
            </w:r>
          </w:p>
        </w:tc>
        <w:tc>
          <w:tcPr>
            <w:tcW w:w="813" w:type="pct"/>
            <w:tcBorders>
              <w:top w:val="nil"/>
              <w:left w:val="nil"/>
              <w:bottom w:val="single" w:color="auto" w:sz="4" w:space="0"/>
              <w:right w:val="single" w:color="auto" w:sz="4" w:space="0"/>
            </w:tcBorders>
            <w:noWrap/>
            <w:vAlign w:val="center"/>
          </w:tcPr>
          <w:p w14:paraId="4865DDE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c>
          <w:tcPr>
            <w:tcW w:w="877" w:type="pct"/>
            <w:tcBorders>
              <w:top w:val="nil"/>
              <w:left w:val="nil"/>
              <w:bottom w:val="single" w:color="auto" w:sz="4" w:space="0"/>
              <w:right w:val="single" w:color="auto" w:sz="4" w:space="0"/>
            </w:tcBorders>
            <w:noWrap/>
            <w:vAlign w:val="center"/>
          </w:tcPr>
          <w:p w14:paraId="05577E5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112.932</w:t>
            </w:r>
          </w:p>
        </w:tc>
        <w:tc>
          <w:tcPr>
            <w:tcW w:w="749" w:type="pct"/>
            <w:tcBorders>
              <w:top w:val="nil"/>
              <w:left w:val="nil"/>
              <w:bottom w:val="single" w:color="auto" w:sz="4" w:space="0"/>
              <w:right w:val="single" w:color="auto" w:sz="4" w:space="0"/>
            </w:tcBorders>
            <w:noWrap/>
            <w:vAlign w:val="center"/>
          </w:tcPr>
          <w:p w14:paraId="3A543F9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28.984</w:t>
            </w:r>
          </w:p>
        </w:tc>
      </w:tr>
      <w:tr w14:paraId="6B6549CE">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6B1A08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920" w:type="pct"/>
            <w:tcBorders>
              <w:top w:val="nil"/>
              <w:left w:val="nil"/>
              <w:bottom w:val="single" w:color="auto" w:sz="4" w:space="0"/>
              <w:right w:val="single" w:color="auto" w:sz="4" w:space="0"/>
            </w:tcBorders>
            <w:noWrap/>
            <w:vAlign w:val="center"/>
          </w:tcPr>
          <w:p w14:paraId="199365B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112.833</w:t>
            </w:r>
          </w:p>
        </w:tc>
        <w:tc>
          <w:tcPr>
            <w:tcW w:w="785" w:type="pct"/>
            <w:tcBorders>
              <w:top w:val="nil"/>
              <w:left w:val="nil"/>
              <w:bottom w:val="single" w:color="auto" w:sz="4" w:space="0"/>
              <w:right w:val="single" w:color="auto" w:sz="4" w:space="0"/>
            </w:tcBorders>
            <w:noWrap/>
            <w:vAlign w:val="center"/>
          </w:tcPr>
          <w:p w14:paraId="76474EF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29.373</w:t>
            </w:r>
          </w:p>
        </w:tc>
        <w:tc>
          <w:tcPr>
            <w:tcW w:w="813" w:type="pct"/>
            <w:tcBorders>
              <w:top w:val="nil"/>
              <w:left w:val="nil"/>
              <w:bottom w:val="single" w:color="auto" w:sz="4" w:space="0"/>
              <w:right w:val="single" w:color="auto" w:sz="4" w:space="0"/>
            </w:tcBorders>
            <w:noWrap/>
            <w:vAlign w:val="center"/>
          </w:tcPr>
          <w:p w14:paraId="2170932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56</w:t>
            </w:r>
          </w:p>
        </w:tc>
        <w:tc>
          <w:tcPr>
            <w:tcW w:w="877" w:type="pct"/>
            <w:tcBorders>
              <w:top w:val="nil"/>
              <w:left w:val="nil"/>
              <w:bottom w:val="single" w:color="auto" w:sz="4" w:space="0"/>
              <w:right w:val="single" w:color="auto" w:sz="4" w:space="0"/>
            </w:tcBorders>
            <w:noWrap/>
            <w:vAlign w:val="center"/>
          </w:tcPr>
          <w:p w14:paraId="26D27AC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112.948</w:t>
            </w:r>
          </w:p>
        </w:tc>
        <w:tc>
          <w:tcPr>
            <w:tcW w:w="749" w:type="pct"/>
            <w:tcBorders>
              <w:top w:val="nil"/>
              <w:left w:val="nil"/>
              <w:bottom w:val="single" w:color="auto" w:sz="4" w:space="0"/>
              <w:right w:val="single" w:color="auto" w:sz="4" w:space="0"/>
            </w:tcBorders>
            <w:noWrap/>
            <w:vAlign w:val="center"/>
          </w:tcPr>
          <w:p w14:paraId="46DC0DF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28.996</w:t>
            </w:r>
          </w:p>
        </w:tc>
      </w:tr>
      <w:tr w14:paraId="7F1F9B3B">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BDAB6A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920" w:type="pct"/>
            <w:tcBorders>
              <w:top w:val="nil"/>
              <w:left w:val="nil"/>
              <w:bottom w:val="single" w:color="auto" w:sz="4" w:space="0"/>
              <w:right w:val="single" w:color="auto" w:sz="4" w:space="0"/>
            </w:tcBorders>
            <w:noWrap/>
            <w:vAlign w:val="center"/>
          </w:tcPr>
          <w:p w14:paraId="5B389C9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112.880</w:t>
            </w:r>
          </w:p>
        </w:tc>
        <w:tc>
          <w:tcPr>
            <w:tcW w:w="785" w:type="pct"/>
            <w:tcBorders>
              <w:top w:val="nil"/>
              <w:left w:val="nil"/>
              <w:bottom w:val="single" w:color="auto" w:sz="4" w:space="0"/>
              <w:right w:val="single" w:color="auto" w:sz="4" w:space="0"/>
            </w:tcBorders>
            <w:noWrap/>
            <w:vAlign w:val="center"/>
          </w:tcPr>
          <w:p w14:paraId="554E626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29.372</w:t>
            </w:r>
          </w:p>
        </w:tc>
        <w:tc>
          <w:tcPr>
            <w:tcW w:w="813" w:type="pct"/>
            <w:tcBorders>
              <w:top w:val="nil"/>
              <w:left w:val="nil"/>
              <w:bottom w:val="single" w:color="auto" w:sz="4" w:space="0"/>
              <w:right w:val="single" w:color="auto" w:sz="4" w:space="0"/>
            </w:tcBorders>
            <w:noWrap/>
            <w:vAlign w:val="center"/>
          </w:tcPr>
          <w:p w14:paraId="3E21EEF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57</w:t>
            </w:r>
          </w:p>
        </w:tc>
        <w:tc>
          <w:tcPr>
            <w:tcW w:w="877" w:type="pct"/>
            <w:tcBorders>
              <w:top w:val="nil"/>
              <w:left w:val="nil"/>
              <w:bottom w:val="single" w:color="auto" w:sz="4" w:space="0"/>
              <w:right w:val="single" w:color="auto" w:sz="4" w:space="0"/>
            </w:tcBorders>
            <w:noWrap/>
            <w:vAlign w:val="center"/>
          </w:tcPr>
          <w:p w14:paraId="129C02C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112.957</w:t>
            </w:r>
          </w:p>
        </w:tc>
        <w:tc>
          <w:tcPr>
            <w:tcW w:w="749" w:type="pct"/>
            <w:tcBorders>
              <w:top w:val="nil"/>
              <w:left w:val="nil"/>
              <w:bottom w:val="single" w:color="auto" w:sz="4" w:space="0"/>
              <w:right w:val="single" w:color="auto" w:sz="4" w:space="0"/>
            </w:tcBorders>
            <w:noWrap/>
            <w:vAlign w:val="center"/>
          </w:tcPr>
          <w:p w14:paraId="19C78AF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29.008</w:t>
            </w:r>
          </w:p>
        </w:tc>
      </w:tr>
      <w:tr w14:paraId="736FB98C">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D9B2BB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920" w:type="pct"/>
            <w:tcBorders>
              <w:top w:val="nil"/>
              <w:left w:val="nil"/>
              <w:bottom w:val="single" w:color="auto" w:sz="4" w:space="0"/>
              <w:right w:val="single" w:color="auto" w:sz="4" w:space="0"/>
            </w:tcBorders>
            <w:noWrap/>
            <w:vAlign w:val="center"/>
          </w:tcPr>
          <w:p w14:paraId="5DAFD30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112.885</w:t>
            </w:r>
          </w:p>
        </w:tc>
        <w:tc>
          <w:tcPr>
            <w:tcW w:w="785" w:type="pct"/>
            <w:tcBorders>
              <w:top w:val="nil"/>
              <w:left w:val="nil"/>
              <w:bottom w:val="single" w:color="auto" w:sz="4" w:space="0"/>
              <w:right w:val="single" w:color="auto" w:sz="4" w:space="0"/>
            </w:tcBorders>
            <w:noWrap/>
            <w:vAlign w:val="center"/>
          </w:tcPr>
          <w:p w14:paraId="45F3BCA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29.385</w:t>
            </w:r>
          </w:p>
        </w:tc>
        <w:tc>
          <w:tcPr>
            <w:tcW w:w="813" w:type="pct"/>
            <w:tcBorders>
              <w:top w:val="nil"/>
              <w:left w:val="nil"/>
              <w:bottom w:val="single" w:color="auto" w:sz="4" w:space="0"/>
              <w:right w:val="single" w:color="auto" w:sz="4" w:space="0"/>
            </w:tcBorders>
            <w:noWrap/>
            <w:vAlign w:val="center"/>
          </w:tcPr>
          <w:p w14:paraId="4665811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c>
          <w:tcPr>
            <w:tcW w:w="877" w:type="pct"/>
            <w:tcBorders>
              <w:top w:val="nil"/>
              <w:left w:val="nil"/>
              <w:bottom w:val="single" w:color="auto" w:sz="4" w:space="0"/>
              <w:right w:val="single" w:color="auto" w:sz="4" w:space="0"/>
            </w:tcBorders>
            <w:noWrap/>
            <w:vAlign w:val="center"/>
          </w:tcPr>
          <w:p w14:paraId="10544FA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112.945</w:t>
            </w:r>
          </w:p>
        </w:tc>
        <w:tc>
          <w:tcPr>
            <w:tcW w:w="749" w:type="pct"/>
            <w:tcBorders>
              <w:top w:val="nil"/>
              <w:left w:val="nil"/>
              <w:bottom w:val="single" w:color="auto" w:sz="4" w:space="0"/>
              <w:right w:val="single" w:color="auto" w:sz="4" w:space="0"/>
            </w:tcBorders>
            <w:noWrap/>
            <w:vAlign w:val="center"/>
          </w:tcPr>
          <w:p w14:paraId="5B4579A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29.020</w:t>
            </w:r>
          </w:p>
        </w:tc>
      </w:tr>
      <w:tr w14:paraId="2370C3EE">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39E7CA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920" w:type="pct"/>
            <w:tcBorders>
              <w:top w:val="nil"/>
              <w:left w:val="nil"/>
              <w:bottom w:val="single" w:color="auto" w:sz="4" w:space="0"/>
              <w:right w:val="single" w:color="auto" w:sz="4" w:space="0"/>
            </w:tcBorders>
            <w:noWrap/>
            <w:vAlign w:val="center"/>
          </w:tcPr>
          <w:p w14:paraId="61B7472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112.937</w:t>
            </w:r>
          </w:p>
        </w:tc>
        <w:tc>
          <w:tcPr>
            <w:tcW w:w="785" w:type="pct"/>
            <w:tcBorders>
              <w:top w:val="nil"/>
              <w:left w:val="nil"/>
              <w:bottom w:val="single" w:color="auto" w:sz="4" w:space="0"/>
              <w:right w:val="single" w:color="auto" w:sz="4" w:space="0"/>
            </w:tcBorders>
            <w:noWrap/>
            <w:vAlign w:val="center"/>
          </w:tcPr>
          <w:p w14:paraId="38745EB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29.392</w:t>
            </w:r>
          </w:p>
        </w:tc>
        <w:tc>
          <w:tcPr>
            <w:tcW w:w="813" w:type="pct"/>
            <w:tcBorders>
              <w:top w:val="nil"/>
              <w:left w:val="nil"/>
              <w:bottom w:val="single" w:color="auto" w:sz="4" w:space="0"/>
              <w:right w:val="single" w:color="auto" w:sz="4" w:space="0"/>
            </w:tcBorders>
            <w:noWrap/>
            <w:vAlign w:val="center"/>
          </w:tcPr>
          <w:p w14:paraId="14D1018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59</w:t>
            </w:r>
          </w:p>
        </w:tc>
        <w:tc>
          <w:tcPr>
            <w:tcW w:w="877" w:type="pct"/>
            <w:tcBorders>
              <w:top w:val="nil"/>
              <w:left w:val="nil"/>
              <w:bottom w:val="single" w:color="auto" w:sz="4" w:space="0"/>
              <w:right w:val="single" w:color="auto" w:sz="4" w:space="0"/>
            </w:tcBorders>
            <w:noWrap/>
            <w:vAlign w:val="center"/>
          </w:tcPr>
          <w:p w14:paraId="7623B73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112.967</w:t>
            </w:r>
          </w:p>
        </w:tc>
        <w:tc>
          <w:tcPr>
            <w:tcW w:w="749" w:type="pct"/>
            <w:tcBorders>
              <w:top w:val="nil"/>
              <w:left w:val="nil"/>
              <w:bottom w:val="single" w:color="auto" w:sz="4" w:space="0"/>
              <w:right w:val="single" w:color="auto" w:sz="4" w:space="0"/>
            </w:tcBorders>
            <w:noWrap/>
            <w:vAlign w:val="center"/>
          </w:tcPr>
          <w:p w14:paraId="37A793E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29.065</w:t>
            </w:r>
          </w:p>
        </w:tc>
      </w:tr>
      <w:tr w14:paraId="5ECB543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9DC3A4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920" w:type="pct"/>
            <w:tcBorders>
              <w:top w:val="nil"/>
              <w:left w:val="nil"/>
              <w:bottom w:val="single" w:color="auto" w:sz="4" w:space="0"/>
              <w:right w:val="single" w:color="auto" w:sz="4" w:space="0"/>
            </w:tcBorders>
            <w:noWrap/>
            <w:vAlign w:val="center"/>
          </w:tcPr>
          <w:p w14:paraId="3F49BDF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112.949</w:t>
            </w:r>
          </w:p>
        </w:tc>
        <w:tc>
          <w:tcPr>
            <w:tcW w:w="785" w:type="pct"/>
            <w:tcBorders>
              <w:top w:val="nil"/>
              <w:left w:val="nil"/>
              <w:bottom w:val="single" w:color="auto" w:sz="4" w:space="0"/>
              <w:right w:val="single" w:color="auto" w:sz="4" w:space="0"/>
            </w:tcBorders>
            <w:noWrap/>
            <w:vAlign w:val="center"/>
          </w:tcPr>
          <w:p w14:paraId="3FF27DB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29.385</w:t>
            </w:r>
          </w:p>
        </w:tc>
        <w:tc>
          <w:tcPr>
            <w:tcW w:w="813" w:type="pct"/>
            <w:tcBorders>
              <w:top w:val="nil"/>
              <w:left w:val="nil"/>
              <w:bottom w:val="single" w:color="auto" w:sz="4" w:space="0"/>
              <w:right w:val="single" w:color="auto" w:sz="4" w:space="0"/>
            </w:tcBorders>
            <w:noWrap/>
            <w:vAlign w:val="center"/>
          </w:tcPr>
          <w:p w14:paraId="690E0B5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877" w:type="pct"/>
            <w:tcBorders>
              <w:top w:val="nil"/>
              <w:left w:val="nil"/>
              <w:bottom w:val="single" w:color="auto" w:sz="4" w:space="0"/>
              <w:right w:val="single" w:color="auto" w:sz="4" w:space="0"/>
            </w:tcBorders>
            <w:noWrap/>
            <w:vAlign w:val="center"/>
          </w:tcPr>
          <w:p w14:paraId="0EFC041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112.969</w:t>
            </w:r>
          </w:p>
        </w:tc>
        <w:tc>
          <w:tcPr>
            <w:tcW w:w="749" w:type="pct"/>
            <w:tcBorders>
              <w:top w:val="nil"/>
              <w:left w:val="nil"/>
              <w:bottom w:val="single" w:color="auto" w:sz="4" w:space="0"/>
              <w:right w:val="single" w:color="auto" w:sz="4" w:space="0"/>
            </w:tcBorders>
            <w:noWrap/>
            <w:vAlign w:val="center"/>
          </w:tcPr>
          <w:p w14:paraId="2ADDD24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29.080</w:t>
            </w:r>
          </w:p>
        </w:tc>
      </w:tr>
      <w:tr w14:paraId="20165EA1">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0A7BFC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920" w:type="pct"/>
            <w:tcBorders>
              <w:top w:val="nil"/>
              <w:left w:val="nil"/>
              <w:bottom w:val="single" w:color="auto" w:sz="4" w:space="0"/>
              <w:right w:val="single" w:color="auto" w:sz="4" w:space="0"/>
            </w:tcBorders>
            <w:noWrap/>
            <w:vAlign w:val="center"/>
          </w:tcPr>
          <w:p w14:paraId="6E89383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112.927</w:t>
            </w:r>
          </w:p>
        </w:tc>
        <w:tc>
          <w:tcPr>
            <w:tcW w:w="785" w:type="pct"/>
            <w:tcBorders>
              <w:top w:val="nil"/>
              <w:left w:val="nil"/>
              <w:bottom w:val="single" w:color="auto" w:sz="4" w:space="0"/>
              <w:right w:val="single" w:color="auto" w:sz="4" w:space="0"/>
            </w:tcBorders>
            <w:noWrap/>
            <w:vAlign w:val="center"/>
          </w:tcPr>
          <w:p w14:paraId="53A4273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29.341</w:t>
            </w:r>
          </w:p>
        </w:tc>
        <w:tc>
          <w:tcPr>
            <w:tcW w:w="813" w:type="pct"/>
            <w:tcBorders>
              <w:top w:val="nil"/>
              <w:left w:val="nil"/>
              <w:bottom w:val="single" w:color="auto" w:sz="4" w:space="0"/>
              <w:right w:val="single" w:color="auto" w:sz="4" w:space="0"/>
            </w:tcBorders>
            <w:noWrap/>
            <w:vAlign w:val="center"/>
          </w:tcPr>
          <w:p w14:paraId="353532C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61</w:t>
            </w:r>
          </w:p>
        </w:tc>
        <w:tc>
          <w:tcPr>
            <w:tcW w:w="877" w:type="pct"/>
            <w:tcBorders>
              <w:top w:val="nil"/>
              <w:left w:val="nil"/>
              <w:bottom w:val="single" w:color="auto" w:sz="4" w:space="0"/>
              <w:right w:val="single" w:color="auto" w:sz="4" w:space="0"/>
            </w:tcBorders>
            <w:noWrap/>
            <w:vAlign w:val="center"/>
          </w:tcPr>
          <w:p w14:paraId="62DEEFF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112.965</w:t>
            </w:r>
          </w:p>
        </w:tc>
        <w:tc>
          <w:tcPr>
            <w:tcW w:w="749" w:type="pct"/>
            <w:tcBorders>
              <w:top w:val="nil"/>
              <w:left w:val="nil"/>
              <w:bottom w:val="single" w:color="auto" w:sz="4" w:space="0"/>
              <w:right w:val="single" w:color="auto" w:sz="4" w:space="0"/>
            </w:tcBorders>
            <w:noWrap/>
            <w:vAlign w:val="center"/>
          </w:tcPr>
          <w:p w14:paraId="156BD2E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29.092</w:t>
            </w:r>
          </w:p>
        </w:tc>
      </w:tr>
      <w:tr w14:paraId="6D504A16">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4DBBE7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920" w:type="pct"/>
            <w:tcBorders>
              <w:top w:val="nil"/>
              <w:left w:val="nil"/>
              <w:bottom w:val="single" w:color="auto" w:sz="4" w:space="0"/>
              <w:right w:val="single" w:color="auto" w:sz="4" w:space="0"/>
            </w:tcBorders>
            <w:noWrap/>
            <w:vAlign w:val="center"/>
          </w:tcPr>
          <w:p w14:paraId="0B02ADD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112.908</w:t>
            </w:r>
          </w:p>
        </w:tc>
        <w:tc>
          <w:tcPr>
            <w:tcW w:w="785" w:type="pct"/>
            <w:tcBorders>
              <w:top w:val="nil"/>
              <w:left w:val="nil"/>
              <w:bottom w:val="single" w:color="auto" w:sz="4" w:space="0"/>
              <w:right w:val="single" w:color="auto" w:sz="4" w:space="0"/>
            </w:tcBorders>
            <w:noWrap/>
            <w:vAlign w:val="center"/>
          </w:tcPr>
          <w:p w14:paraId="1D81B8F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29.301</w:t>
            </w:r>
          </w:p>
        </w:tc>
        <w:tc>
          <w:tcPr>
            <w:tcW w:w="813" w:type="pct"/>
            <w:tcBorders>
              <w:top w:val="nil"/>
              <w:left w:val="nil"/>
              <w:bottom w:val="single" w:color="auto" w:sz="4" w:space="0"/>
              <w:right w:val="single" w:color="auto" w:sz="4" w:space="0"/>
            </w:tcBorders>
            <w:noWrap/>
            <w:vAlign w:val="center"/>
          </w:tcPr>
          <w:p w14:paraId="6B0C738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62</w:t>
            </w:r>
          </w:p>
        </w:tc>
        <w:tc>
          <w:tcPr>
            <w:tcW w:w="877" w:type="pct"/>
            <w:tcBorders>
              <w:top w:val="nil"/>
              <w:left w:val="nil"/>
              <w:bottom w:val="single" w:color="auto" w:sz="4" w:space="0"/>
              <w:right w:val="single" w:color="auto" w:sz="4" w:space="0"/>
            </w:tcBorders>
            <w:noWrap/>
            <w:vAlign w:val="center"/>
          </w:tcPr>
          <w:p w14:paraId="7DE1F73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112.970</w:t>
            </w:r>
          </w:p>
        </w:tc>
        <w:tc>
          <w:tcPr>
            <w:tcW w:w="749" w:type="pct"/>
            <w:tcBorders>
              <w:top w:val="nil"/>
              <w:left w:val="nil"/>
              <w:bottom w:val="single" w:color="auto" w:sz="4" w:space="0"/>
              <w:right w:val="single" w:color="auto" w:sz="4" w:space="0"/>
            </w:tcBorders>
            <w:noWrap/>
            <w:vAlign w:val="center"/>
          </w:tcPr>
          <w:p w14:paraId="5CCA48B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29.100</w:t>
            </w:r>
          </w:p>
        </w:tc>
      </w:tr>
      <w:tr w14:paraId="62F99678">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7B9681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920" w:type="pct"/>
            <w:tcBorders>
              <w:top w:val="nil"/>
              <w:left w:val="nil"/>
              <w:bottom w:val="single" w:color="auto" w:sz="4" w:space="0"/>
              <w:right w:val="single" w:color="auto" w:sz="4" w:space="0"/>
            </w:tcBorders>
            <w:noWrap/>
            <w:vAlign w:val="center"/>
          </w:tcPr>
          <w:p w14:paraId="0E1A3AE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112.887</w:t>
            </w:r>
          </w:p>
        </w:tc>
        <w:tc>
          <w:tcPr>
            <w:tcW w:w="785" w:type="pct"/>
            <w:tcBorders>
              <w:top w:val="nil"/>
              <w:left w:val="nil"/>
              <w:bottom w:val="single" w:color="auto" w:sz="4" w:space="0"/>
              <w:right w:val="single" w:color="auto" w:sz="4" w:space="0"/>
            </w:tcBorders>
            <w:noWrap/>
            <w:vAlign w:val="center"/>
          </w:tcPr>
          <w:p w14:paraId="46AC32D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29.302</w:t>
            </w:r>
          </w:p>
        </w:tc>
        <w:tc>
          <w:tcPr>
            <w:tcW w:w="813" w:type="pct"/>
            <w:tcBorders>
              <w:top w:val="nil"/>
              <w:left w:val="nil"/>
              <w:bottom w:val="single" w:color="auto" w:sz="4" w:space="0"/>
              <w:right w:val="single" w:color="auto" w:sz="4" w:space="0"/>
            </w:tcBorders>
            <w:noWrap/>
            <w:vAlign w:val="center"/>
          </w:tcPr>
          <w:p w14:paraId="4E4CB4A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63</w:t>
            </w:r>
          </w:p>
        </w:tc>
        <w:tc>
          <w:tcPr>
            <w:tcW w:w="877" w:type="pct"/>
            <w:tcBorders>
              <w:top w:val="nil"/>
              <w:left w:val="nil"/>
              <w:bottom w:val="single" w:color="auto" w:sz="4" w:space="0"/>
              <w:right w:val="single" w:color="auto" w:sz="4" w:space="0"/>
            </w:tcBorders>
            <w:noWrap/>
            <w:vAlign w:val="center"/>
          </w:tcPr>
          <w:p w14:paraId="5A87C23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112.978</w:t>
            </w:r>
          </w:p>
        </w:tc>
        <w:tc>
          <w:tcPr>
            <w:tcW w:w="749" w:type="pct"/>
            <w:tcBorders>
              <w:top w:val="nil"/>
              <w:left w:val="nil"/>
              <w:bottom w:val="single" w:color="auto" w:sz="4" w:space="0"/>
              <w:right w:val="single" w:color="auto" w:sz="4" w:space="0"/>
            </w:tcBorders>
            <w:noWrap/>
            <w:vAlign w:val="center"/>
          </w:tcPr>
          <w:p w14:paraId="37B861B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29.120</w:t>
            </w:r>
          </w:p>
        </w:tc>
      </w:tr>
      <w:tr w14:paraId="0E601658">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F208D9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920" w:type="pct"/>
            <w:tcBorders>
              <w:top w:val="nil"/>
              <w:left w:val="nil"/>
              <w:bottom w:val="single" w:color="auto" w:sz="4" w:space="0"/>
              <w:right w:val="single" w:color="auto" w:sz="4" w:space="0"/>
            </w:tcBorders>
            <w:noWrap/>
            <w:vAlign w:val="center"/>
          </w:tcPr>
          <w:p w14:paraId="40DC213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112.855</w:t>
            </w:r>
          </w:p>
        </w:tc>
        <w:tc>
          <w:tcPr>
            <w:tcW w:w="785" w:type="pct"/>
            <w:tcBorders>
              <w:top w:val="nil"/>
              <w:left w:val="nil"/>
              <w:bottom w:val="single" w:color="auto" w:sz="4" w:space="0"/>
              <w:right w:val="single" w:color="auto" w:sz="4" w:space="0"/>
            </w:tcBorders>
            <w:noWrap/>
            <w:vAlign w:val="center"/>
          </w:tcPr>
          <w:p w14:paraId="5BE3870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29.274</w:t>
            </w:r>
          </w:p>
        </w:tc>
        <w:tc>
          <w:tcPr>
            <w:tcW w:w="813" w:type="pct"/>
            <w:tcBorders>
              <w:top w:val="nil"/>
              <w:left w:val="nil"/>
              <w:bottom w:val="single" w:color="auto" w:sz="4" w:space="0"/>
              <w:right w:val="single" w:color="auto" w:sz="4" w:space="0"/>
            </w:tcBorders>
            <w:noWrap/>
            <w:vAlign w:val="center"/>
          </w:tcPr>
          <w:p w14:paraId="14AD99D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64</w:t>
            </w:r>
          </w:p>
        </w:tc>
        <w:tc>
          <w:tcPr>
            <w:tcW w:w="877" w:type="pct"/>
            <w:tcBorders>
              <w:top w:val="nil"/>
              <w:left w:val="nil"/>
              <w:bottom w:val="single" w:color="auto" w:sz="4" w:space="0"/>
              <w:right w:val="single" w:color="auto" w:sz="4" w:space="0"/>
            </w:tcBorders>
            <w:noWrap/>
            <w:vAlign w:val="center"/>
          </w:tcPr>
          <w:p w14:paraId="41FCDB9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113.015</w:t>
            </w:r>
          </w:p>
        </w:tc>
        <w:tc>
          <w:tcPr>
            <w:tcW w:w="749" w:type="pct"/>
            <w:tcBorders>
              <w:top w:val="nil"/>
              <w:left w:val="nil"/>
              <w:bottom w:val="single" w:color="auto" w:sz="4" w:space="0"/>
              <w:right w:val="single" w:color="auto" w:sz="4" w:space="0"/>
            </w:tcBorders>
            <w:noWrap/>
            <w:vAlign w:val="center"/>
          </w:tcPr>
          <w:p w14:paraId="29A95F7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29.133</w:t>
            </w:r>
          </w:p>
        </w:tc>
      </w:tr>
      <w:tr w14:paraId="6BB0B598">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AC540D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920" w:type="pct"/>
            <w:tcBorders>
              <w:top w:val="nil"/>
              <w:left w:val="nil"/>
              <w:bottom w:val="single" w:color="auto" w:sz="4" w:space="0"/>
              <w:right w:val="single" w:color="auto" w:sz="4" w:space="0"/>
            </w:tcBorders>
            <w:noWrap/>
            <w:vAlign w:val="center"/>
          </w:tcPr>
          <w:p w14:paraId="4E282CA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112.806</w:t>
            </w:r>
          </w:p>
        </w:tc>
        <w:tc>
          <w:tcPr>
            <w:tcW w:w="785" w:type="pct"/>
            <w:tcBorders>
              <w:top w:val="nil"/>
              <w:left w:val="nil"/>
              <w:bottom w:val="single" w:color="auto" w:sz="4" w:space="0"/>
              <w:right w:val="single" w:color="auto" w:sz="4" w:space="0"/>
            </w:tcBorders>
            <w:noWrap/>
            <w:vAlign w:val="center"/>
          </w:tcPr>
          <w:p w14:paraId="417A60E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29.232</w:t>
            </w:r>
          </w:p>
        </w:tc>
        <w:tc>
          <w:tcPr>
            <w:tcW w:w="813" w:type="pct"/>
            <w:tcBorders>
              <w:top w:val="nil"/>
              <w:left w:val="nil"/>
              <w:bottom w:val="single" w:color="auto" w:sz="4" w:space="0"/>
              <w:right w:val="single" w:color="auto" w:sz="4" w:space="0"/>
            </w:tcBorders>
            <w:noWrap/>
            <w:vAlign w:val="center"/>
          </w:tcPr>
          <w:p w14:paraId="283D5D1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877" w:type="pct"/>
            <w:tcBorders>
              <w:top w:val="nil"/>
              <w:left w:val="nil"/>
              <w:bottom w:val="single" w:color="auto" w:sz="4" w:space="0"/>
              <w:right w:val="single" w:color="auto" w:sz="4" w:space="0"/>
            </w:tcBorders>
            <w:noWrap/>
            <w:vAlign w:val="center"/>
          </w:tcPr>
          <w:p w14:paraId="61990B4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113.013</w:t>
            </w:r>
          </w:p>
        </w:tc>
        <w:tc>
          <w:tcPr>
            <w:tcW w:w="749" w:type="pct"/>
            <w:tcBorders>
              <w:top w:val="nil"/>
              <w:left w:val="nil"/>
              <w:bottom w:val="single" w:color="auto" w:sz="4" w:space="0"/>
              <w:right w:val="single" w:color="auto" w:sz="4" w:space="0"/>
            </w:tcBorders>
            <w:noWrap/>
            <w:vAlign w:val="center"/>
          </w:tcPr>
          <w:p w14:paraId="3C22DAE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29.139</w:t>
            </w:r>
          </w:p>
        </w:tc>
      </w:tr>
      <w:tr w14:paraId="735FB331">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0D55E6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920" w:type="pct"/>
            <w:tcBorders>
              <w:top w:val="nil"/>
              <w:left w:val="nil"/>
              <w:bottom w:val="single" w:color="auto" w:sz="4" w:space="0"/>
              <w:right w:val="single" w:color="auto" w:sz="4" w:space="0"/>
            </w:tcBorders>
            <w:noWrap/>
            <w:vAlign w:val="center"/>
          </w:tcPr>
          <w:p w14:paraId="52A082F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112.777</w:t>
            </w:r>
          </w:p>
        </w:tc>
        <w:tc>
          <w:tcPr>
            <w:tcW w:w="785" w:type="pct"/>
            <w:tcBorders>
              <w:top w:val="nil"/>
              <w:left w:val="nil"/>
              <w:bottom w:val="single" w:color="auto" w:sz="4" w:space="0"/>
              <w:right w:val="single" w:color="auto" w:sz="4" w:space="0"/>
            </w:tcBorders>
            <w:noWrap/>
            <w:vAlign w:val="center"/>
          </w:tcPr>
          <w:p w14:paraId="2CE378F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29.187</w:t>
            </w:r>
          </w:p>
        </w:tc>
        <w:tc>
          <w:tcPr>
            <w:tcW w:w="813" w:type="pct"/>
            <w:tcBorders>
              <w:top w:val="nil"/>
              <w:left w:val="nil"/>
              <w:bottom w:val="single" w:color="auto" w:sz="4" w:space="0"/>
              <w:right w:val="single" w:color="auto" w:sz="4" w:space="0"/>
            </w:tcBorders>
            <w:noWrap/>
            <w:vAlign w:val="center"/>
          </w:tcPr>
          <w:p w14:paraId="6727D4C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66</w:t>
            </w:r>
          </w:p>
        </w:tc>
        <w:tc>
          <w:tcPr>
            <w:tcW w:w="877" w:type="pct"/>
            <w:tcBorders>
              <w:top w:val="nil"/>
              <w:left w:val="nil"/>
              <w:bottom w:val="single" w:color="auto" w:sz="4" w:space="0"/>
              <w:right w:val="single" w:color="auto" w:sz="4" w:space="0"/>
            </w:tcBorders>
            <w:noWrap/>
            <w:vAlign w:val="center"/>
          </w:tcPr>
          <w:p w14:paraId="6E4E95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113.012</w:t>
            </w:r>
          </w:p>
        </w:tc>
        <w:tc>
          <w:tcPr>
            <w:tcW w:w="749" w:type="pct"/>
            <w:tcBorders>
              <w:top w:val="nil"/>
              <w:left w:val="nil"/>
              <w:bottom w:val="single" w:color="auto" w:sz="4" w:space="0"/>
              <w:right w:val="single" w:color="auto" w:sz="4" w:space="0"/>
            </w:tcBorders>
            <w:noWrap/>
            <w:vAlign w:val="center"/>
          </w:tcPr>
          <w:p w14:paraId="2FE343B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29.146</w:t>
            </w:r>
          </w:p>
        </w:tc>
      </w:tr>
      <w:tr w14:paraId="48AC2E9D">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49EFA7A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920" w:type="pct"/>
            <w:tcBorders>
              <w:top w:val="nil"/>
              <w:left w:val="nil"/>
              <w:bottom w:val="single" w:color="auto" w:sz="4" w:space="0"/>
              <w:right w:val="single" w:color="auto" w:sz="4" w:space="0"/>
            </w:tcBorders>
            <w:noWrap/>
            <w:vAlign w:val="center"/>
          </w:tcPr>
          <w:p w14:paraId="633788F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112.951</w:t>
            </w:r>
          </w:p>
        </w:tc>
        <w:tc>
          <w:tcPr>
            <w:tcW w:w="785" w:type="pct"/>
            <w:tcBorders>
              <w:top w:val="nil"/>
              <w:left w:val="nil"/>
              <w:bottom w:val="single" w:color="auto" w:sz="4" w:space="0"/>
              <w:right w:val="single" w:color="auto" w:sz="4" w:space="0"/>
            </w:tcBorders>
            <w:noWrap/>
            <w:vAlign w:val="center"/>
          </w:tcPr>
          <w:p w14:paraId="763280C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29.188</w:t>
            </w:r>
          </w:p>
        </w:tc>
        <w:tc>
          <w:tcPr>
            <w:tcW w:w="813" w:type="pct"/>
            <w:tcBorders>
              <w:top w:val="nil"/>
              <w:left w:val="nil"/>
              <w:bottom w:val="single" w:color="auto" w:sz="4" w:space="0"/>
              <w:right w:val="single" w:color="auto" w:sz="4" w:space="0"/>
            </w:tcBorders>
            <w:noWrap/>
            <w:vAlign w:val="center"/>
          </w:tcPr>
          <w:p w14:paraId="4E61152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67</w:t>
            </w:r>
          </w:p>
        </w:tc>
        <w:tc>
          <w:tcPr>
            <w:tcW w:w="877" w:type="pct"/>
            <w:tcBorders>
              <w:top w:val="nil"/>
              <w:left w:val="nil"/>
              <w:bottom w:val="single" w:color="auto" w:sz="4" w:space="0"/>
              <w:right w:val="single" w:color="auto" w:sz="4" w:space="0"/>
            </w:tcBorders>
            <w:noWrap/>
            <w:vAlign w:val="center"/>
          </w:tcPr>
          <w:p w14:paraId="212E119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113.002</w:t>
            </w:r>
          </w:p>
        </w:tc>
        <w:tc>
          <w:tcPr>
            <w:tcW w:w="749" w:type="pct"/>
            <w:tcBorders>
              <w:top w:val="nil"/>
              <w:left w:val="nil"/>
              <w:bottom w:val="single" w:color="auto" w:sz="4" w:space="0"/>
              <w:right w:val="single" w:color="auto" w:sz="4" w:space="0"/>
            </w:tcBorders>
            <w:noWrap/>
            <w:vAlign w:val="center"/>
          </w:tcPr>
          <w:p w14:paraId="795B9B8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29.154</w:t>
            </w:r>
          </w:p>
        </w:tc>
      </w:tr>
      <w:tr w14:paraId="01904FA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3676E6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920" w:type="pct"/>
            <w:tcBorders>
              <w:top w:val="nil"/>
              <w:left w:val="nil"/>
              <w:bottom w:val="single" w:color="auto" w:sz="4" w:space="0"/>
              <w:right w:val="single" w:color="auto" w:sz="4" w:space="0"/>
            </w:tcBorders>
            <w:noWrap/>
            <w:vAlign w:val="center"/>
          </w:tcPr>
          <w:p w14:paraId="0EFCF42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112.952</w:t>
            </w:r>
          </w:p>
        </w:tc>
        <w:tc>
          <w:tcPr>
            <w:tcW w:w="785" w:type="pct"/>
            <w:tcBorders>
              <w:top w:val="nil"/>
              <w:left w:val="nil"/>
              <w:bottom w:val="single" w:color="auto" w:sz="4" w:space="0"/>
              <w:right w:val="single" w:color="auto" w:sz="4" w:space="0"/>
            </w:tcBorders>
            <w:noWrap/>
            <w:vAlign w:val="center"/>
          </w:tcPr>
          <w:p w14:paraId="3A975E2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29.150</w:t>
            </w:r>
          </w:p>
        </w:tc>
        <w:tc>
          <w:tcPr>
            <w:tcW w:w="813" w:type="pct"/>
            <w:tcBorders>
              <w:top w:val="nil"/>
              <w:left w:val="nil"/>
              <w:bottom w:val="single" w:color="auto" w:sz="4" w:space="0"/>
              <w:right w:val="single" w:color="auto" w:sz="4" w:space="0"/>
            </w:tcBorders>
            <w:noWrap/>
            <w:vAlign w:val="center"/>
          </w:tcPr>
          <w:p w14:paraId="5DA6DD1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68</w:t>
            </w:r>
          </w:p>
        </w:tc>
        <w:tc>
          <w:tcPr>
            <w:tcW w:w="877" w:type="pct"/>
            <w:tcBorders>
              <w:top w:val="nil"/>
              <w:left w:val="nil"/>
              <w:bottom w:val="single" w:color="auto" w:sz="4" w:space="0"/>
              <w:right w:val="single" w:color="auto" w:sz="4" w:space="0"/>
            </w:tcBorders>
            <w:noWrap/>
            <w:vAlign w:val="center"/>
          </w:tcPr>
          <w:p w14:paraId="0A0EFC2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112.997</w:t>
            </w:r>
          </w:p>
        </w:tc>
        <w:tc>
          <w:tcPr>
            <w:tcW w:w="749" w:type="pct"/>
            <w:tcBorders>
              <w:top w:val="nil"/>
              <w:left w:val="nil"/>
              <w:bottom w:val="single" w:color="auto" w:sz="4" w:space="0"/>
              <w:right w:val="single" w:color="auto" w:sz="4" w:space="0"/>
            </w:tcBorders>
            <w:noWrap/>
            <w:vAlign w:val="center"/>
          </w:tcPr>
          <w:p w14:paraId="0D0BC8E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29.176</w:t>
            </w:r>
          </w:p>
        </w:tc>
      </w:tr>
      <w:tr w14:paraId="4471B027">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ACAB42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17</w:t>
            </w:r>
          </w:p>
        </w:tc>
        <w:tc>
          <w:tcPr>
            <w:tcW w:w="920" w:type="pct"/>
            <w:tcBorders>
              <w:top w:val="nil"/>
              <w:left w:val="nil"/>
              <w:bottom w:val="single" w:color="auto" w:sz="4" w:space="0"/>
              <w:right w:val="single" w:color="auto" w:sz="4" w:space="0"/>
            </w:tcBorders>
            <w:noWrap/>
            <w:vAlign w:val="center"/>
          </w:tcPr>
          <w:p w14:paraId="39E63D8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112.951</w:t>
            </w:r>
          </w:p>
        </w:tc>
        <w:tc>
          <w:tcPr>
            <w:tcW w:w="785" w:type="pct"/>
            <w:tcBorders>
              <w:top w:val="nil"/>
              <w:left w:val="nil"/>
              <w:bottom w:val="single" w:color="auto" w:sz="4" w:space="0"/>
              <w:right w:val="single" w:color="auto" w:sz="4" w:space="0"/>
            </w:tcBorders>
            <w:noWrap/>
            <w:vAlign w:val="center"/>
          </w:tcPr>
          <w:p w14:paraId="4D87F64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29.136</w:t>
            </w:r>
          </w:p>
        </w:tc>
        <w:tc>
          <w:tcPr>
            <w:tcW w:w="813" w:type="pct"/>
            <w:tcBorders>
              <w:top w:val="nil"/>
              <w:left w:val="nil"/>
              <w:bottom w:val="single" w:color="auto" w:sz="4" w:space="0"/>
              <w:right w:val="single" w:color="auto" w:sz="4" w:space="0"/>
            </w:tcBorders>
            <w:noWrap/>
            <w:vAlign w:val="center"/>
          </w:tcPr>
          <w:p w14:paraId="44008B4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877" w:type="pct"/>
            <w:tcBorders>
              <w:top w:val="nil"/>
              <w:left w:val="nil"/>
              <w:bottom w:val="single" w:color="auto" w:sz="4" w:space="0"/>
              <w:right w:val="single" w:color="auto" w:sz="4" w:space="0"/>
            </w:tcBorders>
            <w:noWrap/>
            <w:vAlign w:val="center"/>
          </w:tcPr>
          <w:p w14:paraId="0DF767E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113.006</w:t>
            </w:r>
          </w:p>
        </w:tc>
        <w:tc>
          <w:tcPr>
            <w:tcW w:w="749" w:type="pct"/>
            <w:tcBorders>
              <w:top w:val="nil"/>
              <w:left w:val="nil"/>
              <w:bottom w:val="single" w:color="auto" w:sz="4" w:space="0"/>
              <w:right w:val="single" w:color="auto" w:sz="4" w:space="0"/>
            </w:tcBorders>
            <w:noWrap/>
            <w:vAlign w:val="center"/>
          </w:tcPr>
          <w:p w14:paraId="5943E37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29.182</w:t>
            </w:r>
          </w:p>
        </w:tc>
      </w:tr>
      <w:tr w14:paraId="030B1F2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9F6DF1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920" w:type="pct"/>
            <w:tcBorders>
              <w:top w:val="nil"/>
              <w:left w:val="nil"/>
              <w:bottom w:val="single" w:color="auto" w:sz="4" w:space="0"/>
              <w:right w:val="single" w:color="auto" w:sz="4" w:space="0"/>
            </w:tcBorders>
            <w:noWrap/>
            <w:vAlign w:val="center"/>
          </w:tcPr>
          <w:p w14:paraId="217063D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112.952</w:t>
            </w:r>
          </w:p>
        </w:tc>
        <w:tc>
          <w:tcPr>
            <w:tcW w:w="785" w:type="pct"/>
            <w:tcBorders>
              <w:top w:val="nil"/>
              <w:left w:val="nil"/>
              <w:bottom w:val="single" w:color="auto" w:sz="4" w:space="0"/>
              <w:right w:val="single" w:color="auto" w:sz="4" w:space="0"/>
            </w:tcBorders>
            <w:noWrap/>
            <w:vAlign w:val="center"/>
          </w:tcPr>
          <w:p w14:paraId="70D383C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29.124</w:t>
            </w:r>
          </w:p>
        </w:tc>
        <w:tc>
          <w:tcPr>
            <w:tcW w:w="813" w:type="pct"/>
            <w:tcBorders>
              <w:top w:val="nil"/>
              <w:left w:val="nil"/>
              <w:bottom w:val="single" w:color="auto" w:sz="4" w:space="0"/>
              <w:right w:val="single" w:color="auto" w:sz="4" w:space="0"/>
            </w:tcBorders>
            <w:noWrap/>
            <w:vAlign w:val="center"/>
          </w:tcPr>
          <w:p w14:paraId="0C0DD05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877" w:type="pct"/>
            <w:tcBorders>
              <w:top w:val="nil"/>
              <w:left w:val="nil"/>
              <w:bottom w:val="single" w:color="auto" w:sz="4" w:space="0"/>
              <w:right w:val="single" w:color="auto" w:sz="4" w:space="0"/>
            </w:tcBorders>
            <w:noWrap/>
            <w:vAlign w:val="center"/>
          </w:tcPr>
          <w:p w14:paraId="6863FA7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113.014</w:t>
            </w:r>
          </w:p>
        </w:tc>
        <w:tc>
          <w:tcPr>
            <w:tcW w:w="749" w:type="pct"/>
            <w:tcBorders>
              <w:top w:val="nil"/>
              <w:left w:val="nil"/>
              <w:bottom w:val="single" w:color="auto" w:sz="4" w:space="0"/>
              <w:right w:val="single" w:color="auto" w:sz="4" w:space="0"/>
            </w:tcBorders>
            <w:noWrap/>
            <w:vAlign w:val="center"/>
          </w:tcPr>
          <w:p w14:paraId="2C00673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29.198</w:t>
            </w:r>
          </w:p>
        </w:tc>
      </w:tr>
      <w:tr w14:paraId="5D2143F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6B8A43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19</w:t>
            </w:r>
          </w:p>
        </w:tc>
        <w:tc>
          <w:tcPr>
            <w:tcW w:w="920" w:type="pct"/>
            <w:tcBorders>
              <w:top w:val="nil"/>
              <w:left w:val="nil"/>
              <w:bottom w:val="single" w:color="auto" w:sz="4" w:space="0"/>
              <w:right w:val="single" w:color="auto" w:sz="4" w:space="0"/>
            </w:tcBorders>
            <w:noWrap/>
            <w:vAlign w:val="center"/>
          </w:tcPr>
          <w:p w14:paraId="3D5ED7C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112.942</w:t>
            </w:r>
          </w:p>
        </w:tc>
        <w:tc>
          <w:tcPr>
            <w:tcW w:w="785" w:type="pct"/>
            <w:tcBorders>
              <w:top w:val="nil"/>
              <w:left w:val="nil"/>
              <w:bottom w:val="single" w:color="auto" w:sz="4" w:space="0"/>
              <w:right w:val="single" w:color="auto" w:sz="4" w:space="0"/>
            </w:tcBorders>
            <w:noWrap/>
            <w:vAlign w:val="center"/>
          </w:tcPr>
          <w:p w14:paraId="209A924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29.103</w:t>
            </w:r>
          </w:p>
        </w:tc>
        <w:tc>
          <w:tcPr>
            <w:tcW w:w="813" w:type="pct"/>
            <w:tcBorders>
              <w:top w:val="nil"/>
              <w:left w:val="nil"/>
              <w:bottom w:val="single" w:color="auto" w:sz="4" w:space="0"/>
              <w:right w:val="single" w:color="auto" w:sz="4" w:space="0"/>
            </w:tcBorders>
            <w:noWrap/>
            <w:vAlign w:val="center"/>
          </w:tcPr>
          <w:p w14:paraId="76B08E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71</w:t>
            </w:r>
          </w:p>
        </w:tc>
        <w:tc>
          <w:tcPr>
            <w:tcW w:w="877" w:type="pct"/>
            <w:tcBorders>
              <w:top w:val="nil"/>
              <w:left w:val="nil"/>
              <w:bottom w:val="single" w:color="auto" w:sz="4" w:space="0"/>
              <w:right w:val="single" w:color="auto" w:sz="4" w:space="0"/>
            </w:tcBorders>
            <w:noWrap/>
            <w:vAlign w:val="center"/>
          </w:tcPr>
          <w:p w14:paraId="6916471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113.061</w:t>
            </w:r>
          </w:p>
        </w:tc>
        <w:tc>
          <w:tcPr>
            <w:tcW w:w="749" w:type="pct"/>
            <w:tcBorders>
              <w:top w:val="nil"/>
              <w:left w:val="nil"/>
              <w:bottom w:val="single" w:color="auto" w:sz="4" w:space="0"/>
              <w:right w:val="single" w:color="auto" w:sz="4" w:space="0"/>
            </w:tcBorders>
            <w:noWrap/>
            <w:vAlign w:val="center"/>
          </w:tcPr>
          <w:p w14:paraId="31EF496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29.208</w:t>
            </w:r>
          </w:p>
        </w:tc>
      </w:tr>
      <w:tr w14:paraId="36C3D192">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3735B4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920" w:type="pct"/>
            <w:tcBorders>
              <w:top w:val="nil"/>
              <w:left w:val="nil"/>
              <w:bottom w:val="single" w:color="auto" w:sz="4" w:space="0"/>
              <w:right w:val="single" w:color="auto" w:sz="4" w:space="0"/>
            </w:tcBorders>
            <w:noWrap/>
            <w:vAlign w:val="center"/>
          </w:tcPr>
          <w:p w14:paraId="467D212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112.938</w:t>
            </w:r>
          </w:p>
        </w:tc>
        <w:tc>
          <w:tcPr>
            <w:tcW w:w="785" w:type="pct"/>
            <w:tcBorders>
              <w:top w:val="nil"/>
              <w:left w:val="nil"/>
              <w:bottom w:val="single" w:color="auto" w:sz="4" w:space="0"/>
              <w:right w:val="single" w:color="auto" w:sz="4" w:space="0"/>
            </w:tcBorders>
            <w:noWrap/>
            <w:vAlign w:val="center"/>
          </w:tcPr>
          <w:p w14:paraId="542608B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29.095</w:t>
            </w:r>
          </w:p>
        </w:tc>
        <w:tc>
          <w:tcPr>
            <w:tcW w:w="813" w:type="pct"/>
            <w:tcBorders>
              <w:top w:val="nil"/>
              <w:left w:val="nil"/>
              <w:bottom w:val="single" w:color="auto" w:sz="4" w:space="0"/>
              <w:right w:val="single" w:color="auto" w:sz="4" w:space="0"/>
            </w:tcBorders>
            <w:noWrap/>
            <w:vAlign w:val="center"/>
          </w:tcPr>
          <w:p w14:paraId="7B400B4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72</w:t>
            </w:r>
          </w:p>
        </w:tc>
        <w:tc>
          <w:tcPr>
            <w:tcW w:w="877" w:type="pct"/>
            <w:tcBorders>
              <w:top w:val="nil"/>
              <w:left w:val="nil"/>
              <w:bottom w:val="single" w:color="auto" w:sz="4" w:space="0"/>
              <w:right w:val="single" w:color="auto" w:sz="4" w:space="0"/>
            </w:tcBorders>
            <w:noWrap/>
            <w:vAlign w:val="center"/>
          </w:tcPr>
          <w:p w14:paraId="74336B3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113.063</w:t>
            </w:r>
          </w:p>
        </w:tc>
        <w:tc>
          <w:tcPr>
            <w:tcW w:w="749" w:type="pct"/>
            <w:tcBorders>
              <w:top w:val="nil"/>
              <w:left w:val="nil"/>
              <w:bottom w:val="single" w:color="auto" w:sz="4" w:space="0"/>
              <w:right w:val="single" w:color="auto" w:sz="4" w:space="0"/>
            </w:tcBorders>
            <w:noWrap/>
            <w:vAlign w:val="center"/>
          </w:tcPr>
          <w:p w14:paraId="3789F98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29.222</w:t>
            </w:r>
          </w:p>
        </w:tc>
      </w:tr>
      <w:tr w14:paraId="20D178B1">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81451B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920" w:type="pct"/>
            <w:tcBorders>
              <w:top w:val="nil"/>
              <w:left w:val="nil"/>
              <w:bottom w:val="single" w:color="auto" w:sz="4" w:space="0"/>
              <w:right w:val="single" w:color="auto" w:sz="4" w:space="0"/>
            </w:tcBorders>
            <w:noWrap/>
            <w:vAlign w:val="center"/>
          </w:tcPr>
          <w:p w14:paraId="2E10CEC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112.950</w:t>
            </w:r>
          </w:p>
        </w:tc>
        <w:tc>
          <w:tcPr>
            <w:tcW w:w="785" w:type="pct"/>
            <w:tcBorders>
              <w:top w:val="nil"/>
              <w:left w:val="nil"/>
              <w:bottom w:val="single" w:color="auto" w:sz="4" w:space="0"/>
              <w:right w:val="single" w:color="auto" w:sz="4" w:space="0"/>
            </w:tcBorders>
            <w:noWrap/>
            <w:vAlign w:val="center"/>
          </w:tcPr>
          <w:p w14:paraId="38C509A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29.079</w:t>
            </w:r>
          </w:p>
        </w:tc>
        <w:tc>
          <w:tcPr>
            <w:tcW w:w="813" w:type="pct"/>
            <w:tcBorders>
              <w:top w:val="nil"/>
              <w:left w:val="nil"/>
              <w:bottom w:val="single" w:color="auto" w:sz="4" w:space="0"/>
              <w:right w:val="single" w:color="auto" w:sz="4" w:space="0"/>
            </w:tcBorders>
            <w:noWrap/>
            <w:vAlign w:val="center"/>
          </w:tcPr>
          <w:p w14:paraId="391C88D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73</w:t>
            </w:r>
          </w:p>
        </w:tc>
        <w:tc>
          <w:tcPr>
            <w:tcW w:w="877" w:type="pct"/>
            <w:tcBorders>
              <w:top w:val="nil"/>
              <w:left w:val="nil"/>
              <w:bottom w:val="single" w:color="auto" w:sz="4" w:space="0"/>
              <w:right w:val="single" w:color="auto" w:sz="4" w:space="0"/>
            </w:tcBorders>
            <w:noWrap/>
            <w:vAlign w:val="center"/>
          </w:tcPr>
          <w:p w14:paraId="1C735A7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113.055</w:t>
            </w:r>
          </w:p>
        </w:tc>
        <w:tc>
          <w:tcPr>
            <w:tcW w:w="749" w:type="pct"/>
            <w:tcBorders>
              <w:top w:val="nil"/>
              <w:left w:val="nil"/>
              <w:bottom w:val="single" w:color="auto" w:sz="4" w:space="0"/>
              <w:right w:val="single" w:color="auto" w:sz="4" w:space="0"/>
            </w:tcBorders>
            <w:noWrap/>
            <w:vAlign w:val="center"/>
          </w:tcPr>
          <w:p w14:paraId="5F5FA92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29.230</w:t>
            </w:r>
          </w:p>
        </w:tc>
      </w:tr>
      <w:tr w14:paraId="2F176D84">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5BD9DA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22</w:t>
            </w:r>
          </w:p>
        </w:tc>
        <w:tc>
          <w:tcPr>
            <w:tcW w:w="920" w:type="pct"/>
            <w:tcBorders>
              <w:top w:val="nil"/>
              <w:left w:val="nil"/>
              <w:bottom w:val="single" w:color="auto" w:sz="4" w:space="0"/>
              <w:right w:val="single" w:color="auto" w:sz="4" w:space="0"/>
            </w:tcBorders>
            <w:noWrap/>
            <w:vAlign w:val="center"/>
          </w:tcPr>
          <w:p w14:paraId="7A131B8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112.950</w:t>
            </w:r>
          </w:p>
        </w:tc>
        <w:tc>
          <w:tcPr>
            <w:tcW w:w="785" w:type="pct"/>
            <w:tcBorders>
              <w:top w:val="nil"/>
              <w:left w:val="nil"/>
              <w:bottom w:val="single" w:color="auto" w:sz="4" w:space="0"/>
              <w:right w:val="single" w:color="auto" w:sz="4" w:space="0"/>
            </w:tcBorders>
            <w:noWrap/>
            <w:vAlign w:val="center"/>
          </w:tcPr>
          <w:p w14:paraId="23601B2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29.074</w:t>
            </w:r>
          </w:p>
        </w:tc>
        <w:tc>
          <w:tcPr>
            <w:tcW w:w="813" w:type="pct"/>
            <w:tcBorders>
              <w:top w:val="nil"/>
              <w:left w:val="nil"/>
              <w:bottom w:val="single" w:color="auto" w:sz="4" w:space="0"/>
              <w:right w:val="single" w:color="auto" w:sz="4" w:space="0"/>
            </w:tcBorders>
            <w:noWrap/>
            <w:vAlign w:val="center"/>
          </w:tcPr>
          <w:p w14:paraId="4E15DFF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74</w:t>
            </w:r>
          </w:p>
        </w:tc>
        <w:tc>
          <w:tcPr>
            <w:tcW w:w="877" w:type="pct"/>
            <w:tcBorders>
              <w:top w:val="nil"/>
              <w:left w:val="nil"/>
              <w:bottom w:val="single" w:color="auto" w:sz="4" w:space="0"/>
              <w:right w:val="single" w:color="auto" w:sz="4" w:space="0"/>
            </w:tcBorders>
            <w:noWrap/>
            <w:vAlign w:val="center"/>
          </w:tcPr>
          <w:p w14:paraId="2FB6B8F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113.045</w:t>
            </w:r>
          </w:p>
        </w:tc>
        <w:tc>
          <w:tcPr>
            <w:tcW w:w="749" w:type="pct"/>
            <w:tcBorders>
              <w:top w:val="nil"/>
              <w:left w:val="nil"/>
              <w:bottom w:val="single" w:color="auto" w:sz="4" w:space="0"/>
              <w:right w:val="single" w:color="auto" w:sz="4" w:space="0"/>
            </w:tcBorders>
            <w:noWrap/>
            <w:vAlign w:val="center"/>
          </w:tcPr>
          <w:p w14:paraId="115E3F6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29.252</w:t>
            </w:r>
          </w:p>
        </w:tc>
      </w:tr>
      <w:tr w14:paraId="6095BB89">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7CF180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23</w:t>
            </w:r>
          </w:p>
        </w:tc>
        <w:tc>
          <w:tcPr>
            <w:tcW w:w="920" w:type="pct"/>
            <w:tcBorders>
              <w:top w:val="nil"/>
              <w:left w:val="nil"/>
              <w:bottom w:val="single" w:color="auto" w:sz="4" w:space="0"/>
              <w:right w:val="single" w:color="auto" w:sz="4" w:space="0"/>
            </w:tcBorders>
            <w:noWrap/>
            <w:vAlign w:val="center"/>
          </w:tcPr>
          <w:p w14:paraId="2734366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112.942</w:t>
            </w:r>
          </w:p>
        </w:tc>
        <w:tc>
          <w:tcPr>
            <w:tcW w:w="785" w:type="pct"/>
            <w:tcBorders>
              <w:top w:val="nil"/>
              <w:left w:val="nil"/>
              <w:bottom w:val="single" w:color="auto" w:sz="4" w:space="0"/>
              <w:right w:val="single" w:color="auto" w:sz="4" w:space="0"/>
            </w:tcBorders>
            <w:noWrap/>
            <w:vAlign w:val="center"/>
          </w:tcPr>
          <w:p w14:paraId="2920627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29.064</w:t>
            </w:r>
          </w:p>
        </w:tc>
        <w:tc>
          <w:tcPr>
            <w:tcW w:w="813" w:type="pct"/>
            <w:tcBorders>
              <w:top w:val="nil"/>
              <w:left w:val="nil"/>
              <w:bottom w:val="single" w:color="auto" w:sz="4" w:space="0"/>
              <w:right w:val="single" w:color="auto" w:sz="4" w:space="0"/>
            </w:tcBorders>
            <w:noWrap/>
            <w:vAlign w:val="center"/>
          </w:tcPr>
          <w:p w14:paraId="17DCC15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75</w:t>
            </w:r>
          </w:p>
        </w:tc>
        <w:tc>
          <w:tcPr>
            <w:tcW w:w="877" w:type="pct"/>
            <w:tcBorders>
              <w:top w:val="nil"/>
              <w:left w:val="nil"/>
              <w:bottom w:val="single" w:color="auto" w:sz="4" w:space="0"/>
              <w:right w:val="single" w:color="auto" w:sz="4" w:space="0"/>
            </w:tcBorders>
            <w:noWrap/>
            <w:vAlign w:val="center"/>
          </w:tcPr>
          <w:p w14:paraId="12ECDFA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113.050</w:t>
            </w:r>
          </w:p>
        </w:tc>
        <w:tc>
          <w:tcPr>
            <w:tcW w:w="749" w:type="pct"/>
            <w:tcBorders>
              <w:top w:val="nil"/>
              <w:left w:val="nil"/>
              <w:bottom w:val="single" w:color="auto" w:sz="4" w:space="0"/>
              <w:right w:val="single" w:color="auto" w:sz="4" w:space="0"/>
            </w:tcBorders>
            <w:noWrap/>
            <w:vAlign w:val="center"/>
          </w:tcPr>
          <w:p w14:paraId="7F06854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29.265</w:t>
            </w:r>
          </w:p>
        </w:tc>
      </w:tr>
      <w:tr w14:paraId="497BD2EB">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CB8F06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24</w:t>
            </w:r>
          </w:p>
        </w:tc>
        <w:tc>
          <w:tcPr>
            <w:tcW w:w="920" w:type="pct"/>
            <w:tcBorders>
              <w:top w:val="nil"/>
              <w:left w:val="nil"/>
              <w:bottom w:val="single" w:color="auto" w:sz="4" w:space="0"/>
              <w:right w:val="single" w:color="auto" w:sz="4" w:space="0"/>
            </w:tcBorders>
            <w:noWrap/>
            <w:vAlign w:val="center"/>
          </w:tcPr>
          <w:p w14:paraId="72B5202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112.944</w:t>
            </w:r>
          </w:p>
        </w:tc>
        <w:tc>
          <w:tcPr>
            <w:tcW w:w="785" w:type="pct"/>
            <w:tcBorders>
              <w:top w:val="nil"/>
              <w:left w:val="nil"/>
              <w:bottom w:val="single" w:color="auto" w:sz="4" w:space="0"/>
              <w:right w:val="single" w:color="auto" w:sz="4" w:space="0"/>
            </w:tcBorders>
            <w:noWrap/>
            <w:vAlign w:val="center"/>
          </w:tcPr>
          <w:p w14:paraId="3C0CFA9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29.063</w:t>
            </w:r>
          </w:p>
        </w:tc>
        <w:tc>
          <w:tcPr>
            <w:tcW w:w="813" w:type="pct"/>
            <w:tcBorders>
              <w:top w:val="nil"/>
              <w:left w:val="nil"/>
              <w:bottom w:val="single" w:color="auto" w:sz="4" w:space="0"/>
              <w:right w:val="single" w:color="auto" w:sz="4" w:space="0"/>
            </w:tcBorders>
            <w:noWrap/>
            <w:vAlign w:val="center"/>
          </w:tcPr>
          <w:p w14:paraId="2048AB9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76</w:t>
            </w:r>
          </w:p>
        </w:tc>
        <w:tc>
          <w:tcPr>
            <w:tcW w:w="877" w:type="pct"/>
            <w:tcBorders>
              <w:top w:val="nil"/>
              <w:left w:val="nil"/>
              <w:bottom w:val="single" w:color="auto" w:sz="4" w:space="0"/>
              <w:right w:val="single" w:color="auto" w:sz="4" w:space="0"/>
            </w:tcBorders>
            <w:noWrap/>
            <w:vAlign w:val="center"/>
          </w:tcPr>
          <w:p w14:paraId="5FCD421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113.069</w:t>
            </w:r>
          </w:p>
        </w:tc>
        <w:tc>
          <w:tcPr>
            <w:tcW w:w="749" w:type="pct"/>
            <w:tcBorders>
              <w:top w:val="nil"/>
              <w:left w:val="nil"/>
              <w:bottom w:val="single" w:color="auto" w:sz="4" w:space="0"/>
              <w:right w:val="single" w:color="auto" w:sz="4" w:space="0"/>
            </w:tcBorders>
            <w:noWrap/>
            <w:vAlign w:val="center"/>
          </w:tcPr>
          <w:p w14:paraId="34F2142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29.279</w:t>
            </w:r>
          </w:p>
        </w:tc>
      </w:tr>
      <w:tr w14:paraId="2AFF24CF">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EEA89A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25</w:t>
            </w:r>
          </w:p>
        </w:tc>
        <w:tc>
          <w:tcPr>
            <w:tcW w:w="920" w:type="pct"/>
            <w:tcBorders>
              <w:top w:val="nil"/>
              <w:left w:val="nil"/>
              <w:bottom w:val="single" w:color="auto" w:sz="4" w:space="0"/>
              <w:right w:val="single" w:color="auto" w:sz="4" w:space="0"/>
            </w:tcBorders>
            <w:noWrap/>
            <w:vAlign w:val="center"/>
          </w:tcPr>
          <w:p w14:paraId="65A17A3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112.945</w:t>
            </w:r>
          </w:p>
        </w:tc>
        <w:tc>
          <w:tcPr>
            <w:tcW w:w="785" w:type="pct"/>
            <w:tcBorders>
              <w:top w:val="nil"/>
              <w:left w:val="nil"/>
              <w:bottom w:val="single" w:color="auto" w:sz="4" w:space="0"/>
              <w:right w:val="single" w:color="auto" w:sz="4" w:space="0"/>
            </w:tcBorders>
            <w:noWrap/>
            <w:vAlign w:val="center"/>
          </w:tcPr>
          <w:p w14:paraId="33BB082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29.062</w:t>
            </w:r>
          </w:p>
        </w:tc>
        <w:tc>
          <w:tcPr>
            <w:tcW w:w="813" w:type="pct"/>
            <w:tcBorders>
              <w:top w:val="nil"/>
              <w:left w:val="nil"/>
              <w:bottom w:val="single" w:color="auto" w:sz="4" w:space="0"/>
              <w:right w:val="single" w:color="auto" w:sz="4" w:space="0"/>
            </w:tcBorders>
            <w:noWrap/>
            <w:vAlign w:val="center"/>
          </w:tcPr>
          <w:p w14:paraId="343E8A4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77</w:t>
            </w:r>
          </w:p>
        </w:tc>
        <w:tc>
          <w:tcPr>
            <w:tcW w:w="877" w:type="pct"/>
            <w:tcBorders>
              <w:top w:val="nil"/>
              <w:left w:val="nil"/>
              <w:bottom w:val="single" w:color="auto" w:sz="4" w:space="0"/>
              <w:right w:val="single" w:color="auto" w:sz="4" w:space="0"/>
            </w:tcBorders>
            <w:noWrap/>
            <w:vAlign w:val="center"/>
          </w:tcPr>
          <w:p w14:paraId="0A0D225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113.081</w:t>
            </w:r>
          </w:p>
        </w:tc>
        <w:tc>
          <w:tcPr>
            <w:tcW w:w="749" w:type="pct"/>
            <w:tcBorders>
              <w:top w:val="nil"/>
              <w:left w:val="nil"/>
              <w:bottom w:val="single" w:color="auto" w:sz="4" w:space="0"/>
              <w:right w:val="single" w:color="auto" w:sz="4" w:space="0"/>
            </w:tcBorders>
            <w:noWrap/>
            <w:vAlign w:val="center"/>
          </w:tcPr>
          <w:p w14:paraId="2839C42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29.302</w:t>
            </w:r>
          </w:p>
        </w:tc>
      </w:tr>
      <w:tr w14:paraId="63CAAD52">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5BDA36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26</w:t>
            </w:r>
          </w:p>
        </w:tc>
        <w:tc>
          <w:tcPr>
            <w:tcW w:w="920" w:type="pct"/>
            <w:tcBorders>
              <w:top w:val="nil"/>
              <w:left w:val="nil"/>
              <w:bottom w:val="single" w:color="auto" w:sz="4" w:space="0"/>
              <w:right w:val="single" w:color="auto" w:sz="4" w:space="0"/>
            </w:tcBorders>
            <w:noWrap/>
            <w:vAlign w:val="center"/>
          </w:tcPr>
          <w:p w14:paraId="33B1453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112.941</w:t>
            </w:r>
          </w:p>
        </w:tc>
        <w:tc>
          <w:tcPr>
            <w:tcW w:w="785" w:type="pct"/>
            <w:tcBorders>
              <w:top w:val="nil"/>
              <w:left w:val="nil"/>
              <w:bottom w:val="single" w:color="auto" w:sz="4" w:space="0"/>
              <w:right w:val="single" w:color="auto" w:sz="4" w:space="0"/>
            </w:tcBorders>
            <w:noWrap/>
            <w:vAlign w:val="center"/>
          </w:tcPr>
          <w:p w14:paraId="0C08C2F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29.058</w:t>
            </w:r>
          </w:p>
        </w:tc>
        <w:tc>
          <w:tcPr>
            <w:tcW w:w="813" w:type="pct"/>
            <w:tcBorders>
              <w:top w:val="nil"/>
              <w:left w:val="nil"/>
              <w:bottom w:val="single" w:color="auto" w:sz="4" w:space="0"/>
              <w:right w:val="single" w:color="auto" w:sz="4" w:space="0"/>
            </w:tcBorders>
            <w:noWrap/>
            <w:vAlign w:val="center"/>
          </w:tcPr>
          <w:p w14:paraId="0954074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78</w:t>
            </w:r>
          </w:p>
        </w:tc>
        <w:tc>
          <w:tcPr>
            <w:tcW w:w="877" w:type="pct"/>
            <w:tcBorders>
              <w:top w:val="nil"/>
              <w:left w:val="nil"/>
              <w:bottom w:val="single" w:color="auto" w:sz="4" w:space="0"/>
              <w:right w:val="single" w:color="auto" w:sz="4" w:space="0"/>
            </w:tcBorders>
            <w:noWrap/>
            <w:vAlign w:val="center"/>
          </w:tcPr>
          <w:p w14:paraId="77691EF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113.073</w:t>
            </w:r>
          </w:p>
        </w:tc>
        <w:tc>
          <w:tcPr>
            <w:tcW w:w="749" w:type="pct"/>
            <w:tcBorders>
              <w:top w:val="nil"/>
              <w:left w:val="nil"/>
              <w:bottom w:val="single" w:color="auto" w:sz="4" w:space="0"/>
              <w:right w:val="single" w:color="auto" w:sz="4" w:space="0"/>
            </w:tcBorders>
            <w:noWrap/>
            <w:vAlign w:val="center"/>
          </w:tcPr>
          <w:p w14:paraId="15919E9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29.316</w:t>
            </w:r>
          </w:p>
        </w:tc>
      </w:tr>
      <w:tr w14:paraId="3FBA773A">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4863F4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27</w:t>
            </w:r>
          </w:p>
        </w:tc>
        <w:tc>
          <w:tcPr>
            <w:tcW w:w="920" w:type="pct"/>
            <w:tcBorders>
              <w:top w:val="nil"/>
              <w:left w:val="nil"/>
              <w:bottom w:val="single" w:color="auto" w:sz="4" w:space="0"/>
              <w:right w:val="single" w:color="auto" w:sz="4" w:space="0"/>
            </w:tcBorders>
            <w:noWrap/>
            <w:vAlign w:val="center"/>
          </w:tcPr>
          <w:p w14:paraId="4BFC3C1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112.928</w:t>
            </w:r>
          </w:p>
        </w:tc>
        <w:tc>
          <w:tcPr>
            <w:tcW w:w="785" w:type="pct"/>
            <w:tcBorders>
              <w:top w:val="nil"/>
              <w:left w:val="nil"/>
              <w:bottom w:val="single" w:color="auto" w:sz="4" w:space="0"/>
              <w:right w:val="single" w:color="auto" w:sz="4" w:space="0"/>
            </w:tcBorders>
            <w:noWrap/>
            <w:vAlign w:val="center"/>
          </w:tcPr>
          <w:p w14:paraId="6A4BDA3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29.040</w:t>
            </w:r>
          </w:p>
        </w:tc>
        <w:tc>
          <w:tcPr>
            <w:tcW w:w="813" w:type="pct"/>
            <w:tcBorders>
              <w:top w:val="nil"/>
              <w:left w:val="nil"/>
              <w:bottom w:val="single" w:color="auto" w:sz="4" w:space="0"/>
              <w:right w:val="single" w:color="auto" w:sz="4" w:space="0"/>
            </w:tcBorders>
            <w:noWrap/>
            <w:vAlign w:val="center"/>
          </w:tcPr>
          <w:p w14:paraId="14E17A3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79</w:t>
            </w:r>
          </w:p>
        </w:tc>
        <w:tc>
          <w:tcPr>
            <w:tcW w:w="877" w:type="pct"/>
            <w:tcBorders>
              <w:top w:val="nil"/>
              <w:left w:val="nil"/>
              <w:bottom w:val="single" w:color="auto" w:sz="4" w:space="0"/>
              <w:right w:val="single" w:color="auto" w:sz="4" w:space="0"/>
            </w:tcBorders>
            <w:noWrap/>
            <w:vAlign w:val="center"/>
          </w:tcPr>
          <w:p w14:paraId="1AAA0E2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113.060</w:t>
            </w:r>
          </w:p>
        </w:tc>
        <w:tc>
          <w:tcPr>
            <w:tcW w:w="749" w:type="pct"/>
            <w:tcBorders>
              <w:top w:val="nil"/>
              <w:left w:val="nil"/>
              <w:bottom w:val="single" w:color="auto" w:sz="4" w:space="0"/>
              <w:right w:val="single" w:color="auto" w:sz="4" w:space="0"/>
            </w:tcBorders>
            <w:noWrap/>
            <w:vAlign w:val="center"/>
          </w:tcPr>
          <w:p w14:paraId="326E02A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29.325</w:t>
            </w:r>
          </w:p>
        </w:tc>
      </w:tr>
      <w:tr w14:paraId="5C7C662C">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2911E7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w:t>
            </w:r>
          </w:p>
        </w:tc>
        <w:tc>
          <w:tcPr>
            <w:tcW w:w="920" w:type="pct"/>
            <w:tcBorders>
              <w:top w:val="nil"/>
              <w:left w:val="nil"/>
              <w:bottom w:val="single" w:color="auto" w:sz="4" w:space="0"/>
              <w:right w:val="single" w:color="auto" w:sz="4" w:space="0"/>
            </w:tcBorders>
            <w:noWrap/>
            <w:vAlign w:val="center"/>
          </w:tcPr>
          <w:p w14:paraId="094B180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112.919</w:t>
            </w:r>
          </w:p>
        </w:tc>
        <w:tc>
          <w:tcPr>
            <w:tcW w:w="785" w:type="pct"/>
            <w:tcBorders>
              <w:top w:val="nil"/>
              <w:left w:val="nil"/>
              <w:bottom w:val="single" w:color="auto" w:sz="4" w:space="0"/>
              <w:right w:val="single" w:color="auto" w:sz="4" w:space="0"/>
            </w:tcBorders>
            <w:noWrap/>
            <w:vAlign w:val="center"/>
          </w:tcPr>
          <w:p w14:paraId="7CAF147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29.026</w:t>
            </w:r>
          </w:p>
        </w:tc>
        <w:tc>
          <w:tcPr>
            <w:tcW w:w="813" w:type="pct"/>
            <w:tcBorders>
              <w:top w:val="nil"/>
              <w:left w:val="nil"/>
              <w:bottom w:val="single" w:color="auto" w:sz="4" w:space="0"/>
              <w:right w:val="single" w:color="auto" w:sz="4" w:space="0"/>
            </w:tcBorders>
            <w:noWrap/>
            <w:vAlign w:val="center"/>
          </w:tcPr>
          <w:p w14:paraId="4A74038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80</w:t>
            </w:r>
          </w:p>
        </w:tc>
        <w:tc>
          <w:tcPr>
            <w:tcW w:w="877" w:type="pct"/>
            <w:tcBorders>
              <w:top w:val="nil"/>
              <w:left w:val="nil"/>
              <w:bottom w:val="single" w:color="auto" w:sz="4" w:space="0"/>
              <w:right w:val="single" w:color="auto" w:sz="4" w:space="0"/>
            </w:tcBorders>
            <w:noWrap/>
            <w:vAlign w:val="center"/>
          </w:tcPr>
          <w:p w14:paraId="3173602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113.068</w:t>
            </w:r>
          </w:p>
        </w:tc>
        <w:tc>
          <w:tcPr>
            <w:tcW w:w="749" w:type="pct"/>
            <w:tcBorders>
              <w:top w:val="nil"/>
              <w:left w:val="nil"/>
              <w:bottom w:val="single" w:color="auto" w:sz="4" w:space="0"/>
              <w:right w:val="single" w:color="auto" w:sz="4" w:space="0"/>
            </w:tcBorders>
            <w:noWrap/>
            <w:vAlign w:val="center"/>
          </w:tcPr>
          <w:p w14:paraId="233B370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29.327</w:t>
            </w:r>
          </w:p>
        </w:tc>
      </w:tr>
      <w:tr w14:paraId="387CAE47">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334598A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w:t>
            </w:r>
          </w:p>
        </w:tc>
        <w:tc>
          <w:tcPr>
            <w:tcW w:w="920" w:type="pct"/>
            <w:tcBorders>
              <w:top w:val="nil"/>
              <w:left w:val="nil"/>
              <w:bottom w:val="single" w:color="auto" w:sz="4" w:space="0"/>
              <w:right w:val="single" w:color="auto" w:sz="4" w:space="0"/>
            </w:tcBorders>
            <w:noWrap/>
            <w:vAlign w:val="center"/>
          </w:tcPr>
          <w:p w14:paraId="2EDF4E8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112.906</w:t>
            </w:r>
          </w:p>
        </w:tc>
        <w:tc>
          <w:tcPr>
            <w:tcW w:w="785" w:type="pct"/>
            <w:tcBorders>
              <w:top w:val="nil"/>
              <w:left w:val="nil"/>
              <w:bottom w:val="single" w:color="auto" w:sz="4" w:space="0"/>
              <w:right w:val="single" w:color="auto" w:sz="4" w:space="0"/>
            </w:tcBorders>
            <w:noWrap/>
            <w:vAlign w:val="center"/>
          </w:tcPr>
          <w:p w14:paraId="43E7EC2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29.016</w:t>
            </w:r>
          </w:p>
        </w:tc>
        <w:tc>
          <w:tcPr>
            <w:tcW w:w="813" w:type="pct"/>
            <w:tcBorders>
              <w:top w:val="nil"/>
              <w:left w:val="nil"/>
              <w:bottom w:val="single" w:color="auto" w:sz="4" w:space="0"/>
              <w:right w:val="single" w:color="auto" w:sz="4" w:space="0"/>
            </w:tcBorders>
            <w:noWrap/>
            <w:vAlign w:val="center"/>
          </w:tcPr>
          <w:p w14:paraId="57A615C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81</w:t>
            </w:r>
          </w:p>
        </w:tc>
        <w:tc>
          <w:tcPr>
            <w:tcW w:w="877" w:type="pct"/>
            <w:tcBorders>
              <w:top w:val="nil"/>
              <w:left w:val="nil"/>
              <w:bottom w:val="single" w:color="auto" w:sz="4" w:space="0"/>
              <w:right w:val="single" w:color="auto" w:sz="4" w:space="0"/>
            </w:tcBorders>
            <w:noWrap/>
            <w:vAlign w:val="center"/>
          </w:tcPr>
          <w:p w14:paraId="5E9DBA7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113.065</w:t>
            </w:r>
          </w:p>
        </w:tc>
        <w:tc>
          <w:tcPr>
            <w:tcW w:w="749" w:type="pct"/>
            <w:tcBorders>
              <w:top w:val="nil"/>
              <w:left w:val="nil"/>
              <w:bottom w:val="single" w:color="auto" w:sz="4" w:space="0"/>
              <w:right w:val="single" w:color="auto" w:sz="4" w:space="0"/>
            </w:tcBorders>
            <w:noWrap/>
            <w:vAlign w:val="center"/>
          </w:tcPr>
          <w:p w14:paraId="17D9E5E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29.345</w:t>
            </w:r>
          </w:p>
        </w:tc>
      </w:tr>
      <w:tr w14:paraId="11E0F2BB">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88FA4A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920" w:type="pct"/>
            <w:tcBorders>
              <w:top w:val="nil"/>
              <w:left w:val="nil"/>
              <w:bottom w:val="single" w:color="auto" w:sz="4" w:space="0"/>
              <w:right w:val="single" w:color="auto" w:sz="4" w:space="0"/>
            </w:tcBorders>
            <w:noWrap/>
            <w:vAlign w:val="center"/>
          </w:tcPr>
          <w:p w14:paraId="54C9CD8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112.895</w:t>
            </w:r>
          </w:p>
        </w:tc>
        <w:tc>
          <w:tcPr>
            <w:tcW w:w="785" w:type="pct"/>
            <w:tcBorders>
              <w:top w:val="nil"/>
              <w:left w:val="nil"/>
              <w:bottom w:val="single" w:color="auto" w:sz="4" w:space="0"/>
              <w:right w:val="single" w:color="auto" w:sz="4" w:space="0"/>
            </w:tcBorders>
            <w:noWrap/>
            <w:vAlign w:val="center"/>
          </w:tcPr>
          <w:p w14:paraId="4D58AF9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29.011</w:t>
            </w:r>
          </w:p>
        </w:tc>
        <w:tc>
          <w:tcPr>
            <w:tcW w:w="813" w:type="pct"/>
            <w:tcBorders>
              <w:top w:val="nil"/>
              <w:left w:val="nil"/>
              <w:bottom w:val="single" w:color="auto" w:sz="4" w:space="0"/>
              <w:right w:val="single" w:color="auto" w:sz="4" w:space="0"/>
            </w:tcBorders>
            <w:noWrap/>
            <w:vAlign w:val="center"/>
          </w:tcPr>
          <w:p w14:paraId="31BF4B2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82</w:t>
            </w:r>
          </w:p>
        </w:tc>
        <w:tc>
          <w:tcPr>
            <w:tcW w:w="877" w:type="pct"/>
            <w:tcBorders>
              <w:top w:val="nil"/>
              <w:left w:val="nil"/>
              <w:bottom w:val="single" w:color="auto" w:sz="4" w:space="0"/>
              <w:right w:val="single" w:color="auto" w:sz="4" w:space="0"/>
            </w:tcBorders>
            <w:noWrap/>
            <w:vAlign w:val="center"/>
          </w:tcPr>
          <w:p w14:paraId="0777344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113.077</w:t>
            </w:r>
          </w:p>
        </w:tc>
        <w:tc>
          <w:tcPr>
            <w:tcW w:w="749" w:type="pct"/>
            <w:tcBorders>
              <w:top w:val="nil"/>
              <w:left w:val="nil"/>
              <w:bottom w:val="single" w:color="auto" w:sz="4" w:space="0"/>
              <w:right w:val="single" w:color="auto" w:sz="4" w:space="0"/>
            </w:tcBorders>
            <w:noWrap/>
            <w:vAlign w:val="center"/>
          </w:tcPr>
          <w:p w14:paraId="2518F70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29.357</w:t>
            </w:r>
          </w:p>
        </w:tc>
      </w:tr>
      <w:tr w14:paraId="12AEC57F">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B573CD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31</w:t>
            </w:r>
          </w:p>
        </w:tc>
        <w:tc>
          <w:tcPr>
            <w:tcW w:w="920" w:type="pct"/>
            <w:tcBorders>
              <w:top w:val="nil"/>
              <w:left w:val="nil"/>
              <w:bottom w:val="single" w:color="auto" w:sz="4" w:space="0"/>
              <w:right w:val="single" w:color="auto" w:sz="4" w:space="0"/>
            </w:tcBorders>
            <w:noWrap/>
            <w:vAlign w:val="center"/>
          </w:tcPr>
          <w:p w14:paraId="553B254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112.889</w:t>
            </w:r>
          </w:p>
        </w:tc>
        <w:tc>
          <w:tcPr>
            <w:tcW w:w="785" w:type="pct"/>
            <w:tcBorders>
              <w:top w:val="nil"/>
              <w:left w:val="nil"/>
              <w:bottom w:val="single" w:color="auto" w:sz="4" w:space="0"/>
              <w:right w:val="single" w:color="auto" w:sz="4" w:space="0"/>
            </w:tcBorders>
            <w:noWrap/>
            <w:vAlign w:val="center"/>
          </w:tcPr>
          <w:p w14:paraId="0705001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29.005</w:t>
            </w:r>
          </w:p>
        </w:tc>
        <w:tc>
          <w:tcPr>
            <w:tcW w:w="813" w:type="pct"/>
            <w:tcBorders>
              <w:top w:val="nil"/>
              <w:left w:val="nil"/>
              <w:bottom w:val="single" w:color="auto" w:sz="4" w:space="0"/>
              <w:right w:val="single" w:color="auto" w:sz="4" w:space="0"/>
            </w:tcBorders>
            <w:noWrap/>
            <w:vAlign w:val="center"/>
          </w:tcPr>
          <w:p w14:paraId="6C91E48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83</w:t>
            </w:r>
          </w:p>
        </w:tc>
        <w:tc>
          <w:tcPr>
            <w:tcW w:w="877" w:type="pct"/>
            <w:tcBorders>
              <w:top w:val="nil"/>
              <w:left w:val="nil"/>
              <w:bottom w:val="single" w:color="auto" w:sz="4" w:space="0"/>
              <w:right w:val="single" w:color="auto" w:sz="4" w:space="0"/>
            </w:tcBorders>
            <w:noWrap/>
            <w:vAlign w:val="center"/>
          </w:tcPr>
          <w:p w14:paraId="7C68D10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113.086</w:t>
            </w:r>
          </w:p>
        </w:tc>
        <w:tc>
          <w:tcPr>
            <w:tcW w:w="749" w:type="pct"/>
            <w:tcBorders>
              <w:top w:val="nil"/>
              <w:left w:val="nil"/>
              <w:bottom w:val="single" w:color="auto" w:sz="4" w:space="0"/>
              <w:right w:val="single" w:color="auto" w:sz="4" w:space="0"/>
            </w:tcBorders>
            <w:noWrap/>
            <w:vAlign w:val="center"/>
          </w:tcPr>
          <w:p w14:paraId="0001D88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29.379</w:t>
            </w:r>
          </w:p>
        </w:tc>
      </w:tr>
      <w:tr w14:paraId="23D8E3AB">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78B775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32</w:t>
            </w:r>
          </w:p>
        </w:tc>
        <w:tc>
          <w:tcPr>
            <w:tcW w:w="920" w:type="pct"/>
            <w:tcBorders>
              <w:top w:val="nil"/>
              <w:left w:val="nil"/>
              <w:bottom w:val="single" w:color="auto" w:sz="4" w:space="0"/>
              <w:right w:val="single" w:color="auto" w:sz="4" w:space="0"/>
            </w:tcBorders>
            <w:noWrap/>
            <w:vAlign w:val="center"/>
          </w:tcPr>
          <w:p w14:paraId="125EF34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112.885</w:t>
            </w:r>
          </w:p>
        </w:tc>
        <w:tc>
          <w:tcPr>
            <w:tcW w:w="785" w:type="pct"/>
            <w:tcBorders>
              <w:top w:val="nil"/>
              <w:left w:val="nil"/>
              <w:bottom w:val="single" w:color="auto" w:sz="4" w:space="0"/>
              <w:right w:val="single" w:color="auto" w:sz="4" w:space="0"/>
            </w:tcBorders>
            <w:noWrap/>
            <w:vAlign w:val="center"/>
          </w:tcPr>
          <w:p w14:paraId="781FD4A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29.000</w:t>
            </w:r>
          </w:p>
        </w:tc>
        <w:tc>
          <w:tcPr>
            <w:tcW w:w="813" w:type="pct"/>
            <w:tcBorders>
              <w:top w:val="nil"/>
              <w:left w:val="nil"/>
              <w:bottom w:val="single" w:color="auto" w:sz="4" w:space="0"/>
              <w:right w:val="single" w:color="auto" w:sz="4" w:space="0"/>
            </w:tcBorders>
            <w:noWrap/>
            <w:vAlign w:val="center"/>
          </w:tcPr>
          <w:p w14:paraId="0298B00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84</w:t>
            </w:r>
          </w:p>
        </w:tc>
        <w:tc>
          <w:tcPr>
            <w:tcW w:w="877" w:type="pct"/>
            <w:tcBorders>
              <w:top w:val="nil"/>
              <w:left w:val="nil"/>
              <w:bottom w:val="single" w:color="auto" w:sz="4" w:space="0"/>
              <w:right w:val="single" w:color="auto" w:sz="4" w:space="0"/>
            </w:tcBorders>
            <w:noWrap/>
            <w:vAlign w:val="center"/>
          </w:tcPr>
          <w:p w14:paraId="63019DC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113.090</w:t>
            </w:r>
          </w:p>
        </w:tc>
        <w:tc>
          <w:tcPr>
            <w:tcW w:w="749" w:type="pct"/>
            <w:tcBorders>
              <w:top w:val="nil"/>
              <w:left w:val="nil"/>
              <w:bottom w:val="single" w:color="auto" w:sz="4" w:space="0"/>
              <w:right w:val="single" w:color="auto" w:sz="4" w:space="0"/>
            </w:tcBorders>
            <w:noWrap/>
            <w:vAlign w:val="center"/>
          </w:tcPr>
          <w:p w14:paraId="485DC90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29.396</w:t>
            </w:r>
          </w:p>
        </w:tc>
      </w:tr>
      <w:tr w14:paraId="479DC5AA">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967C79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33</w:t>
            </w:r>
          </w:p>
        </w:tc>
        <w:tc>
          <w:tcPr>
            <w:tcW w:w="920" w:type="pct"/>
            <w:tcBorders>
              <w:top w:val="nil"/>
              <w:left w:val="nil"/>
              <w:bottom w:val="single" w:color="auto" w:sz="4" w:space="0"/>
              <w:right w:val="single" w:color="auto" w:sz="4" w:space="0"/>
            </w:tcBorders>
            <w:noWrap/>
            <w:vAlign w:val="center"/>
          </w:tcPr>
          <w:p w14:paraId="02D8F10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112.874</w:t>
            </w:r>
          </w:p>
        </w:tc>
        <w:tc>
          <w:tcPr>
            <w:tcW w:w="785" w:type="pct"/>
            <w:tcBorders>
              <w:top w:val="nil"/>
              <w:left w:val="nil"/>
              <w:bottom w:val="single" w:color="auto" w:sz="4" w:space="0"/>
              <w:right w:val="single" w:color="auto" w:sz="4" w:space="0"/>
            </w:tcBorders>
            <w:noWrap/>
            <w:vAlign w:val="center"/>
          </w:tcPr>
          <w:p w14:paraId="73E2DD1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28.986</w:t>
            </w:r>
          </w:p>
        </w:tc>
        <w:tc>
          <w:tcPr>
            <w:tcW w:w="813" w:type="pct"/>
            <w:tcBorders>
              <w:top w:val="nil"/>
              <w:left w:val="nil"/>
              <w:bottom w:val="single" w:color="auto" w:sz="4" w:space="0"/>
              <w:right w:val="single" w:color="auto" w:sz="4" w:space="0"/>
            </w:tcBorders>
            <w:noWrap/>
            <w:vAlign w:val="center"/>
          </w:tcPr>
          <w:p w14:paraId="450A354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85</w:t>
            </w:r>
          </w:p>
        </w:tc>
        <w:tc>
          <w:tcPr>
            <w:tcW w:w="877" w:type="pct"/>
            <w:tcBorders>
              <w:top w:val="nil"/>
              <w:left w:val="nil"/>
              <w:bottom w:val="single" w:color="auto" w:sz="4" w:space="0"/>
              <w:right w:val="single" w:color="auto" w:sz="4" w:space="0"/>
            </w:tcBorders>
            <w:noWrap/>
            <w:vAlign w:val="center"/>
          </w:tcPr>
          <w:p w14:paraId="49CC1D6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113.121</w:t>
            </w:r>
          </w:p>
        </w:tc>
        <w:tc>
          <w:tcPr>
            <w:tcW w:w="749" w:type="pct"/>
            <w:tcBorders>
              <w:top w:val="nil"/>
              <w:left w:val="nil"/>
              <w:bottom w:val="single" w:color="auto" w:sz="4" w:space="0"/>
              <w:right w:val="single" w:color="auto" w:sz="4" w:space="0"/>
            </w:tcBorders>
            <w:noWrap/>
            <w:vAlign w:val="center"/>
          </w:tcPr>
          <w:p w14:paraId="0941642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29.410</w:t>
            </w:r>
          </w:p>
        </w:tc>
      </w:tr>
      <w:tr w14:paraId="4B68E0DD">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4D8F171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34</w:t>
            </w:r>
          </w:p>
        </w:tc>
        <w:tc>
          <w:tcPr>
            <w:tcW w:w="920" w:type="pct"/>
            <w:tcBorders>
              <w:top w:val="nil"/>
              <w:left w:val="nil"/>
              <w:bottom w:val="single" w:color="auto" w:sz="4" w:space="0"/>
              <w:right w:val="single" w:color="auto" w:sz="4" w:space="0"/>
            </w:tcBorders>
            <w:noWrap/>
            <w:vAlign w:val="center"/>
          </w:tcPr>
          <w:p w14:paraId="7EE5532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112.859</w:t>
            </w:r>
          </w:p>
        </w:tc>
        <w:tc>
          <w:tcPr>
            <w:tcW w:w="785" w:type="pct"/>
            <w:tcBorders>
              <w:top w:val="nil"/>
              <w:left w:val="nil"/>
              <w:bottom w:val="single" w:color="auto" w:sz="4" w:space="0"/>
              <w:right w:val="single" w:color="auto" w:sz="4" w:space="0"/>
            </w:tcBorders>
            <w:noWrap/>
            <w:vAlign w:val="center"/>
          </w:tcPr>
          <w:p w14:paraId="677BFE9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28.955</w:t>
            </w:r>
          </w:p>
        </w:tc>
        <w:tc>
          <w:tcPr>
            <w:tcW w:w="813" w:type="pct"/>
            <w:tcBorders>
              <w:top w:val="nil"/>
              <w:left w:val="nil"/>
              <w:bottom w:val="single" w:color="auto" w:sz="4" w:space="0"/>
              <w:right w:val="single" w:color="auto" w:sz="4" w:space="0"/>
            </w:tcBorders>
            <w:noWrap/>
            <w:vAlign w:val="center"/>
          </w:tcPr>
          <w:p w14:paraId="1A9380E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86</w:t>
            </w:r>
          </w:p>
        </w:tc>
        <w:tc>
          <w:tcPr>
            <w:tcW w:w="877" w:type="pct"/>
            <w:tcBorders>
              <w:top w:val="nil"/>
              <w:left w:val="nil"/>
              <w:bottom w:val="single" w:color="auto" w:sz="4" w:space="0"/>
              <w:right w:val="single" w:color="auto" w:sz="4" w:space="0"/>
            </w:tcBorders>
            <w:noWrap/>
            <w:vAlign w:val="center"/>
          </w:tcPr>
          <w:p w14:paraId="1CA1BF6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113.124</w:t>
            </w:r>
          </w:p>
        </w:tc>
        <w:tc>
          <w:tcPr>
            <w:tcW w:w="749" w:type="pct"/>
            <w:tcBorders>
              <w:top w:val="nil"/>
              <w:left w:val="nil"/>
              <w:bottom w:val="single" w:color="auto" w:sz="4" w:space="0"/>
              <w:right w:val="single" w:color="auto" w:sz="4" w:space="0"/>
            </w:tcBorders>
            <w:noWrap/>
            <w:vAlign w:val="center"/>
          </w:tcPr>
          <w:p w14:paraId="07E572D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29.417</w:t>
            </w:r>
          </w:p>
        </w:tc>
      </w:tr>
      <w:tr w14:paraId="3AD1EB7E">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47925A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920" w:type="pct"/>
            <w:tcBorders>
              <w:top w:val="nil"/>
              <w:left w:val="nil"/>
              <w:bottom w:val="single" w:color="auto" w:sz="4" w:space="0"/>
              <w:right w:val="single" w:color="auto" w:sz="4" w:space="0"/>
            </w:tcBorders>
            <w:noWrap/>
            <w:vAlign w:val="center"/>
          </w:tcPr>
          <w:p w14:paraId="748F25B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112.831</w:t>
            </w:r>
          </w:p>
        </w:tc>
        <w:tc>
          <w:tcPr>
            <w:tcW w:w="785" w:type="pct"/>
            <w:tcBorders>
              <w:top w:val="nil"/>
              <w:left w:val="nil"/>
              <w:bottom w:val="single" w:color="auto" w:sz="4" w:space="0"/>
              <w:right w:val="single" w:color="auto" w:sz="4" w:space="0"/>
            </w:tcBorders>
            <w:noWrap/>
            <w:vAlign w:val="center"/>
          </w:tcPr>
          <w:p w14:paraId="0B91B03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28.933</w:t>
            </w:r>
          </w:p>
        </w:tc>
        <w:tc>
          <w:tcPr>
            <w:tcW w:w="813" w:type="pct"/>
            <w:tcBorders>
              <w:top w:val="nil"/>
              <w:left w:val="nil"/>
              <w:bottom w:val="single" w:color="auto" w:sz="4" w:space="0"/>
              <w:right w:val="single" w:color="auto" w:sz="4" w:space="0"/>
            </w:tcBorders>
            <w:noWrap/>
            <w:vAlign w:val="center"/>
          </w:tcPr>
          <w:p w14:paraId="7BE8D42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87</w:t>
            </w:r>
          </w:p>
        </w:tc>
        <w:tc>
          <w:tcPr>
            <w:tcW w:w="877" w:type="pct"/>
            <w:tcBorders>
              <w:top w:val="nil"/>
              <w:left w:val="nil"/>
              <w:bottom w:val="single" w:color="auto" w:sz="4" w:space="0"/>
              <w:right w:val="single" w:color="auto" w:sz="4" w:space="0"/>
            </w:tcBorders>
            <w:noWrap/>
            <w:vAlign w:val="center"/>
          </w:tcPr>
          <w:p w14:paraId="3D9DBFE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113.142</w:t>
            </w:r>
          </w:p>
        </w:tc>
        <w:tc>
          <w:tcPr>
            <w:tcW w:w="749" w:type="pct"/>
            <w:tcBorders>
              <w:top w:val="nil"/>
              <w:left w:val="nil"/>
              <w:bottom w:val="single" w:color="auto" w:sz="4" w:space="0"/>
              <w:right w:val="single" w:color="auto" w:sz="4" w:space="0"/>
            </w:tcBorders>
            <w:noWrap/>
            <w:vAlign w:val="center"/>
          </w:tcPr>
          <w:p w14:paraId="6EB7C0E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29.436</w:t>
            </w:r>
          </w:p>
        </w:tc>
      </w:tr>
      <w:tr w14:paraId="0C5AC68E">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66627D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36</w:t>
            </w:r>
          </w:p>
        </w:tc>
        <w:tc>
          <w:tcPr>
            <w:tcW w:w="920" w:type="pct"/>
            <w:tcBorders>
              <w:top w:val="nil"/>
              <w:left w:val="nil"/>
              <w:bottom w:val="single" w:color="auto" w:sz="4" w:space="0"/>
              <w:right w:val="single" w:color="auto" w:sz="4" w:space="0"/>
            </w:tcBorders>
            <w:noWrap/>
            <w:vAlign w:val="center"/>
          </w:tcPr>
          <w:p w14:paraId="29E07F6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112.808</w:t>
            </w:r>
          </w:p>
        </w:tc>
        <w:tc>
          <w:tcPr>
            <w:tcW w:w="785" w:type="pct"/>
            <w:tcBorders>
              <w:top w:val="nil"/>
              <w:left w:val="nil"/>
              <w:bottom w:val="single" w:color="auto" w:sz="4" w:space="0"/>
              <w:right w:val="single" w:color="auto" w:sz="4" w:space="0"/>
            </w:tcBorders>
            <w:noWrap/>
            <w:vAlign w:val="center"/>
          </w:tcPr>
          <w:p w14:paraId="09BC465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28.925</w:t>
            </w:r>
          </w:p>
        </w:tc>
        <w:tc>
          <w:tcPr>
            <w:tcW w:w="813" w:type="pct"/>
            <w:tcBorders>
              <w:top w:val="nil"/>
              <w:left w:val="nil"/>
              <w:bottom w:val="single" w:color="auto" w:sz="4" w:space="0"/>
              <w:right w:val="single" w:color="auto" w:sz="4" w:space="0"/>
            </w:tcBorders>
            <w:noWrap/>
            <w:vAlign w:val="center"/>
          </w:tcPr>
          <w:p w14:paraId="1E2CF67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88</w:t>
            </w:r>
          </w:p>
        </w:tc>
        <w:tc>
          <w:tcPr>
            <w:tcW w:w="877" w:type="pct"/>
            <w:tcBorders>
              <w:top w:val="nil"/>
              <w:left w:val="nil"/>
              <w:bottom w:val="single" w:color="auto" w:sz="4" w:space="0"/>
              <w:right w:val="single" w:color="auto" w:sz="4" w:space="0"/>
            </w:tcBorders>
            <w:noWrap/>
            <w:vAlign w:val="center"/>
          </w:tcPr>
          <w:p w14:paraId="605E48C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113.144</w:t>
            </w:r>
          </w:p>
        </w:tc>
        <w:tc>
          <w:tcPr>
            <w:tcW w:w="749" w:type="pct"/>
            <w:tcBorders>
              <w:top w:val="nil"/>
              <w:left w:val="nil"/>
              <w:bottom w:val="single" w:color="auto" w:sz="4" w:space="0"/>
              <w:right w:val="single" w:color="auto" w:sz="4" w:space="0"/>
            </w:tcBorders>
            <w:noWrap/>
            <w:vAlign w:val="center"/>
          </w:tcPr>
          <w:p w14:paraId="533ADFE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29.447</w:t>
            </w:r>
          </w:p>
        </w:tc>
      </w:tr>
      <w:tr w14:paraId="27AFAC5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CC288C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37</w:t>
            </w:r>
          </w:p>
        </w:tc>
        <w:tc>
          <w:tcPr>
            <w:tcW w:w="920" w:type="pct"/>
            <w:tcBorders>
              <w:top w:val="nil"/>
              <w:left w:val="nil"/>
              <w:bottom w:val="single" w:color="auto" w:sz="4" w:space="0"/>
              <w:right w:val="single" w:color="auto" w:sz="4" w:space="0"/>
            </w:tcBorders>
            <w:noWrap/>
            <w:vAlign w:val="center"/>
          </w:tcPr>
          <w:p w14:paraId="7563183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112.817</w:t>
            </w:r>
          </w:p>
        </w:tc>
        <w:tc>
          <w:tcPr>
            <w:tcW w:w="785" w:type="pct"/>
            <w:tcBorders>
              <w:top w:val="nil"/>
              <w:left w:val="nil"/>
              <w:bottom w:val="single" w:color="auto" w:sz="4" w:space="0"/>
              <w:right w:val="single" w:color="auto" w:sz="4" w:space="0"/>
            </w:tcBorders>
            <w:noWrap/>
            <w:vAlign w:val="center"/>
          </w:tcPr>
          <w:p w14:paraId="4D367AA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28.911</w:t>
            </w:r>
          </w:p>
        </w:tc>
        <w:tc>
          <w:tcPr>
            <w:tcW w:w="813" w:type="pct"/>
            <w:tcBorders>
              <w:top w:val="nil"/>
              <w:left w:val="nil"/>
              <w:bottom w:val="single" w:color="auto" w:sz="4" w:space="0"/>
              <w:right w:val="single" w:color="auto" w:sz="4" w:space="0"/>
            </w:tcBorders>
            <w:noWrap/>
            <w:vAlign w:val="center"/>
          </w:tcPr>
          <w:p w14:paraId="0FB8C44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89</w:t>
            </w:r>
          </w:p>
        </w:tc>
        <w:tc>
          <w:tcPr>
            <w:tcW w:w="877" w:type="pct"/>
            <w:tcBorders>
              <w:top w:val="nil"/>
              <w:left w:val="nil"/>
              <w:bottom w:val="single" w:color="auto" w:sz="4" w:space="0"/>
              <w:right w:val="single" w:color="auto" w:sz="4" w:space="0"/>
            </w:tcBorders>
            <w:noWrap/>
            <w:vAlign w:val="center"/>
          </w:tcPr>
          <w:p w14:paraId="6C3AE42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113.137</w:t>
            </w:r>
          </w:p>
        </w:tc>
        <w:tc>
          <w:tcPr>
            <w:tcW w:w="749" w:type="pct"/>
            <w:tcBorders>
              <w:top w:val="nil"/>
              <w:left w:val="nil"/>
              <w:bottom w:val="single" w:color="auto" w:sz="4" w:space="0"/>
              <w:right w:val="single" w:color="auto" w:sz="4" w:space="0"/>
            </w:tcBorders>
            <w:noWrap/>
            <w:vAlign w:val="center"/>
          </w:tcPr>
          <w:p w14:paraId="59D2F0C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29.451</w:t>
            </w:r>
          </w:p>
        </w:tc>
      </w:tr>
      <w:tr w14:paraId="0A2DBC3D">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0C6B11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38</w:t>
            </w:r>
          </w:p>
        </w:tc>
        <w:tc>
          <w:tcPr>
            <w:tcW w:w="920" w:type="pct"/>
            <w:tcBorders>
              <w:top w:val="nil"/>
              <w:left w:val="nil"/>
              <w:bottom w:val="single" w:color="auto" w:sz="4" w:space="0"/>
              <w:right w:val="single" w:color="auto" w:sz="4" w:space="0"/>
            </w:tcBorders>
            <w:noWrap/>
            <w:vAlign w:val="center"/>
          </w:tcPr>
          <w:p w14:paraId="361BE03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112.838</w:t>
            </w:r>
          </w:p>
        </w:tc>
        <w:tc>
          <w:tcPr>
            <w:tcW w:w="785" w:type="pct"/>
            <w:tcBorders>
              <w:top w:val="nil"/>
              <w:left w:val="nil"/>
              <w:bottom w:val="single" w:color="auto" w:sz="4" w:space="0"/>
              <w:right w:val="single" w:color="auto" w:sz="4" w:space="0"/>
            </w:tcBorders>
            <w:noWrap/>
            <w:vAlign w:val="center"/>
          </w:tcPr>
          <w:p w14:paraId="2C3A6A7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28.898</w:t>
            </w:r>
          </w:p>
        </w:tc>
        <w:tc>
          <w:tcPr>
            <w:tcW w:w="813" w:type="pct"/>
            <w:tcBorders>
              <w:top w:val="nil"/>
              <w:left w:val="nil"/>
              <w:bottom w:val="single" w:color="auto" w:sz="4" w:space="0"/>
              <w:right w:val="single" w:color="auto" w:sz="4" w:space="0"/>
            </w:tcBorders>
            <w:noWrap/>
            <w:vAlign w:val="center"/>
          </w:tcPr>
          <w:p w14:paraId="63F90A6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90</w:t>
            </w:r>
          </w:p>
        </w:tc>
        <w:tc>
          <w:tcPr>
            <w:tcW w:w="877" w:type="pct"/>
            <w:tcBorders>
              <w:top w:val="nil"/>
              <w:left w:val="nil"/>
              <w:bottom w:val="single" w:color="auto" w:sz="4" w:space="0"/>
              <w:right w:val="single" w:color="auto" w:sz="4" w:space="0"/>
            </w:tcBorders>
            <w:noWrap/>
            <w:vAlign w:val="center"/>
          </w:tcPr>
          <w:p w14:paraId="1351A77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113.132</w:t>
            </w:r>
          </w:p>
        </w:tc>
        <w:tc>
          <w:tcPr>
            <w:tcW w:w="749" w:type="pct"/>
            <w:tcBorders>
              <w:top w:val="nil"/>
              <w:left w:val="nil"/>
              <w:bottom w:val="single" w:color="auto" w:sz="4" w:space="0"/>
              <w:right w:val="single" w:color="auto" w:sz="4" w:space="0"/>
            </w:tcBorders>
            <w:noWrap/>
            <w:vAlign w:val="center"/>
          </w:tcPr>
          <w:p w14:paraId="21550CE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29.437</w:t>
            </w:r>
          </w:p>
        </w:tc>
      </w:tr>
      <w:tr w14:paraId="151A143D">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22EE90F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39</w:t>
            </w:r>
          </w:p>
        </w:tc>
        <w:tc>
          <w:tcPr>
            <w:tcW w:w="920" w:type="pct"/>
            <w:tcBorders>
              <w:top w:val="nil"/>
              <w:left w:val="nil"/>
              <w:bottom w:val="single" w:color="auto" w:sz="4" w:space="0"/>
              <w:right w:val="single" w:color="auto" w:sz="4" w:space="0"/>
            </w:tcBorders>
            <w:noWrap/>
            <w:vAlign w:val="center"/>
          </w:tcPr>
          <w:p w14:paraId="14AF2DD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112.854</w:t>
            </w:r>
          </w:p>
        </w:tc>
        <w:tc>
          <w:tcPr>
            <w:tcW w:w="785" w:type="pct"/>
            <w:tcBorders>
              <w:top w:val="nil"/>
              <w:left w:val="nil"/>
              <w:bottom w:val="single" w:color="auto" w:sz="4" w:space="0"/>
              <w:right w:val="single" w:color="auto" w:sz="4" w:space="0"/>
            </w:tcBorders>
            <w:noWrap/>
            <w:vAlign w:val="center"/>
          </w:tcPr>
          <w:p w14:paraId="1BF9044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28.878</w:t>
            </w:r>
          </w:p>
        </w:tc>
        <w:tc>
          <w:tcPr>
            <w:tcW w:w="813" w:type="pct"/>
            <w:tcBorders>
              <w:top w:val="nil"/>
              <w:left w:val="nil"/>
              <w:bottom w:val="single" w:color="auto" w:sz="4" w:space="0"/>
              <w:right w:val="single" w:color="auto" w:sz="4" w:space="0"/>
            </w:tcBorders>
            <w:noWrap/>
            <w:vAlign w:val="center"/>
          </w:tcPr>
          <w:p w14:paraId="39DE8C3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91</w:t>
            </w:r>
          </w:p>
        </w:tc>
        <w:tc>
          <w:tcPr>
            <w:tcW w:w="877" w:type="pct"/>
            <w:tcBorders>
              <w:top w:val="nil"/>
              <w:left w:val="nil"/>
              <w:bottom w:val="single" w:color="auto" w:sz="4" w:space="0"/>
              <w:right w:val="single" w:color="auto" w:sz="4" w:space="0"/>
            </w:tcBorders>
            <w:noWrap/>
            <w:vAlign w:val="center"/>
          </w:tcPr>
          <w:p w14:paraId="0DC88DE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113.090</w:t>
            </w:r>
          </w:p>
        </w:tc>
        <w:tc>
          <w:tcPr>
            <w:tcW w:w="749" w:type="pct"/>
            <w:tcBorders>
              <w:top w:val="nil"/>
              <w:left w:val="nil"/>
              <w:bottom w:val="single" w:color="auto" w:sz="4" w:space="0"/>
              <w:right w:val="single" w:color="auto" w:sz="4" w:space="0"/>
            </w:tcBorders>
            <w:noWrap/>
            <w:vAlign w:val="center"/>
          </w:tcPr>
          <w:p w14:paraId="3C8E09C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29.409</w:t>
            </w:r>
          </w:p>
        </w:tc>
      </w:tr>
      <w:tr w14:paraId="4432FE55">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74EEFE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920" w:type="pct"/>
            <w:tcBorders>
              <w:top w:val="nil"/>
              <w:left w:val="nil"/>
              <w:bottom w:val="single" w:color="auto" w:sz="4" w:space="0"/>
              <w:right w:val="single" w:color="auto" w:sz="4" w:space="0"/>
            </w:tcBorders>
            <w:noWrap/>
            <w:vAlign w:val="center"/>
          </w:tcPr>
          <w:p w14:paraId="197E288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112.852</w:t>
            </w:r>
          </w:p>
        </w:tc>
        <w:tc>
          <w:tcPr>
            <w:tcW w:w="785" w:type="pct"/>
            <w:tcBorders>
              <w:top w:val="nil"/>
              <w:left w:val="nil"/>
              <w:bottom w:val="single" w:color="auto" w:sz="4" w:space="0"/>
              <w:right w:val="single" w:color="auto" w:sz="4" w:space="0"/>
            </w:tcBorders>
            <w:noWrap/>
            <w:vAlign w:val="center"/>
          </w:tcPr>
          <w:p w14:paraId="0A2D28B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28.873</w:t>
            </w:r>
          </w:p>
        </w:tc>
        <w:tc>
          <w:tcPr>
            <w:tcW w:w="813" w:type="pct"/>
            <w:tcBorders>
              <w:top w:val="nil"/>
              <w:left w:val="nil"/>
              <w:bottom w:val="single" w:color="auto" w:sz="4" w:space="0"/>
              <w:right w:val="single" w:color="auto" w:sz="4" w:space="0"/>
            </w:tcBorders>
            <w:noWrap/>
            <w:vAlign w:val="center"/>
          </w:tcPr>
          <w:p w14:paraId="3CA8FD4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92</w:t>
            </w:r>
          </w:p>
        </w:tc>
        <w:tc>
          <w:tcPr>
            <w:tcW w:w="877" w:type="pct"/>
            <w:tcBorders>
              <w:top w:val="nil"/>
              <w:left w:val="nil"/>
              <w:bottom w:val="single" w:color="auto" w:sz="4" w:space="0"/>
              <w:right w:val="single" w:color="auto" w:sz="4" w:space="0"/>
            </w:tcBorders>
            <w:noWrap/>
            <w:vAlign w:val="center"/>
          </w:tcPr>
          <w:p w14:paraId="044A680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113.058</w:t>
            </w:r>
          </w:p>
        </w:tc>
        <w:tc>
          <w:tcPr>
            <w:tcW w:w="749" w:type="pct"/>
            <w:tcBorders>
              <w:top w:val="nil"/>
              <w:left w:val="nil"/>
              <w:bottom w:val="single" w:color="auto" w:sz="4" w:space="0"/>
              <w:right w:val="single" w:color="auto" w:sz="4" w:space="0"/>
            </w:tcBorders>
            <w:noWrap/>
            <w:vAlign w:val="center"/>
          </w:tcPr>
          <w:p w14:paraId="4764933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29.390</w:t>
            </w:r>
          </w:p>
        </w:tc>
      </w:tr>
      <w:tr w14:paraId="5EAA094D">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23D8B2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41</w:t>
            </w:r>
          </w:p>
        </w:tc>
        <w:tc>
          <w:tcPr>
            <w:tcW w:w="920" w:type="pct"/>
            <w:tcBorders>
              <w:top w:val="nil"/>
              <w:left w:val="nil"/>
              <w:bottom w:val="single" w:color="auto" w:sz="4" w:space="0"/>
              <w:right w:val="single" w:color="auto" w:sz="4" w:space="0"/>
            </w:tcBorders>
            <w:noWrap/>
            <w:vAlign w:val="center"/>
          </w:tcPr>
          <w:p w14:paraId="51E117B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112.869</w:t>
            </w:r>
          </w:p>
        </w:tc>
        <w:tc>
          <w:tcPr>
            <w:tcW w:w="785" w:type="pct"/>
            <w:tcBorders>
              <w:top w:val="nil"/>
              <w:left w:val="nil"/>
              <w:bottom w:val="single" w:color="auto" w:sz="4" w:space="0"/>
              <w:right w:val="single" w:color="auto" w:sz="4" w:space="0"/>
            </w:tcBorders>
            <w:noWrap/>
            <w:vAlign w:val="center"/>
          </w:tcPr>
          <w:p w14:paraId="218E663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28.859</w:t>
            </w:r>
          </w:p>
        </w:tc>
        <w:tc>
          <w:tcPr>
            <w:tcW w:w="813" w:type="pct"/>
            <w:tcBorders>
              <w:top w:val="nil"/>
              <w:left w:val="nil"/>
              <w:bottom w:val="single" w:color="auto" w:sz="4" w:space="0"/>
              <w:right w:val="single" w:color="auto" w:sz="4" w:space="0"/>
            </w:tcBorders>
            <w:noWrap/>
            <w:vAlign w:val="center"/>
          </w:tcPr>
          <w:p w14:paraId="1729BE3F">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93</w:t>
            </w:r>
          </w:p>
        </w:tc>
        <w:tc>
          <w:tcPr>
            <w:tcW w:w="877" w:type="pct"/>
            <w:tcBorders>
              <w:top w:val="nil"/>
              <w:left w:val="nil"/>
              <w:bottom w:val="single" w:color="auto" w:sz="4" w:space="0"/>
              <w:right w:val="single" w:color="auto" w:sz="4" w:space="0"/>
            </w:tcBorders>
            <w:noWrap/>
            <w:vAlign w:val="center"/>
          </w:tcPr>
          <w:p w14:paraId="5594A74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113.022</w:t>
            </w:r>
          </w:p>
        </w:tc>
        <w:tc>
          <w:tcPr>
            <w:tcW w:w="749" w:type="pct"/>
            <w:tcBorders>
              <w:top w:val="nil"/>
              <w:left w:val="nil"/>
              <w:bottom w:val="single" w:color="auto" w:sz="4" w:space="0"/>
              <w:right w:val="single" w:color="auto" w:sz="4" w:space="0"/>
            </w:tcBorders>
            <w:noWrap/>
            <w:vAlign w:val="center"/>
          </w:tcPr>
          <w:p w14:paraId="6518C26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29.382</w:t>
            </w:r>
          </w:p>
        </w:tc>
      </w:tr>
      <w:tr w14:paraId="4EE11626">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C26A3B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42</w:t>
            </w:r>
          </w:p>
        </w:tc>
        <w:tc>
          <w:tcPr>
            <w:tcW w:w="920" w:type="pct"/>
            <w:tcBorders>
              <w:top w:val="nil"/>
              <w:left w:val="nil"/>
              <w:bottom w:val="single" w:color="auto" w:sz="4" w:space="0"/>
              <w:right w:val="single" w:color="auto" w:sz="4" w:space="0"/>
            </w:tcBorders>
            <w:noWrap/>
            <w:vAlign w:val="center"/>
          </w:tcPr>
          <w:p w14:paraId="1E57B88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112.869</w:t>
            </w:r>
          </w:p>
        </w:tc>
        <w:tc>
          <w:tcPr>
            <w:tcW w:w="785" w:type="pct"/>
            <w:tcBorders>
              <w:top w:val="nil"/>
              <w:left w:val="nil"/>
              <w:bottom w:val="single" w:color="auto" w:sz="4" w:space="0"/>
              <w:right w:val="single" w:color="auto" w:sz="4" w:space="0"/>
            </w:tcBorders>
            <w:noWrap/>
            <w:vAlign w:val="center"/>
          </w:tcPr>
          <w:p w14:paraId="1D9A458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28.847</w:t>
            </w:r>
          </w:p>
        </w:tc>
        <w:tc>
          <w:tcPr>
            <w:tcW w:w="813" w:type="pct"/>
            <w:tcBorders>
              <w:top w:val="nil"/>
              <w:left w:val="nil"/>
              <w:bottom w:val="single" w:color="auto" w:sz="4" w:space="0"/>
              <w:right w:val="single" w:color="auto" w:sz="4" w:space="0"/>
            </w:tcBorders>
            <w:noWrap/>
            <w:vAlign w:val="center"/>
          </w:tcPr>
          <w:p w14:paraId="0A8D9DE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94</w:t>
            </w:r>
          </w:p>
        </w:tc>
        <w:tc>
          <w:tcPr>
            <w:tcW w:w="877" w:type="pct"/>
            <w:tcBorders>
              <w:top w:val="nil"/>
              <w:left w:val="nil"/>
              <w:bottom w:val="single" w:color="auto" w:sz="4" w:space="0"/>
              <w:right w:val="single" w:color="auto" w:sz="4" w:space="0"/>
            </w:tcBorders>
            <w:noWrap/>
            <w:vAlign w:val="center"/>
          </w:tcPr>
          <w:p w14:paraId="324B388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113.029</w:t>
            </w:r>
          </w:p>
        </w:tc>
        <w:tc>
          <w:tcPr>
            <w:tcW w:w="749" w:type="pct"/>
            <w:tcBorders>
              <w:top w:val="nil"/>
              <w:left w:val="nil"/>
              <w:bottom w:val="single" w:color="auto" w:sz="4" w:space="0"/>
              <w:right w:val="single" w:color="auto" w:sz="4" w:space="0"/>
            </w:tcBorders>
            <w:noWrap/>
            <w:vAlign w:val="center"/>
          </w:tcPr>
          <w:p w14:paraId="116AD80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29.357</w:t>
            </w:r>
          </w:p>
        </w:tc>
      </w:tr>
      <w:tr w14:paraId="44519F77">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79EE100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43</w:t>
            </w:r>
          </w:p>
        </w:tc>
        <w:tc>
          <w:tcPr>
            <w:tcW w:w="920" w:type="pct"/>
            <w:tcBorders>
              <w:top w:val="nil"/>
              <w:left w:val="nil"/>
              <w:bottom w:val="single" w:color="auto" w:sz="4" w:space="0"/>
              <w:right w:val="single" w:color="auto" w:sz="4" w:space="0"/>
            </w:tcBorders>
            <w:noWrap/>
            <w:vAlign w:val="center"/>
          </w:tcPr>
          <w:p w14:paraId="15488D9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112.864</w:t>
            </w:r>
          </w:p>
        </w:tc>
        <w:tc>
          <w:tcPr>
            <w:tcW w:w="785" w:type="pct"/>
            <w:tcBorders>
              <w:top w:val="nil"/>
              <w:left w:val="nil"/>
              <w:bottom w:val="single" w:color="auto" w:sz="4" w:space="0"/>
              <w:right w:val="single" w:color="auto" w:sz="4" w:space="0"/>
            </w:tcBorders>
            <w:noWrap/>
            <w:vAlign w:val="center"/>
          </w:tcPr>
          <w:p w14:paraId="74C0B2B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28.839</w:t>
            </w:r>
          </w:p>
        </w:tc>
        <w:tc>
          <w:tcPr>
            <w:tcW w:w="813" w:type="pct"/>
            <w:tcBorders>
              <w:top w:val="nil"/>
              <w:left w:val="nil"/>
              <w:bottom w:val="single" w:color="auto" w:sz="4" w:space="0"/>
              <w:right w:val="single" w:color="auto" w:sz="4" w:space="0"/>
            </w:tcBorders>
            <w:noWrap/>
            <w:vAlign w:val="center"/>
          </w:tcPr>
          <w:p w14:paraId="393DDFB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c>
          <w:tcPr>
            <w:tcW w:w="877" w:type="pct"/>
            <w:tcBorders>
              <w:top w:val="nil"/>
              <w:left w:val="nil"/>
              <w:bottom w:val="single" w:color="auto" w:sz="4" w:space="0"/>
              <w:right w:val="single" w:color="auto" w:sz="4" w:space="0"/>
            </w:tcBorders>
            <w:noWrap/>
            <w:vAlign w:val="center"/>
          </w:tcPr>
          <w:p w14:paraId="1B3439A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113.017</w:t>
            </w:r>
          </w:p>
        </w:tc>
        <w:tc>
          <w:tcPr>
            <w:tcW w:w="749" w:type="pct"/>
            <w:tcBorders>
              <w:top w:val="nil"/>
              <w:left w:val="nil"/>
              <w:bottom w:val="single" w:color="auto" w:sz="4" w:space="0"/>
              <w:right w:val="single" w:color="auto" w:sz="4" w:space="0"/>
            </w:tcBorders>
            <w:noWrap/>
            <w:vAlign w:val="center"/>
          </w:tcPr>
          <w:p w14:paraId="2333D83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29.351</w:t>
            </w:r>
          </w:p>
        </w:tc>
      </w:tr>
      <w:tr w14:paraId="3B1AE451">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41FCFC7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44</w:t>
            </w:r>
          </w:p>
        </w:tc>
        <w:tc>
          <w:tcPr>
            <w:tcW w:w="920" w:type="pct"/>
            <w:tcBorders>
              <w:top w:val="nil"/>
              <w:left w:val="nil"/>
              <w:bottom w:val="single" w:color="auto" w:sz="4" w:space="0"/>
              <w:right w:val="single" w:color="auto" w:sz="4" w:space="0"/>
            </w:tcBorders>
            <w:noWrap/>
            <w:vAlign w:val="center"/>
          </w:tcPr>
          <w:p w14:paraId="393E7FA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112.893</w:t>
            </w:r>
          </w:p>
        </w:tc>
        <w:tc>
          <w:tcPr>
            <w:tcW w:w="785" w:type="pct"/>
            <w:tcBorders>
              <w:top w:val="nil"/>
              <w:left w:val="nil"/>
              <w:bottom w:val="single" w:color="auto" w:sz="4" w:space="0"/>
              <w:right w:val="single" w:color="auto" w:sz="4" w:space="0"/>
            </w:tcBorders>
            <w:noWrap/>
            <w:vAlign w:val="center"/>
          </w:tcPr>
          <w:p w14:paraId="14E48F5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28.835</w:t>
            </w:r>
          </w:p>
        </w:tc>
        <w:tc>
          <w:tcPr>
            <w:tcW w:w="813" w:type="pct"/>
            <w:tcBorders>
              <w:top w:val="nil"/>
              <w:left w:val="nil"/>
              <w:bottom w:val="single" w:color="auto" w:sz="4" w:space="0"/>
              <w:right w:val="single" w:color="auto" w:sz="4" w:space="0"/>
            </w:tcBorders>
            <w:noWrap/>
            <w:vAlign w:val="center"/>
          </w:tcPr>
          <w:p w14:paraId="1B2B4A1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96</w:t>
            </w:r>
          </w:p>
        </w:tc>
        <w:tc>
          <w:tcPr>
            <w:tcW w:w="877" w:type="pct"/>
            <w:tcBorders>
              <w:top w:val="nil"/>
              <w:left w:val="nil"/>
              <w:bottom w:val="single" w:color="auto" w:sz="4" w:space="0"/>
              <w:right w:val="single" w:color="auto" w:sz="4" w:space="0"/>
            </w:tcBorders>
            <w:noWrap/>
            <w:vAlign w:val="center"/>
          </w:tcPr>
          <w:p w14:paraId="1016155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112.995</w:t>
            </w:r>
          </w:p>
        </w:tc>
        <w:tc>
          <w:tcPr>
            <w:tcW w:w="749" w:type="pct"/>
            <w:tcBorders>
              <w:top w:val="nil"/>
              <w:left w:val="nil"/>
              <w:bottom w:val="single" w:color="auto" w:sz="4" w:space="0"/>
              <w:right w:val="single" w:color="auto" w:sz="4" w:space="0"/>
            </w:tcBorders>
            <w:noWrap/>
            <w:vAlign w:val="center"/>
          </w:tcPr>
          <w:p w14:paraId="090E693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29.351</w:t>
            </w:r>
          </w:p>
        </w:tc>
      </w:tr>
      <w:tr w14:paraId="49DC56D6">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122A70B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45</w:t>
            </w:r>
          </w:p>
        </w:tc>
        <w:tc>
          <w:tcPr>
            <w:tcW w:w="920" w:type="pct"/>
            <w:tcBorders>
              <w:top w:val="nil"/>
              <w:left w:val="nil"/>
              <w:bottom w:val="single" w:color="auto" w:sz="4" w:space="0"/>
              <w:right w:val="single" w:color="auto" w:sz="4" w:space="0"/>
            </w:tcBorders>
            <w:noWrap/>
            <w:vAlign w:val="center"/>
          </w:tcPr>
          <w:p w14:paraId="1CF37D2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112.899</w:t>
            </w:r>
          </w:p>
        </w:tc>
        <w:tc>
          <w:tcPr>
            <w:tcW w:w="785" w:type="pct"/>
            <w:tcBorders>
              <w:top w:val="nil"/>
              <w:left w:val="nil"/>
              <w:bottom w:val="single" w:color="auto" w:sz="4" w:space="0"/>
              <w:right w:val="single" w:color="auto" w:sz="4" w:space="0"/>
            </w:tcBorders>
            <w:noWrap/>
            <w:vAlign w:val="center"/>
          </w:tcPr>
          <w:p w14:paraId="3F59BA8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28.839</w:t>
            </w:r>
          </w:p>
        </w:tc>
        <w:tc>
          <w:tcPr>
            <w:tcW w:w="813" w:type="pct"/>
            <w:tcBorders>
              <w:top w:val="nil"/>
              <w:left w:val="nil"/>
              <w:bottom w:val="single" w:color="auto" w:sz="4" w:space="0"/>
              <w:right w:val="single" w:color="auto" w:sz="4" w:space="0"/>
            </w:tcBorders>
            <w:noWrap/>
            <w:vAlign w:val="center"/>
          </w:tcPr>
          <w:p w14:paraId="7417E57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97</w:t>
            </w:r>
          </w:p>
        </w:tc>
        <w:tc>
          <w:tcPr>
            <w:tcW w:w="877" w:type="pct"/>
            <w:tcBorders>
              <w:top w:val="nil"/>
              <w:left w:val="nil"/>
              <w:bottom w:val="single" w:color="auto" w:sz="4" w:space="0"/>
              <w:right w:val="single" w:color="auto" w:sz="4" w:space="0"/>
            </w:tcBorders>
            <w:noWrap/>
            <w:vAlign w:val="center"/>
          </w:tcPr>
          <w:p w14:paraId="3BB5E72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112.978</w:t>
            </w:r>
          </w:p>
        </w:tc>
        <w:tc>
          <w:tcPr>
            <w:tcW w:w="749" w:type="pct"/>
            <w:tcBorders>
              <w:top w:val="nil"/>
              <w:left w:val="nil"/>
              <w:bottom w:val="single" w:color="auto" w:sz="4" w:space="0"/>
              <w:right w:val="single" w:color="auto" w:sz="4" w:space="0"/>
            </w:tcBorders>
            <w:noWrap/>
            <w:vAlign w:val="center"/>
          </w:tcPr>
          <w:p w14:paraId="788B48C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29.380</w:t>
            </w:r>
          </w:p>
        </w:tc>
      </w:tr>
      <w:tr w14:paraId="11702A64">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E6585B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46</w:t>
            </w:r>
          </w:p>
        </w:tc>
        <w:tc>
          <w:tcPr>
            <w:tcW w:w="920" w:type="pct"/>
            <w:tcBorders>
              <w:top w:val="nil"/>
              <w:left w:val="nil"/>
              <w:bottom w:val="single" w:color="auto" w:sz="4" w:space="0"/>
              <w:right w:val="single" w:color="auto" w:sz="4" w:space="0"/>
            </w:tcBorders>
            <w:noWrap/>
            <w:vAlign w:val="center"/>
          </w:tcPr>
          <w:p w14:paraId="575ABFB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112.898</w:t>
            </w:r>
          </w:p>
        </w:tc>
        <w:tc>
          <w:tcPr>
            <w:tcW w:w="785" w:type="pct"/>
            <w:tcBorders>
              <w:top w:val="nil"/>
              <w:left w:val="nil"/>
              <w:bottom w:val="single" w:color="auto" w:sz="4" w:space="0"/>
              <w:right w:val="single" w:color="auto" w:sz="4" w:space="0"/>
            </w:tcBorders>
            <w:noWrap/>
            <w:vAlign w:val="center"/>
          </w:tcPr>
          <w:p w14:paraId="4DB09F4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28.855</w:t>
            </w:r>
          </w:p>
        </w:tc>
        <w:tc>
          <w:tcPr>
            <w:tcW w:w="813" w:type="pct"/>
            <w:tcBorders>
              <w:top w:val="nil"/>
              <w:left w:val="nil"/>
              <w:bottom w:val="single" w:color="auto" w:sz="4" w:space="0"/>
              <w:right w:val="single" w:color="auto" w:sz="4" w:space="0"/>
            </w:tcBorders>
            <w:noWrap/>
            <w:vAlign w:val="center"/>
          </w:tcPr>
          <w:p w14:paraId="7181BAA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98</w:t>
            </w:r>
          </w:p>
        </w:tc>
        <w:tc>
          <w:tcPr>
            <w:tcW w:w="877" w:type="pct"/>
            <w:tcBorders>
              <w:top w:val="nil"/>
              <w:left w:val="nil"/>
              <w:bottom w:val="single" w:color="auto" w:sz="4" w:space="0"/>
              <w:right w:val="single" w:color="auto" w:sz="4" w:space="0"/>
            </w:tcBorders>
            <w:noWrap/>
            <w:vAlign w:val="center"/>
          </w:tcPr>
          <w:p w14:paraId="78B901C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112.969</w:t>
            </w:r>
          </w:p>
        </w:tc>
        <w:tc>
          <w:tcPr>
            <w:tcW w:w="749" w:type="pct"/>
            <w:tcBorders>
              <w:top w:val="nil"/>
              <w:left w:val="nil"/>
              <w:bottom w:val="single" w:color="auto" w:sz="4" w:space="0"/>
              <w:right w:val="single" w:color="auto" w:sz="4" w:space="0"/>
            </w:tcBorders>
            <w:noWrap/>
            <w:vAlign w:val="center"/>
          </w:tcPr>
          <w:p w14:paraId="1B3641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29.387</w:t>
            </w:r>
          </w:p>
        </w:tc>
      </w:tr>
      <w:tr w14:paraId="17AF406E">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FAD019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47</w:t>
            </w:r>
          </w:p>
        </w:tc>
        <w:tc>
          <w:tcPr>
            <w:tcW w:w="920" w:type="pct"/>
            <w:tcBorders>
              <w:top w:val="nil"/>
              <w:left w:val="nil"/>
              <w:bottom w:val="single" w:color="auto" w:sz="4" w:space="0"/>
              <w:right w:val="single" w:color="auto" w:sz="4" w:space="0"/>
            </w:tcBorders>
            <w:noWrap/>
            <w:vAlign w:val="center"/>
          </w:tcPr>
          <w:p w14:paraId="66FDFFC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112.900</w:t>
            </w:r>
          </w:p>
        </w:tc>
        <w:tc>
          <w:tcPr>
            <w:tcW w:w="785" w:type="pct"/>
            <w:tcBorders>
              <w:top w:val="nil"/>
              <w:left w:val="nil"/>
              <w:bottom w:val="single" w:color="auto" w:sz="4" w:space="0"/>
              <w:right w:val="single" w:color="auto" w:sz="4" w:space="0"/>
            </w:tcBorders>
            <w:noWrap/>
            <w:vAlign w:val="center"/>
          </w:tcPr>
          <w:p w14:paraId="34852D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28.856</w:t>
            </w:r>
          </w:p>
        </w:tc>
        <w:tc>
          <w:tcPr>
            <w:tcW w:w="813" w:type="pct"/>
            <w:tcBorders>
              <w:top w:val="nil"/>
              <w:left w:val="nil"/>
              <w:bottom w:val="single" w:color="auto" w:sz="4" w:space="0"/>
              <w:right w:val="single" w:color="auto" w:sz="4" w:space="0"/>
            </w:tcBorders>
            <w:noWrap/>
            <w:vAlign w:val="center"/>
          </w:tcPr>
          <w:p w14:paraId="09C19E8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99</w:t>
            </w:r>
          </w:p>
        </w:tc>
        <w:tc>
          <w:tcPr>
            <w:tcW w:w="877" w:type="pct"/>
            <w:tcBorders>
              <w:top w:val="nil"/>
              <w:left w:val="nil"/>
              <w:bottom w:val="single" w:color="auto" w:sz="4" w:space="0"/>
              <w:right w:val="single" w:color="auto" w:sz="4" w:space="0"/>
            </w:tcBorders>
            <w:noWrap/>
            <w:vAlign w:val="center"/>
          </w:tcPr>
          <w:p w14:paraId="5FD6BB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112.970</w:t>
            </w:r>
          </w:p>
        </w:tc>
        <w:tc>
          <w:tcPr>
            <w:tcW w:w="749" w:type="pct"/>
            <w:tcBorders>
              <w:top w:val="nil"/>
              <w:left w:val="nil"/>
              <w:bottom w:val="single" w:color="auto" w:sz="4" w:space="0"/>
              <w:right w:val="single" w:color="auto" w:sz="4" w:space="0"/>
            </w:tcBorders>
            <w:noWrap/>
            <w:vAlign w:val="center"/>
          </w:tcPr>
          <w:p w14:paraId="3990157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29.407</w:t>
            </w:r>
          </w:p>
        </w:tc>
      </w:tr>
      <w:tr w14:paraId="684D5073">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25DCF8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48</w:t>
            </w:r>
          </w:p>
        </w:tc>
        <w:tc>
          <w:tcPr>
            <w:tcW w:w="920" w:type="pct"/>
            <w:tcBorders>
              <w:top w:val="nil"/>
              <w:left w:val="nil"/>
              <w:bottom w:val="single" w:color="auto" w:sz="4" w:space="0"/>
              <w:right w:val="single" w:color="auto" w:sz="4" w:space="0"/>
            </w:tcBorders>
            <w:noWrap/>
            <w:vAlign w:val="center"/>
          </w:tcPr>
          <w:p w14:paraId="5935C90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112.894</w:t>
            </w:r>
          </w:p>
        </w:tc>
        <w:tc>
          <w:tcPr>
            <w:tcW w:w="785" w:type="pct"/>
            <w:tcBorders>
              <w:top w:val="nil"/>
              <w:left w:val="nil"/>
              <w:bottom w:val="single" w:color="auto" w:sz="4" w:space="0"/>
              <w:right w:val="single" w:color="auto" w:sz="4" w:space="0"/>
            </w:tcBorders>
            <w:noWrap/>
            <w:vAlign w:val="center"/>
          </w:tcPr>
          <w:p w14:paraId="0B82F5F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28.869</w:t>
            </w:r>
          </w:p>
        </w:tc>
        <w:tc>
          <w:tcPr>
            <w:tcW w:w="813" w:type="pct"/>
            <w:tcBorders>
              <w:top w:val="nil"/>
              <w:left w:val="nil"/>
              <w:bottom w:val="single" w:color="auto" w:sz="4" w:space="0"/>
              <w:right w:val="single" w:color="auto" w:sz="4" w:space="0"/>
            </w:tcBorders>
            <w:noWrap/>
            <w:vAlign w:val="center"/>
          </w:tcPr>
          <w:p w14:paraId="7A296EB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877" w:type="pct"/>
            <w:tcBorders>
              <w:top w:val="nil"/>
              <w:left w:val="nil"/>
              <w:bottom w:val="single" w:color="auto" w:sz="4" w:space="0"/>
              <w:right w:val="single" w:color="auto" w:sz="4" w:space="0"/>
            </w:tcBorders>
            <w:noWrap/>
            <w:vAlign w:val="center"/>
          </w:tcPr>
          <w:p w14:paraId="0E8C97C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112.977</w:t>
            </w:r>
          </w:p>
        </w:tc>
        <w:tc>
          <w:tcPr>
            <w:tcW w:w="749" w:type="pct"/>
            <w:tcBorders>
              <w:top w:val="nil"/>
              <w:left w:val="nil"/>
              <w:bottom w:val="single" w:color="auto" w:sz="4" w:space="0"/>
              <w:right w:val="single" w:color="auto" w:sz="4" w:space="0"/>
            </w:tcBorders>
            <w:noWrap/>
            <w:vAlign w:val="center"/>
          </w:tcPr>
          <w:p w14:paraId="28843B3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29.411</w:t>
            </w:r>
          </w:p>
        </w:tc>
      </w:tr>
      <w:tr w14:paraId="1E2E3A40">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0DA8384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49</w:t>
            </w:r>
          </w:p>
        </w:tc>
        <w:tc>
          <w:tcPr>
            <w:tcW w:w="920" w:type="pct"/>
            <w:tcBorders>
              <w:top w:val="nil"/>
              <w:left w:val="nil"/>
              <w:bottom w:val="single" w:color="auto" w:sz="4" w:space="0"/>
              <w:right w:val="single" w:color="auto" w:sz="4" w:space="0"/>
            </w:tcBorders>
            <w:noWrap/>
            <w:vAlign w:val="center"/>
          </w:tcPr>
          <w:p w14:paraId="558C3A5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112.892</w:t>
            </w:r>
          </w:p>
        </w:tc>
        <w:tc>
          <w:tcPr>
            <w:tcW w:w="785" w:type="pct"/>
            <w:tcBorders>
              <w:top w:val="nil"/>
              <w:left w:val="nil"/>
              <w:bottom w:val="single" w:color="auto" w:sz="4" w:space="0"/>
              <w:right w:val="single" w:color="auto" w:sz="4" w:space="0"/>
            </w:tcBorders>
            <w:noWrap/>
            <w:vAlign w:val="center"/>
          </w:tcPr>
          <w:p w14:paraId="3806142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28.881</w:t>
            </w:r>
          </w:p>
        </w:tc>
        <w:tc>
          <w:tcPr>
            <w:tcW w:w="813" w:type="pct"/>
            <w:tcBorders>
              <w:top w:val="nil"/>
              <w:left w:val="nil"/>
              <w:bottom w:val="single" w:color="auto" w:sz="4" w:space="0"/>
              <w:right w:val="single" w:color="auto" w:sz="4" w:space="0"/>
            </w:tcBorders>
            <w:noWrap/>
            <w:vAlign w:val="center"/>
          </w:tcPr>
          <w:p w14:paraId="1B45B0D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101</w:t>
            </w:r>
          </w:p>
        </w:tc>
        <w:tc>
          <w:tcPr>
            <w:tcW w:w="877" w:type="pct"/>
            <w:tcBorders>
              <w:top w:val="nil"/>
              <w:left w:val="nil"/>
              <w:bottom w:val="single" w:color="auto" w:sz="4" w:space="0"/>
              <w:right w:val="single" w:color="auto" w:sz="4" w:space="0"/>
            </w:tcBorders>
            <w:noWrap/>
            <w:vAlign w:val="center"/>
          </w:tcPr>
          <w:p w14:paraId="33E89B77">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112.948</w:t>
            </w:r>
          </w:p>
        </w:tc>
        <w:tc>
          <w:tcPr>
            <w:tcW w:w="749" w:type="pct"/>
            <w:tcBorders>
              <w:top w:val="nil"/>
              <w:left w:val="nil"/>
              <w:bottom w:val="single" w:color="auto" w:sz="4" w:space="0"/>
              <w:right w:val="single" w:color="auto" w:sz="4" w:space="0"/>
            </w:tcBorders>
            <w:noWrap/>
            <w:vAlign w:val="center"/>
          </w:tcPr>
          <w:p w14:paraId="6961729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29.441</w:t>
            </w:r>
          </w:p>
        </w:tc>
      </w:tr>
      <w:tr w14:paraId="10AC62B6">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67B5CCD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920" w:type="pct"/>
            <w:tcBorders>
              <w:top w:val="nil"/>
              <w:left w:val="nil"/>
              <w:bottom w:val="single" w:color="auto" w:sz="4" w:space="0"/>
              <w:right w:val="single" w:color="auto" w:sz="4" w:space="0"/>
            </w:tcBorders>
            <w:noWrap/>
            <w:vAlign w:val="center"/>
          </w:tcPr>
          <w:p w14:paraId="240B149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112.878</w:t>
            </w:r>
          </w:p>
        </w:tc>
        <w:tc>
          <w:tcPr>
            <w:tcW w:w="785" w:type="pct"/>
            <w:tcBorders>
              <w:top w:val="nil"/>
              <w:left w:val="nil"/>
              <w:bottom w:val="single" w:color="auto" w:sz="4" w:space="0"/>
              <w:right w:val="single" w:color="auto" w:sz="4" w:space="0"/>
            </w:tcBorders>
            <w:noWrap/>
            <w:vAlign w:val="center"/>
          </w:tcPr>
          <w:p w14:paraId="300F266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28.895</w:t>
            </w:r>
          </w:p>
        </w:tc>
        <w:tc>
          <w:tcPr>
            <w:tcW w:w="813" w:type="pct"/>
            <w:tcBorders>
              <w:top w:val="nil"/>
              <w:left w:val="nil"/>
              <w:bottom w:val="single" w:color="auto" w:sz="4" w:space="0"/>
              <w:right w:val="single" w:color="auto" w:sz="4" w:space="0"/>
            </w:tcBorders>
            <w:noWrap/>
            <w:vAlign w:val="center"/>
          </w:tcPr>
          <w:p w14:paraId="4C1771A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102</w:t>
            </w:r>
          </w:p>
        </w:tc>
        <w:tc>
          <w:tcPr>
            <w:tcW w:w="877" w:type="pct"/>
            <w:tcBorders>
              <w:top w:val="nil"/>
              <w:left w:val="nil"/>
              <w:bottom w:val="single" w:color="auto" w:sz="4" w:space="0"/>
              <w:right w:val="single" w:color="auto" w:sz="4" w:space="0"/>
            </w:tcBorders>
            <w:noWrap/>
            <w:vAlign w:val="center"/>
          </w:tcPr>
          <w:p w14:paraId="338B1EA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112.936</w:t>
            </w:r>
          </w:p>
        </w:tc>
        <w:tc>
          <w:tcPr>
            <w:tcW w:w="749" w:type="pct"/>
            <w:tcBorders>
              <w:top w:val="nil"/>
              <w:left w:val="nil"/>
              <w:bottom w:val="single" w:color="auto" w:sz="4" w:space="0"/>
              <w:right w:val="single" w:color="auto" w:sz="4" w:space="0"/>
            </w:tcBorders>
            <w:noWrap/>
            <w:vAlign w:val="center"/>
          </w:tcPr>
          <w:p w14:paraId="23BB04CE">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29.439</w:t>
            </w:r>
          </w:p>
        </w:tc>
      </w:tr>
      <w:tr w14:paraId="39B00FE6">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44F4E01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51</w:t>
            </w:r>
          </w:p>
        </w:tc>
        <w:tc>
          <w:tcPr>
            <w:tcW w:w="920" w:type="pct"/>
            <w:tcBorders>
              <w:top w:val="nil"/>
              <w:left w:val="nil"/>
              <w:bottom w:val="single" w:color="auto" w:sz="4" w:space="0"/>
              <w:right w:val="single" w:color="auto" w:sz="4" w:space="0"/>
            </w:tcBorders>
            <w:noWrap/>
            <w:vAlign w:val="center"/>
          </w:tcPr>
          <w:p w14:paraId="6709995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112.874</w:t>
            </w:r>
          </w:p>
        </w:tc>
        <w:tc>
          <w:tcPr>
            <w:tcW w:w="785" w:type="pct"/>
            <w:tcBorders>
              <w:top w:val="nil"/>
              <w:left w:val="nil"/>
              <w:bottom w:val="single" w:color="auto" w:sz="4" w:space="0"/>
              <w:right w:val="single" w:color="auto" w:sz="4" w:space="0"/>
            </w:tcBorders>
            <w:noWrap/>
            <w:vAlign w:val="center"/>
          </w:tcPr>
          <w:p w14:paraId="15EAD61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28.903</w:t>
            </w:r>
          </w:p>
        </w:tc>
        <w:tc>
          <w:tcPr>
            <w:tcW w:w="813" w:type="pct"/>
            <w:tcBorders>
              <w:top w:val="nil"/>
              <w:left w:val="nil"/>
              <w:bottom w:val="single" w:color="auto" w:sz="4" w:space="0"/>
              <w:right w:val="single" w:color="auto" w:sz="4" w:space="0"/>
            </w:tcBorders>
            <w:noWrap/>
            <w:vAlign w:val="center"/>
          </w:tcPr>
          <w:p w14:paraId="0DF2658A">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103</w:t>
            </w:r>
          </w:p>
        </w:tc>
        <w:tc>
          <w:tcPr>
            <w:tcW w:w="877" w:type="pct"/>
            <w:tcBorders>
              <w:top w:val="nil"/>
              <w:left w:val="nil"/>
              <w:bottom w:val="single" w:color="auto" w:sz="4" w:space="0"/>
              <w:right w:val="single" w:color="auto" w:sz="4" w:space="0"/>
            </w:tcBorders>
            <w:noWrap/>
            <w:vAlign w:val="center"/>
          </w:tcPr>
          <w:p w14:paraId="6A546F4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112.891</w:t>
            </w:r>
          </w:p>
        </w:tc>
        <w:tc>
          <w:tcPr>
            <w:tcW w:w="749" w:type="pct"/>
            <w:tcBorders>
              <w:top w:val="nil"/>
              <w:left w:val="nil"/>
              <w:bottom w:val="single" w:color="auto" w:sz="4" w:space="0"/>
              <w:right w:val="single" w:color="auto" w:sz="4" w:space="0"/>
            </w:tcBorders>
            <w:noWrap/>
            <w:vAlign w:val="center"/>
          </w:tcPr>
          <w:p w14:paraId="755109D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29.473</w:t>
            </w:r>
          </w:p>
        </w:tc>
      </w:tr>
      <w:tr w14:paraId="34764EA9">
        <w:tblPrEx>
          <w:tblCellMar>
            <w:top w:w="0" w:type="dxa"/>
            <w:left w:w="108" w:type="dxa"/>
            <w:bottom w:w="0" w:type="dxa"/>
            <w:right w:w="108" w:type="dxa"/>
          </w:tblCellMar>
        </w:tblPrEx>
        <w:trPr>
          <w:trHeight w:val="223" w:hRule="atLeast"/>
          <w:jc w:val="center"/>
        </w:trPr>
        <w:tc>
          <w:tcPr>
            <w:tcW w:w="853" w:type="pct"/>
            <w:tcBorders>
              <w:top w:val="nil"/>
              <w:left w:val="single" w:color="auto" w:sz="4" w:space="0"/>
              <w:bottom w:val="single" w:color="auto" w:sz="4" w:space="0"/>
              <w:right w:val="single" w:color="auto" w:sz="4" w:space="0"/>
            </w:tcBorders>
            <w:noWrap/>
            <w:vAlign w:val="center"/>
          </w:tcPr>
          <w:p w14:paraId="5798F6F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52</w:t>
            </w:r>
          </w:p>
        </w:tc>
        <w:tc>
          <w:tcPr>
            <w:tcW w:w="920" w:type="pct"/>
            <w:tcBorders>
              <w:top w:val="nil"/>
              <w:left w:val="nil"/>
              <w:bottom w:val="single" w:color="auto" w:sz="4" w:space="0"/>
              <w:right w:val="single" w:color="auto" w:sz="4" w:space="0"/>
            </w:tcBorders>
            <w:noWrap/>
            <w:vAlign w:val="center"/>
          </w:tcPr>
          <w:p w14:paraId="58608648">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112.874</w:t>
            </w:r>
          </w:p>
        </w:tc>
        <w:tc>
          <w:tcPr>
            <w:tcW w:w="785" w:type="pct"/>
            <w:tcBorders>
              <w:top w:val="nil"/>
              <w:left w:val="nil"/>
              <w:bottom w:val="single" w:color="auto" w:sz="4" w:space="0"/>
              <w:right w:val="single" w:color="auto" w:sz="4" w:space="0"/>
            </w:tcBorders>
            <w:noWrap/>
            <w:vAlign w:val="center"/>
          </w:tcPr>
          <w:p w14:paraId="7AB2F1C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28.911</w:t>
            </w:r>
          </w:p>
        </w:tc>
        <w:tc>
          <w:tcPr>
            <w:tcW w:w="813" w:type="pct"/>
            <w:tcBorders>
              <w:top w:val="nil"/>
              <w:left w:val="nil"/>
              <w:bottom w:val="single" w:color="auto" w:sz="4" w:space="0"/>
              <w:right w:val="single" w:color="auto" w:sz="4" w:space="0"/>
            </w:tcBorders>
            <w:noWrap/>
            <w:vAlign w:val="center"/>
          </w:tcPr>
          <w:p w14:paraId="5E63038C">
            <w:pPr>
              <w:pStyle w:val="41"/>
              <w:bidi w:val="0"/>
              <w:rPr>
                <w:rFonts w:hint="default" w:ascii="Times New Roman" w:hAnsi="Times New Roman" w:eastAsia="宋体" w:cs="Times New Roman"/>
                <w:color w:val="auto"/>
              </w:rPr>
            </w:pPr>
          </w:p>
        </w:tc>
        <w:tc>
          <w:tcPr>
            <w:tcW w:w="877" w:type="pct"/>
            <w:tcBorders>
              <w:top w:val="nil"/>
              <w:left w:val="nil"/>
              <w:bottom w:val="single" w:color="auto" w:sz="4" w:space="0"/>
              <w:right w:val="single" w:color="auto" w:sz="4" w:space="0"/>
            </w:tcBorders>
            <w:noWrap/>
            <w:vAlign w:val="center"/>
          </w:tcPr>
          <w:p w14:paraId="5CEF9120">
            <w:pPr>
              <w:pStyle w:val="41"/>
              <w:bidi w:val="0"/>
              <w:rPr>
                <w:rFonts w:hint="default" w:ascii="Times New Roman" w:hAnsi="Times New Roman" w:eastAsia="宋体" w:cs="Times New Roman"/>
                <w:color w:val="auto"/>
              </w:rPr>
            </w:pPr>
          </w:p>
        </w:tc>
        <w:tc>
          <w:tcPr>
            <w:tcW w:w="749" w:type="pct"/>
            <w:tcBorders>
              <w:top w:val="nil"/>
              <w:left w:val="nil"/>
              <w:bottom w:val="single" w:color="auto" w:sz="4" w:space="0"/>
              <w:right w:val="single" w:color="auto" w:sz="4" w:space="0"/>
            </w:tcBorders>
            <w:noWrap/>
            <w:vAlign w:val="center"/>
          </w:tcPr>
          <w:p w14:paraId="0D64E2E6">
            <w:pPr>
              <w:pStyle w:val="41"/>
              <w:bidi w:val="0"/>
              <w:rPr>
                <w:rFonts w:hint="default" w:ascii="Times New Roman" w:hAnsi="Times New Roman" w:eastAsia="宋体" w:cs="Times New Roman"/>
                <w:color w:val="auto"/>
              </w:rPr>
            </w:pPr>
          </w:p>
        </w:tc>
      </w:tr>
    </w:tbl>
    <w:p w14:paraId="26414005">
      <w:pP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drawing>
          <wp:inline distT="0" distB="0" distL="114300" distR="114300">
            <wp:extent cx="5395595" cy="7376795"/>
            <wp:effectExtent l="0" t="0" r="14605" b="146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8"/>
                    <a:srcRect l="3809" t="5000" b="2052"/>
                    <a:stretch>
                      <a:fillRect/>
                    </a:stretch>
                  </pic:blipFill>
                  <pic:spPr>
                    <a:xfrm>
                      <a:off x="0" y="0"/>
                      <a:ext cx="5395595" cy="7376795"/>
                    </a:xfrm>
                    <a:prstGeom prst="rect">
                      <a:avLst/>
                    </a:prstGeom>
                    <a:noFill/>
                    <a:ln>
                      <a:noFill/>
                    </a:ln>
                  </pic:spPr>
                </pic:pic>
              </a:graphicData>
            </a:graphic>
          </wp:inline>
        </w:drawing>
      </w:r>
    </w:p>
    <w:p w14:paraId="6397CD0B">
      <w:pPr>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4"/>
          <w:szCs w:val="24"/>
          <w:u w:val="none" w:color="auto"/>
          <w:lang w:val="en-US" w:eastAsia="zh-CN"/>
        </w:rPr>
        <w:t>图4.</w:t>
      </w:r>
      <w:r>
        <w:rPr>
          <w:rFonts w:hint="eastAsia"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-1 东洞庭湖江豚市级自然保护区功能区划图</w:t>
      </w:r>
    </w:p>
    <w:p w14:paraId="4CD61049">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513" w:name="_Toc26755"/>
      <w:bookmarkStart w:id="514" w:name="_Toc15486"/>
      <w:bookmarkStart w:id="515" w:name="_Toc57637509"/>
      <w:r>
        <w:rPr>
          <w:rFonts w:hint="default" w:ascii="Times New Roman" w:hAnsi="Times New Roman" w:eastAsia="宋体" w:cs="Times New Roman"/>
          <w:color w:val="auto"/>
          <w:sz w:val="28"/>
          <w:szCs w:val="28"/>
          <w:lang w:val="en-US" w:eastAsia="zh-CN"/>
        </w:rPr>
        <w:t>4.</w:t>
      </w:r>
      <w:r>
        <w:rPr>
          <w:rFonts w:hint="eastAsia" w:cs="Times New Roman"/>
          <w:color w:val="auto"/>
          <w:sz w:val="28"/>
          <w:szCs w:val="28"/>
          <w:lang w:val="en-US" w:eastAsia="zh-CN"/>
        </w:rPr>
        <w:t>4</w:t>
      </w:r>
      <w:r>
        <w:rPr>
          <w:rFonts w:hint="default" w:ascii="Times New Roman" w:hAnsi="Times New Roman" w:eastAsia="宋体" w:cs="Times New Roman"/>
          <w:color w:val="auto"/>
          <w:sz w:val="28"/>
          <w:szCs w:val="28"/>
        </w:rPr>
        <w:t>东洞庭湖鲤鲫黄颡鱼国家级水产种质资源保护区概况</w:t>
      </w:r>
      <w:bookmarkEnd w:id="513"/>
      <w:bookmarkEnd w:id="514"/>
      <w:bookmarkEnd w:id="515"/>
    </w:p>
    <w:p w14:paraId="1FCE7742">
      <w:pPr>
        <w:pStyle w:val="38"/>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东洞庭湖鲤鲫黄颡鱼国家级水产种质资源保护区为农业部2007年第一批公布的水产种质资源保护区。位于东洞庭湖，总面积1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rPr>
        <w:t>28万公顷，其中实验区面积11.76万公顷，核心区面积1.52万公顷，全年均为核心区特别保护期，主要保护对象为鲤、鲫、黄颡鱼、鲶。保护区内还栖息着青、草、鲢、鳙、长颌鲚、短颌鲚、银鱼、颌针鱼、鲂鱼、鳡鱼、鲴鱼、鳤鱼、铜鱼、长吻鮠、细鳞鲴、中华倒刺鲃、赤眼鳟、鳜鱼、乌鳢、黄鳝、泥鳅、青虾、长臂虾、克氏螯虾、胭脂鱼、鲥鱼、鳗鲡、白鲟、江豚、大鲵、三角帆蚌、皱纹冠蚌、背瘤丽蚌等物种。保护区、实验区范围在东经112°43′～113°09′之间，北纬28°59′～29°31′之间。东线以岳阳市云溪区擂鼓台为起点，向南经城陵矶、岳阳楼公园、二龟山、高家咀、麻塘垸延伸至鹿角镇滨湖村；南线以滨湖村为起点，先向西至草咀经煤炭湾北折至下红旗湖，再向西南经大湾、小湾至西南点飘尾港；西线自飘尾港沿东浃村、新生洲、团南村、团北村、野猪湾、碾盘洲至西北点建新农场一队；北线自建新农场一队向东南经建新五队、建新十队、岳华村至君山公园再由君山公园向东北经关墩头、上泥滩、迈江洲回至东北点擂鼓台。</w:t>
      </w:r>
    </w:p>
    <w:p w14:paraId="4EB64396">
      <w:pP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核心区分区包括：（1）三江口核心保护区：面积0.67万公顷。陆地东线自擂鼓台向南延伸至麻塘镇，保护区水域范围包括湘江水道、三江口及周围水域。界点座标分别为：A1（E113°09′N29°27′）、B1（E113°10′N29°30′）、C1（E113°04′N29°16′）、D1（E113°01′N29°16′）。该核心保护区是江河洄游性鱼类、江海洄游性鱼类及长江中游水生野生动物的入湖达江通道，其沟深水阔，历来为大型鱼类的天然越冬场。该核心保护区在东洞庭湖鲤、鲫、黄颡国家级水产种质资源保护区中充当着鲤、鲫、黄颡、鲶及青、草、鲢、鳙等经济鱼类越冬场的作用，同时保护好该水域又有效地保护了中华鲟、江豚等国家级珍稀水生野生动物。（2）君山后湖核心保护区：面积0.45万公顷，陆地自岳华村经双五村向东南延伸至君山观测站界碑。保护区水域范围包括君山前、后湖及周围水域。界点座标分别为A2（E112°57′N29°26′）、B2（E112°55′N29°24′）、C2（E113°02′N29°23′）、D2（E113°02′N29°21′）。该核心保护区水草茂盛，水流平缓，水质肥爽，浮游动物植物极为丰富。为东洞庭湖鲤、鲫、黄颡、鲶重要产卵场，是青、草、鲢、鳙等重要经济鱼类索饵场。该核心区在东洞庭湖水产种质资源保护区中扮演着定居性鱼类、江河洄游性鱼类的产卵育肥场作用。（3）飘尾大小湾核心保护区：面积0.40万公顷。陆地自下红旗湖至小湾。保护区水域范围包括上下红旗湖及大、小湾周围水域，见规划图。界点座标分别为A3（E112°59′N29°17′）、B3（E112°57′N29°18′）、C3（E112°55′N29°11′）、D3（E112°53′N29°13′）。该核心保护区水质肥爽，水草丛生，浮游动植物极为丰富。为东洞庭湖鲤、鲫、黄颡、鲶、青、草、鲢、鳙、鲴、鳤、鲂、鲌及长颌鲚、短颌鲚、银鱼、颌针鱼等江海洄游性鱼类重要产卵场、索饵场。</w:t>
      </w:r>
    </w:p>
    <w:p w14:paraId="1E5B8672">
      <w:pP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保护区其它水域为实验区，面积11.76万公顷。</w:t>
      </w:r>
    </w:p>
    <w:p w14:paraId="0358C49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东洞庭湖鲤鲫黄颡鱼国家级水产种质资源保护区保护区的主要保护目标有两个：</w:t>
      </w:r>
    </w:p>
    <w:p w14:paraId="4F085644">
      <w:pPr>
        <w:pStyle w:val="38"/>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rPr>
      </w:pPr>
      <w:bookmarkStart w:id="516" w:name="_Toc480755505"/>
      <w:bookmarkStart w:id="517" w:name="_Toc487029342"/>
      <w:bookmarkStart w:id="518" w:name="_Toc487030318"/>
      <w:bookmarkStart w:id="519" w:name="_Toc487029091"/>
      <w:bookmarkStart w:id="520" w:name="_Toc355158627"/>
      <w:bookmarkStart w:id="521" w:name="_Toc471593061"/>
      <w:bookmarkStart w:id="522" w:name="_Toc343840072"/>
      <w:r>
        <w:rPr>
          <w:rFonts w:hint="default" w:ascii="Times New Roman" w:hAnsi="Times New Roman" w:eastAsia="宋体" w:cs="Times New Roman"/>
          <w:b/>
          <w:bCs/>
          <w:color w:val="auto"/>
          <w:sz w:val="24"/>
          <w:szCs w:val="24"/>
          <w:lang w:val="en-US"/>
        </w:rPr>
        <w:t>（1）水产种质资源保护区功能保护</w:t>
      </w:r>
      <w:bookmarkEnd w:id="516"/>
      <w:bookmarkEnd w:id="517"/>
      <w:bookmarkEnd w:id="518"/>
      <w:bookmarkEnd w:id="519"/>
      <w:bookmarkEnd w:id="520"/>
      <w:bookmarkEnd w:id="521"/>
      <w:bookmarkEnd w:id="522"/>
    </w:p>
    <w:p w14:paraId="4E9B4BA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主要保护对象产卵场、索饵场、越冬场及洄游通道等水产种质资源保护区等基本功能的保护。</w:t>
      </w:r>
    </w:p>
    <w:p w14:paraId="11065362">
      <w:pPr>
        <w:pStyle w:val="38"/>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color w:val="auto"/>
          <w:sz w:val="24"/>
          <w:szCs w:val="24"/>
          <w:lang w:val="en-US"/>
        </w:rPr>
      </w:pPr>
      <w:bookmarkStart w:id="523" w:name="_Toc480755506"/>
      <w:bookmarkStart w:id="524" w:name="_Toc355158628"/>
      <w:bookmarkStart w:id="525" w:name="_Toc343840073"/>
      <w:bookmarkStart w:id="526" w:name="_Toc487030319"/>
      <w:bookmarkStart w:id="527" w:name="_Toc487029092"/>
      <w:bookmarkStart w:id="528" w:name="_Toc487029343"/>
      <w:bookmarkStart w:id="529" w:name="_Toc471593062"/>
      <w:r>
        <w:rPr>
          <w:rFonts w:hint="default" w:ascii="Times New Roman" w:hAnsi="Times New Roman" w:eastAsia="宋体" w:cs="Times New Roman"/>
          <w:b/>
          <w:color w:val="auto"/>
          <w:sz w:val="24"/>
          <w:szCs w:val="24"/>
          <w:lang w:val="en-US"/>
        </w:rPr>
        <w:t>（2）水生态系统功能保护</w:t>
      </w:r>
      <w:bookmarkEnd w:id="523"/>
      <w:bookmarkEnd w:id="524"/>
      <w:bookmarkEnd w:id="525"/>
      <w:bookmarkEnd w:id="526"/>
      <w:bookmarkEnd w:id="527"/>
      <w:bookmarkEnd w:id="528"/>
      <w:bookmarkEnd w:id="529"/>
    </w:p>
    <w:p w14:paraId="1DEE04B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维持保护区江段鱼类种群结构与生物多样性功能，确保保护区江段生物水生态系统良好运转，维持良好水质。</w:t>
      </w:r>
    </w:p>
    <w:p w14:paraId="6B1234B6">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本项目位于东洞庭湖鲤鲫黄颡鱼国家级水产种质资源保护区实验区。</w:t>
      </w:r>
    </w:p>
    <w:p w14:paraId="17D15A1F">
      <w:pPr>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drawing>
          <wp:inline distT="0" distB="0" distL="114300" distR="114300">
            <wp:extent cx="5316220" cy="7790815"/>
            <wp:effectExtent l="0" t="0" r="17780" b="635"/>
            <wp:docPr id="5" name="图片 3" descr="采砂区与保护区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采砂区与保护区位置"/>
                    <pic:cNvPicPr>
                      <a:picLocks noChangeAspect="1"/>
                    </pic:cNvPicPr>
                  </pic:nvPicPr>
                  <pic:blipFill>
                    <a:blip r:embed="rId29"/>
                    <a:stretch>
                      <a:fillRect/>
                    </a:stretch>
                  </pic:blipFill>
                  <pic:spPr>
                    <a:xfrm>
                      <a:off x="0" y="0"/>
                      <a:ext cx="5316220" cy="7790815"/>
                    </a:xfrm>
                    <a:prstGeom prst="rect">
                      <a:avLst/>
                    </a:prstGeom>
                    <a:noFill/>
                    <a:ln>
                      <a:noFill/>
                    </a:ln>
                  </pic:spPr>
                </pic:pic>
              </a:graphicData>
            </a:graphic>
          </wp:inline>
        </w:drawing>
      </w:r>
    </w:p>
    <w:p w14:paraId="77293BBE">
      <w:pP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1 </w:t>
      </w:r>
      <w:r>
        <w:rPr>
          <w:rFonts w:hint="default" w:ascii="Times New Roman" w:hAnsi="Times New Roman" w:eastAsia="宋体" w:cs="Times New Roman"/>
          <w:b/>
          <w:color w:val="auto"/>
          <w:sz w:val="21"/>
          <w:szCs w:val="21"/>
        </w:rPr>
        <w:t>东洞庭湖鲤鲫黄颡鱼国家级水产种质资源保护区</w:t>
      </w:r>
      <w:r>
        <w:rPr>
          <w:rFonts w:hint="eastAsia" w:cs="Times New Roman"/>
          <w:b/>
          <w:color w:val="auto"/>
          <w:sz w:val="21"/>
          <w:szCs w:val="21"/>
          <w:lang w:val="en-US" w:eastAsia="zh-CN"/>
        </w:rPr>
        <w:t>区划</w:t>
      </w:r>
      <w:r>
        <w:rPr>
          <w:rFonts w:hint="default" w:ascii="Times New Roman" w:hAnsi="Times New Roman" w:eastAsia="宋体" w:cs="Times New Roman"/>
          <w:b/>
          <w:color w:val="auto"/>
          <w:sz w:val="21"/>
          <w:szCs w:val="21"/>
        </w:rPr>
        <w:t>图</w:t>
      </w:r>
    </w:p>
    <w:p w14:paraId="619AE28B">
      <w:pPr>
        <w:rPr>
          <w:rFonts w:hint="default" w:ascii="Times New Roman" w:hAnsi="Times New Roman" w:eastAsia="宋体"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3D4CF826">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530" w:name="_Toc25733"/>
      <w:bookmarkStart w:id="531" w:name="_Toc17679"/>
      <w:bookmarkStart w:id="532" w:name="_Toc3148"/>
      <w:bookmarkStart w:id="533" w:name="_Toc10810"/>
      <w:bookmarkStart w:id="534" w:name="_Toc17863"/>
      <w:bookmarkStart w:id="535" w:name="_Toc947"/>
      <w:bookmarkStart w:id="536" w:name="_Toc3320"/>
      <w:bookmarkStart w:id="537" w:name="_Toc16088"/>
      <w:bookmarkStart w:id="538" w:name="_Toc28207"/>
      <w:bookmarkStart w:id="539" w:name="_Toc169"/>
      <w:bookmarkStart w:id="540" w:name="_Toc20256"/>
      <w:bookmarkStart w:id="541" w:name="_Toc9084"/>
      <w:bookmarkStart w:id="542" w:name="_Toc20869"/>
      <w:bookmarkStart w:id="543" w:name="_Toc8057"/>
      <w:bookmarkStart w:id="544" w:name="_Toc30103"/>
      <w:bookmarkStart w:id="545" w:name="_Toc13281"/>
      <w:bookmarkStart w:id="546" w:name="_Toc26787"/>
      <w:bookmarkStart w:id="547" w:name="_Toc17966"/>
      <w:bookmarkStart w:id="548" w:name="_Toc27795"/>
      <w:r>
        <w:rPr>
          <w:rFonts w:hint="default" w:ascii="Times New Roman" w:hAnsi="Times New Roman" w:eastAsia="宋体" w:cs="Times New Roman"/>
          <w:color w:val="auto"/>
          <w:sz w:val="28"/>
          <w:szCs w:val="28"/>
          <w:lang w:val="en-US" w:eastAsia="zh-CN"/>
        </w:rPr>
        <w:t>4.</w:t>
      </w:r>
      <w:r>
        <w:rPr>
          <w:rFonts w:hint="eastAsia"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 xml:space="preserve"> 区域环境质量概况</w:t>
      </w:r>
      <w:bookmarkEnd w:id="530"/>
      <w:bookmarkEnd w:id="531"/>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14:paraId="6F9E5374">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eastAsia="宋体" w:cs="Times New Roman"/>
          <w:color w:val="auto"/>
        </w:rPr>
      </w:pPr>
      <w:bookmarkStart w:id="549" w:name="_Toc6645"/>
      <w:r>
        <w:rPr>
          <w:rFonts w:hint="default" w:ascii="Times New Roman" w:hAnsi="Times New Roman" w:eastAsia="宋体" w:cs="Times New Roman"/>
          <w:color w:val="auto"/>
          <w:lang w:val="en-US" w:eastAsia="zh-CN"/>
        </w:rPr>
        <w:t>4.</w:t>
      </w:r>
      <w:r>
        <w:rPr>
          <w:rFonts w:hint="eastAsia" w:cs="Times New Roman"/>
          <w:color w:val="auto"/>
          <w:lang w:val="en-US" w:eastAsia="zh-CN"/>
        </w:rPr>
        <w:t>5</w:t>
      </w:r>
      <w:r>
        <w:rPr>
          <w:rFonts w:hint="default" w:ascii="Times New Roman" w:hAnsi="Times New Roman" w:eastAsia="宋体" w:cs="Times New Roman"/>
          <w:color w:val="auto"/>
        </w:rPr>
        <w:t>.1 大气环境质量现状监测与评价</w:t>
      </w:r>
      <w:bookmarkEnd w:id="549"/>
    </w:p>
    <w:p w14:paraId="2C5DAE85">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bookmarkStart w:id="550" w:name="_Toc22437"/>
      <w:r>
        <w:rPr>
          <w:rFonts w:hint="eastAsia" w:ascii="Times New Roman" w:hAnsi="Times New Roman" w:eastAsia="宋体" w:cs="Times New Roman"/>
          <w:color w:val="auto"/>
          <w:sz w:val="24"/>
          <w:szCs w:val="24"/>
          <w:u w:val="none" w:color="auto"/>
          <w:lang w:val="en-US" w:eastAsia="zh-CN"/>
        </w:rPr>
        <w:t>4.5.1.</w:t>
      </w:r>
      <w:r>
        <w:rPr>
          <w:rFonts w:hint="default" w:ascii="Times New Roman" w:hAnsi="Times New Roman" w:eastAsia="宋体"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val="en-US" w:eastAsia="zh-CN"/>
        </w:rPr>
        <w:t xml:space="preserve"> </w:t>
      </w:r>
      <w:bookmarkEnd w:id="550"/>
      <w:r>
        <w:rPr>
          <w:rFonts w:hint="default" w:ascii="Times New Roman" w:hAnsi="Times New Roman" w:eastAsia="宋体" w:cs="Times New Roman"/>
          <w:color w:val="auto"/>
          <w:sz w:val="24"/>
          <w:szCs w:val="24"/>
          <w:u w:val="none" w:color="auto"/>
          <w:lang w:val="en-US" w:eastAsia="zh-CN"/>
        </w:rPr>
        <w:t>项目达标区判定及国控监测点长期监测现状调查结果</w:t>
      </w:r>
    </w:p>
    <w:p w14:paraId="0E049D8D">
      <w:pPr>
        <w:pStyle w:val="15"/>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根据《环境影响评价技术导则 大气环境》（HJ2.2-2018）中“6环境空气质量现状调查与评价”内容，首先需要项目所在区域环境质量达标情况，作为项目所在区域是否为达标区的判断依据。并且根据导则“5.5 依据评价所需环境空气质量现状、气象资料等数据的可获得性、数量质量、代表性等因素，选择近3年中数据相对完整的1个日历年作为评价基准年”的内容，本项目筛选的评价基准年为202</w:t>
      </w:r>
      <w:r>
        <w:rPr>
          <w:rFonts w:hint="eastAsia" w:ascii="Times New Roman" w:eastAsia="宋体" w:cs="Times New Roman"/>
          <w:bCs/>
          <w:color w:val="auto"/>
          <w:sz w:val="24"/>
          <w:lang w:val="en-US" w:eastAsia="zh-CN"/>
        </w:rPr>
        <w:t>3</w:t>
      </w:r>
      <w:r>
        <w:rPr>
          <w:rFonts w:hint="default" w:ascii="Times New Roman" w:hAnsi="Times New Roman" w:eastAsia="宋体" w:cs="Times New Roman"/>
          <w:bCs/>
          <w:color w:val="auto"/>
          <w:sz w:val="24"/>
        </w:rPr>
        <w:t>年。</w:t>
      </w:r>
    </w:p>
    <w:p w14:paraId="79E4CF64">
      <w:pPr>
        <w:pStyle w:val="15"/>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本项目收集了岳阳县空气自动监测站202</w:t>
      </w:r>
      <w:r>
        <w:rPr>
          <w:rFonts w:hint="eastAsia" w:ascii="Times New Roman" w:eastAsia="宋体" w:cs="Times New Roman"/>
          <w:bCs/>
          <w:color w:val="auto"/>
          <w:sz w:val="24"/>
          <w:lang w:val="en-US" w:eastAsia="zh-CN"/>
        </w:rPr>
        <w:t>3</w:t>
      </w:r>
      <w:r>
        <w:rPr>
          <w:rFonts w:hint="default" w:ascii="Times New Roman" w:hAnsi="Times New Roman" w:eastAsia="宋体" w:cs="Times New Roman"/>
          <w:bCs/>
          <w:color w:val="auto"/>
          <w:sz w:val="24"/>
        </w:rPr>
        <w:t>年1月至202</w:t>
      </w:r>
      <w:r>
        <w:rPr>
          <w:rFonts w:hint="eastAsia" w:ascii="Times New Roman" w:eastAsia="宋体" w:cs="Times New Roman"/>
          <w:bCs/>
          <w:color w:val="auto"/>
          <w:sz w:val="24"/>
          <w:lang w:val="en-US" w:eastAsia="zh-CN"/>
        </w:rPr>
        <w:t>3</w:t>
      </w:r>
      <w:r>
        <w:rPr>
          <w:rFonts w:hint="default" w:ascii="Times New Roman" w:hAnsi="Times New Roman" w:eastAsia="宋体" w:cs="Times New Roman"/>
          <w:bCs/>
          <w:color w:val="auto"/>
          <w:sz w:val="24"/>
        </w:rPr>
        <w:t>年12月全年12个月的空气环境质量监测数据，经过统计得202</w:t>
      </w:r>
      <w:r>
        <w:rPr>
          <w:rFonts w:hint="eastAsia" w:ascii="Times New Roman" w:eastAsia="宋体" w:cs="Times New Roman"/>
          <w:bCs/>
          <w:color w:val="auto"/>
          <w:sz w:val="24"/>
          <w:lang w:val="en-US" w:eastAsia="zh-CN"/>
        </w:rPr>
        <w:t>3</w:t>
      </w:r>
      <w:r>
        <w:rPr>
          <w:rFonts w:hint="default" w:ascii="Times New Roman" w:hAnsi="Times New Roman" w:eastAsia="宋体" w:cs="Times New Roman"/>
          <w:bCs/>
          <w:color w:val="auto"/>
          <w:sz w:val="24"/>
        </w:rPr>
        <w:t>年岳阳县空气环境质量监测数据如下表。</w:t>
      </w:r>
    </w:p>
    <w:p w14:paraId="25F09A51">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-1  岳阳县202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年空气监测数据统计结果一览表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817"/>
        <w:gridCol w:w="2771"/>
        <w:gridCol w:w="1158"/>
        <w:gridCol w:w="1158"/>
        <w:gridCol w:w="1158"/>
        <w:gridCol w:w="1158"/>
      </w:tblGrid>
      <w:tr w14:paraId="7AFDAEA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03D36F13">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685" w:type="pct"/>
            <w:noWrap w:val="0"/>
            <w:vAlign w:val="center"/>
          </w:tcPr>
          <w:p w14:paraId="16F44E3B">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年评价指标</w:t>
            </w:r>
          </w:p>
        </w:tc>
        <w:tc>
          <w:tcPr>
            <w:tcW w:w="704" w:type="pct"/>
            <w:noWrap w:val="0"/>
            <w:vAlign w:val="center"/>
          </w:tcPr>
          <w:p w14:paraId="71C1EDAE">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4" w:type="pct"/>
            <w:noWrap w:val="0"/>
            <w:vAlign w:val="center"/>
          </w:tcPr>
          <w:p w14:paraId="5CA110EC">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4" w:type="pct"/>
            <w:noWrap w:val="0"/>
            <w:vAlign w:val="center"/>
          </w:tcPr>
          <w:p w14:paraId="47B81D63">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704" w:type="pct"/>
            <w:noWrap w:val="0"/>
            <w:vAlign w:val="center"/>
          </w:tcPr>
          <w:p w14:paraId="7A12E112">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2E988F5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5C502E12">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685" w:type="pct"/>
            <w:noWrap w:val="0"/>
            <w:vAlign w:val="center"/>
          </w:tcPr>
          <w:p w14:paraId="75C70528">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年均浓度</w:t>
            </w:r>
          </w:p>
        </w:tc>
        <w:tc>
          <w:tcPr>
            <w:tcW w:w="1158" w:type="dxa"/>
            <w:noWrap w:val="0"/>
            <w:vAlign w:val="center"/>
          </w:tcPr>
          <w:p w14:paraId="17F96063">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58" w:type="dxa"/>
            <w:noWrap w:val="0"/>
            <w:vAlign w:val="center"/>
          </w:tcPr>
          <w:p w14:paraId="3CCD0C9E">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58" w:type="dxa"/>
            <w:noWrap w:val="0"/>
            <w:vAlign w:val="center"/>
          </w:tcPr>
          <w:p w14:paraId="3BDCAF71">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8.33</w:t>
            </w:r>
          </w:p>
        </w:tc>
        <w:tc>
          <w:tcPr>
            <w:tcW w:w="704" w:type="pct"/>
            <w:noWrap w:val="0"/>
            <w:vAlign w:val="center"/>
          </w:tcPr>
          <w:p w14:paraId="51A3C339">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E2E1E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52E5BF69">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685" w:type="pct"/>
            <w:noWrap w:val="0"/>
            <w:vAlign w:val="center"/>
          </w:tcPr>
          <w:p w14:paraId="24243F1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年均浓度</w:t>
            </w:r>
          </w:p>
        </w:tc>
        <w:tc>
          <w:tcPr>
            <w:tcW w:w="1158" w:type="dxa"/>
            <w:noWrap w:val="0"/>
            <w:vAlign w:val="center"/>
          </w:tcPr>
          <w:p w14:paraId="337BA77D">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58" w:type="dxa"/>
            <w:noWrap w:val="0"/>
            <w:vAlign w:val="center"/>
          </w:tcPr>
          <w:p w14:paraId="4AE675E6">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58" w:type="dxa"/>
            <w:noWrap w:val="0"/>
            <w:vAlign w:val="center"/>
          </w:tcPr>
          <w:p w14:paraId="62BEF688">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704" w:type="pct"/>
            <w:noWrap w:val="0"/>
            <w:vAlign w:val="center"/>
          </w:tcPr>
          <w:p w14:paraId="1C6D8A0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CD788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6CCB6827">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685" w:type="pct"/>
            <w:noWrap w:val="0"/>
            <w:vAlign w:val="center"/>
          </w:tcPr>
          <w:p w14:paraId="00E6E55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年均浓度</w:t>
            </w:r>
          </w:p>
        </w:tc>
        <w:tc>
          <w:tcPr>
            <w:tcW w:w="1158" w:type="dxa"/>
            <w:noWrap w:val="0"/>
            <w:vAlign w:val="center"/>
          </w:tcPr>
          <w:p w14:paraId="04BBBE0E">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58" w:type="dxa"/>
            <w:noWrap w:val="0"/>
            <w:vAlign w:val="center"/>
          </w:tcPr>
          <w:p w14:paraId="1D908B21">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58" w:type="dxa"/>
            <w:noWrap w:val="0"/>
            <w:vAlign w:val="center"/>
          </w:tcPr>
          <w:p w14:paraId="37D6FDC9">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704" w:type="pct"/>
            <w:noWrap w:val="0"/>
            <w:vAlign w:val="center"/>
          </w:tcPr>
          <w:p w14:paraId="7A1D31A8">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347EF8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15F5D403">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685" w:type="pct"/>
            <w:noWrap w:val="0"/>
            <w:vAlign w:val="center"/>
          </w:tcPr>
          <w:p w14:paraId="1BD81D99">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年均浓度</w:t>
            </w:r>
          </w:p>
        </w:tc>
        <w:tc>
          <w:tcPr>
            <w:tcW w:w="1158" w:type="dxa"/>
            <w:noWrap w:val="0"/>
            <w:vAlign w:val="center"/>
          </w:tcPr>
          <w:p w14:paraId="48289BBE">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158" w:type="dxa"/>
            <w:noWrap w:val="0"/>
            <w:vAlign w:val="center"/>
          </w:tcPr>
          <w:p w14:paraId="3D3E2B94">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58" w:type="dxa"/>
            <w:noWrap w:val="0"/>
            <w:vAlign w:val="center"/>
          </w:tcPr>
          <w:p w14:paraId="2C1C661B">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97.1</w:t>
            </w:r>
          </w:p>
        </w:tc>
        <w:tc>
          <w:tcPr>
            <w:tcW w:w="704" w:type="pct"/>
            <w:noWrap w:val="0"/>
            <w:vAlign w:val="center"/>
          </w:tcPr>
          <w:p w14:paraId="03D67924">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6F9111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2242898D">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685" w:type="pct"/>
            <w:noWrap w:val="0"/>
            <w:vAlign w:val="center"/>
          </w:tcPr>
          <w:p w14:paraId="4699DAA8">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24小时平均第95百分位数</w:t>
            </w:r>
          </w:p>
        </w:tc>
        <w:tc>
          <w:tcPr>
            <w:tcW w:w="1158" w:type="dxa"/>
            <w:noWrap w:val="0"/>
            <w:vAlign w:val="center"/>
          </w:tcPr>
          <w:p w14:paraId="20114BF2">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158" w:type="dxa"/>
            <w:noWrap w:val="0"/>
            <w:vAlign w:val="center"/>
          </w:tcPr>
          <w:p w14:paraId="0051278C">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158" w:type="dxa"/>
            <w:noWrap w:val="0"/>
            <w:vAlign w:val="center"/>
          </w:tcPr>
          <w:p w14:paraId="535A6FAA">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w:t>
            </w:r>
          </w:p>
        </w:tc>
        <w:tc>
          <w:tcPr>
            <w:tcW w:w="704" w:type="pct"/>
            <w:noWrap w:val="0"/>
            <w:vAlign w:val="center"/>
          </w:tcPr>
          <w:p w14:paraId="67167B68">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34A5F1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497" w:type="pct"/>
            <w:noWrap w:val="0"/>
            <w:vAlign w:val="center"/>
          </w:tcPr>
          <w:p w14:paraId="61767051">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685" w:type="pct"/>
            <w:noWrap w:val="0"/>
            <w:vAlign w:val="center"/>
          </w:tcPr>
          <w:p w14:paraId="18341602">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最大8小时平均第90百分位数</w:t>
            </w:r>
          </w:p>
        </w:tc>
        <w:tc>
          <w:tcPr>
            <w:tcW w:w="1158" w:type="dxa"/>
            <w:noWrap w:val="0"/>
            <w:vAlign w:val="center"/>
          </w:tcPr>
          <w:p w14:paraId="714FAE76">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1158" w:type="dxa"/>
            <w:noWrap w:val="0"/>
            <w:vAlign w:val="center"/>
          </w:tcPr>
          <w:p w14:paraId="1268BE3F">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58" w:type="dxa"/>
            <w:noWrap w:val="0"/>
            <w:vAlign w:val="center"/>
          </w:tcPr>
          <w:p w14:paraId="2AB6772A">
            <w:pPr>
              <w:pStyle w:val="36"/>
              <w:keepNext w:val="0"/>
              <w:keepLines w:val="0"/>
              <w:pageBreakBefore w:val="0"/>
              <w:widowControl w:val="0"/>
              <w:tabs>
                <w:tab w:val="left" w:pos="0"/>
                <w:tab w:val="clear" w:pos="480"/>
              </w:tabs>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04" w:type="pct"/>
            <w:noWrap w:val="0"/>
            <w:vAlign w:val="center"/>
          </w:tcPr>
          <w:p w14:paraId="1881009D">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0620A35">
      <w:pPr>
        <w:pStyle w:val="49"/>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由上表可知，本项目所在行政区环境空气质量达标。 </w:t>
      </w:r>
    </w:p>
    <w:p w14:paraId="74042C22">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bookmarkStart w:id="551" w:name="_Toc30517"/>
      <w:r>
        <w:rPr>
          <w:rFonts w:hint="default" w:ascii="Times New Roman" w:hAnsi="Times New Roman" w:eastAsia="宋体" w:cs="Times New Roman"/>
          <w:color w:val="auto"/>
          <w:sz w:val="24"/>
          <w:szCs w:val="24"/>
          <w:u w:val="none" w:color="auto"/>
          <w:lang w:val="en-US" w:eastAsia="zh-CN"/>
        </w:rPr>
        <w:t>4.5.1.</w:t>
      </w:r>
      <w:r>
        <w:rPr>
          <w:rFonts w:hint="eastAsia" w:ascii="Times New Roman" w:hAnsi="Times New Roman" w:eastAsia="宋体" w:cs="Times New Roman"/>
          <w:color w:val="auto"/>
          <w:sz w:val="24"/>
          <w:szCs w:val="24"/>
          <w:u w:val="none" w:color="auto"/>
          <w:lang w:val="en-US" w:eastAsia="zh-CN"/>
        </w:rPr>
        <w:t xml:space="preserve">2 </w:t>
      </w:r>
      <w:bookmarkEnd w:id="551"/>
      <w:r>
        <w:rPr>
          <w:rFonts w:hint="default" w:ascii="Times New Roman" w:hAnsi="Times New Roman" w:eastAsia="宋体" w:cs="Times New Roman"/>
          <w:color w:val="auto"/>
          <w:sz w:val="24"/>
          <w:szCs w:val="24"/>
          <w:u w:val="none" w:color="auto"/>
          <w:lang w:val="en-US" w:eastAsia="zh-CN"/>
        </w:rPr>
        <w:t>环境空气质量现状补充监测</w:t>
      </w:r>
    </w:p>
    <w:p w14:paraId="1C80D693">
      <w:pPr>
        <w:pStyle w:val="36"/>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本项目委托</w:t>
      </w:r>
      <w:r>
        <w:rPr>
          <w:rFonts w:hint="default" w:ascii="Times New Roman" w:hAnsi="Times New Roman" w:eastAsia="宋体" w:cs="Times New Roman"/>
          <w:color w:val="auto"/>
          <w:lang w:eastAsia="zh-CN"/>
        </w:rPr>
        <w:t>湖南立德正检测有限公司</w:t>
      </w:r>
      <w:r>
        <w:rPr>
          <w:rFonts w:hint="default" w:ascii="Times New Roman" w:hAnsi="Times New Roman" w:eastAsia="宋体" w:cs="Times New Roman"/>
          <w:color w:val="auto"/>
        </w:rPr>
        <w:t>于202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16</w:t>
      </w:r>
      <w:r>
        <w:rPr>
          <w:rFonts w:hint="default" w:ascii="Times New Roman" w:hAnsi="Times New Roman" w:eastAsia="宋体" w:cs="Times New Roman"/>
          <w:color w:val="auto"/>
        </w:rPr>
        <w:t>日~</w:t>
      </w:r>
      <w:r>
        <w:rPr>
          <w:rFonts w:hint="default" w:ascii="Times New Roman" w:hAnsi="Times New Roman" w:eastAsia="宋体" w:cs="Times New Roman"/>
          <w:color w:val="auto"/>
          <w:lang w:val="en-US" w:eastAsia="zh-CN"/>
        </w:rPr>
        <w:t>22</w:t>
      </w:r>
      <w:r>
        <w:rPr>
          <w:rFonts w:hint="default" w:ascii="Times New Roman" w:hAnsi="Times New Roman" w:eastAsia="宋体" w:cs="Times New Roman"/>
          <w:color w:val="auto"/>
        </w:rPr>
        <w:t>日对项目区域大气进行了补充监测。</w:t>
      </w:r>
    </w:p>
    <w:p w14:paraId="24B6647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（1）监测点位</w:t>
      </w:r>
    </w:p>
    <w:p w14:paraId="2BFD8B44">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xml:space="preserve">  大气现状监测点位一览表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959"/>
        <w:gridCol w:w="2220"/>
        <w:gridCol w:w="1816"/>
        <w:gridCol w:w="3225"/>
      </w:tblGrid>
      <w:tr w14:paraId="55B35CE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83" w:type="pct"/>
            <w:noWrap w:val="0"/>
            <w:vAlign w:val="center"/>
          </w:tcPr>
          <w:p w14:paraId="4F9357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编号</w:t>
            </w:r>
          </w:p>
        </w:tc>
        <w:tc>
          <w:tcPr>
            <w:tcW w:w="1350" w:type="pct"/>
            <w:noWrap w:val="0"/>
            <w:vAlign w:val="center"/>
          </w:tcPr>
          <w:p w14:paraId="00317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1104" w:type="pct"/>
            <w:noWrap w:val="0"/>
            <w:vAlign w:val="center"/>
          </w:tcPr>
          <w:p w14:paraId="5126B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方位、距离</w:t>
            </w:r>
          </w:p>
        </w:tc>
        <w:tc>
          <w:tcPr>
            <w:tcW w:w="1961" w:type="pct"/>
            <w:noWrap w:val="0"/>
            <w:vAlign w:val="center"/>
          </w:tcPr>
          <w:p w14:paraId="42153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r>
      <w:tr w14:paraId="1DFAC83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83" w:type="pct"/>
            <w:noWrap w:val="0"/>
            <w:vAlign w:val="center"/>
          </w:tcPr>
          <w:p w14:paraId="17218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S1</w:t>
            </w:r>
          </w:p>
        </w:tc>
        <w:tc>
          <w:tcPr>
            <w:tcW w:w="1350" w:type="pct"/>
            <w:noWrap w:val="0"/>
            <w:vAlign w:val="center"/>
          </w:tcPr>
          <w:p w14:paraId="56401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项目拟建地</w:t>
            </w:r>
          </w:p>
        </w:tc>
        <w:tc>
          <w:tcPr>
            <w:tcW w:w="1104" w:type="pct"/>
            <w:noWrap w:val="0"/>
            <w:vAlign w:val="center"/>
          </w:tcPr>
          <w:p w14:paraId="65524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0"/>
                <w:szCs w:val="21"/>
              </w:rPr>
              <w:t>/</w:t>
            </w:r>
          </w:p>
        </w:tc>
        <w:tc>
          <w:tcPr>
            <w:tcW w:w="1961" w:type="pct"/>
            <w:noWrap w:val="0"/>
            <w:vAlign w:val="center"/>
          </w:tcPr>
          <w:p w14:paraId="66A9E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TSP</w:t>
            </w:r>
          </w:p>
        </w:tc>
      </w:tr>
    </w:tbl>
    <w:p w14:paraId="07F2BB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（2）监测频次：监测日均值，连续监测7天。</w:t>
      </w:r>
    </w:p>
    <w:p w14:paraId="6C39775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w:t>
      </w:r>
      <w:r>
        <w:rPr>
          <w:rFonts w:hint="eastAsia" w:cs="Times New Roman"/>
          <w:b/>
          <w:color w:val="auto"/>
          <w:szCs w:val="21"/>
          <w:lang w:val="en-US" w:eastAsia="zh-CN"/>
        </w:rPr>
        <w:t>5</w:t>
      </w:r>
      <w:r>
        <w:rPr>
          <w:rFonts w:hint="default" w:ascii="Times New Roman" w:hAnsi="Times New Roman" w:eastAsia="宋体" w:cs="Times New Roman"/>
          <w:b/>
          <w:color w:val="auto"/>
          <w:szCs w:val="21"/>
        </w:rPr>
        <w:t>-3  委托监测期间气象资料</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770"/>
        <w:gridCol w:w="1085"/>
        <w:gridCol w:w="1128"/>
        <w:gridCol w:w="1257"/>
        <w:gridCol w:w="956"/>
        <w:gridCol w:w="656"/>
        <w:gridCol w:w="609"/>
      </w:tblGrid>
      <w:tr w14:paraId="1127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0" w:type="dxa"/>
            <w:tcBorders>
              <w:tl2br w:val="nil"/>
              <w:tr2bl w:val="nil"/>
            </w:tcBorders>
            <w:noWrap w:val="0"/>
            <w:vAlign w:val="center"/>
          </w:tcPr>
          <w:p w14:paraId="28587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监测日期</w:t>
            </w:r>
          </w:p>
        </w:tc>
        <w:tc>
          <w:tcPr>
            <w:tcW w:w="795" w:type="dxa"/>
            <w:tcBorders>
              <w:tl2br w:val="nil"/>
              <w:tr2bl w:val="nil"/>
            </w:tcBorders>
            <w:noWrap w:val="0"/>
            <w:vAlign w:val="center"/>
          </w:tcPr>
          <w:p w14:paraId="17D04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1125" w:type="dxa"/>
            <w:tcBorders>
              <w:tl2br w:val="nil"/>
              <w:tr2bl w:val="nil"/>
            </w:tcBorders>
            <w:noWrap w:val="0"/>
            <w:vAlign w:val="center"/>
          </w:tcPr>
          <w:p w14:paraId="77200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tc>
        <w:tc>
          <w:tcPr>
            <w:tcW w:w="1170" w:type="dxa"/>
            <w:tcBorders>
              <w:tl2br w:val="nil"/>
              <w:tr2bl w:val="nil"/>
            </w:tcBorders>
            <w:noWrap w:val="0"/>
            <w:vAlign w:val="center"/>
          </w:tcPr>
          <w:p w14:paraId="1AC65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大气压（hPa）</w:t>
            </w:r>
          </w:p>
        </w:tc>
        <w:tc>
          <w:tcPr>
            <w:tcW w:w="1305" w:type="dxa"/>
            <w:tcBorders>
              <w:tl2br w:val="nil"/>
              <w:tr2bl w:val="nil"/>
            </w:tcBorders>
            <w:noWrap w:val="0"/>
            <w:vAlign w:val="center"/>
          </w:tcPr>
          <w:p w14:paraId="0B164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风速（m/s）</w:t>
            </w:r>
          </w:p>
        </w:tc>
        <w:tc>
          <w:tcPr>
            <w:tcW w:w="990" w:type="dxa"/>
            <w:tcBorders>
              <w:tl2br w:val="nil"/>
              <w:tr2bl w:val="nil"/>
            </w:tcBorders>
            <w:noWrap w:val="0"/>
            <w:vAlign w:val="center"/>
          </w:tcPr>
          <w:p w14:paraId="7A778A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湿度（%）</w:t>
            </w:r>
          </w:p>
        </w:tc>
        <w:tc>
          <w:tcPr>
            <w:tcW w:w="675" w:type="dxa"/>
            <w:tcBorders>
              <w:tl2br w:val="nil"/>
              <w:tr2bl w:val="nil"/>
            </w:tcBorders>
            <w:noWrap w:val="0"/>
            <w:vAlign w:val="center"/>
          </w:tcPr>
          <w:p w14:paraId="135CA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风向</w:t>
            </w:r>
          </w:p>
        </w:tc>
        <w:tc>
          <w:tcPr>
            <w:tcW w:w="626" w:type="dxa"/>
            <w:tcBorders>
              <w:tl2br w:val="nil"/>
              <w:tr2bl w:val="nil"/>
            </w:tcBorders>
            <w:noWrap w:val="0"/>
            <w:vAlign w:val="center"/>
          </w:tcPr>
          <w:p w14:paraId="12818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天气</w:t>
            </w:r>
          </w:p>
        </w:tc>
      </w:tr>
      <w:tr w14:paraId="13C7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23A8B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2023年5月16日</w:t>
            </w:r>
          </w:p>
        </w:tc>
        <w:tc>
          <w:tcPr>
            <w:tcW w:w="795" w:type="dxa"/>
            <w:tcBorders>
              <w:tl2br w:val="nil"/>
              <w:tr2bl w:val="nil"/>
            </w:tcBorders>
            <w:noWrap w:val="0"/>
            <w:vAlign w:val="center"/>
          </w:tcPr>
          <w:p w14:paraId="6E46CE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1125" w:type="dxa"/>
            <w:tcBorders>
              <w:tl2br w:val="nil"/>
              <w:tr2bl w:val="nil"/>
            </w:tcBorders>
            <w:noWrap w:val="0"/>
            <w:vAlign w:val="center"/>
          </w:tcPr>
          <w:p w14:paraId="0F3CC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w:t>
            </w:r>
          </w:p>
        </w:tc>
        <w:tc>
          <w:tcPr>
            <w:tcW w:w="1170" w:type="dxa"/>
            <w:tcBorders>
              <w:tl2br w:val="nil"/>
              <w:tr2bl w:val="nil"/>
            </w:tcBorders>
            <w:noWrap w:val="0"/>
            <w:vAlign w:val="center"/>
          </w:tcPr>
          <w:p w14:paraId="429FDA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993.5</w:t>
            </w:r>
          </w:p>
        </w:tc>
        <w:tc>
          <w:tcPr>
            <w:tcW w:w="1305" w:type="dxa"/>
            <w:tcBorders>
              <w:tl2br w:val="nil"/>
              <w:tr2bl w:val="nil"/>
            </w:tcBorders>
            <w:noWrap w:val="0"/>
            <w:vAlign w:val="center"/>
          </w:tcPr>
          <w:p w14:paraId="7347B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90" w:type="dxa"/>
            <w:tcBorders>
              <w:tl2br w:val="nil"/>
              <w:tr2bl w:val="nil"/>
            </w:tcBorders>
            <w:noWrap w:val="0"/>
            <w:vAlign w:val="center"/>
          </w:tcPr>
          <w:p w14:paraId="71AA7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675" w:type="dxa"/>
            <w:tcBorders>
              <w:tl2br w:val="nil"/>
              <w:tr2bl w:val="nil"/>
            </w:tcBorders>
            <w:noWrap w:val="0"/>
            <w:vAlign w:val="center"/>
          </w:tcPr>
          <w:p w14:paraId="652C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626" w:type="dxa"/>
            <w:tcBorders>
              <w:tl2br w:val="nil"/>
              <w:tr2bl w:val="nil"/>
            </w:tcBorders>
            <w:noWrap w:val="0"/>
            <w:vAlign w:val="center"/>
          </w:tcPr>
          <w:p w14:paraId="27C4C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w:t>
            </w:r>
          </w:p>
        </w:tc>
      </w:tr>
      <w:tr w14:paraId="31F5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6D6DC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2023年5月17日</w:t>
            </w:r>
          </w:p>
        </w:tc>
        <w:tc>
          <w:tcPr>
            <w:tcW w:w="795" w:type="dxa"/>
            <w:tcBorders>
              <w:tl2br w:val="nil"/>
              <w:tr2bl w:val="nil"/>
            </w:tcBorders>
            <w:noWrap w:val="0"/>
            <w:vAlign w:val="center"/>
          </w:tcPr>
          <w:p w14:paraId="4888C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125" w:type="dxa"/>
            <w:tcBorders>
              <w:tl2br w:val="nil"/>
              <w:tr2bl w:val="nil"/>
            </w:tcBorders>
            <w:noWrap w:val="0"/>
            <w:vAlign w:val="center"/>
          </w:tcPr>
          <w:p w14:paraId="4C1B3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w:t>
            </w:r>
          </w:p>
        </w:tc>
        <w:tc>
          <w:tcPr>
            <w:tcW w:w="1170" w:type="dxa"/>
            <w:tcBorders>
              <w:tl2br w:val="nil"/>
              <w:tr2bl w:val="nil"/>
            </w:tcBorders>
            <w:noWrap w:val="0"/>
            <w:vAlign w:val="center"/>
          </w:tcPr>
          <w:p w14:paraId="4CCC3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996.6</w:t>
            </w:r>
          </w:p>
        </w:tc>
        <w:tc>
          <w:tcPr>
            <w:tcW w:w="1305" w:type="dxa"/>
            <w:tcBorders>
              <w:tl2br w:val="nil"/>
              <w:tr2bl w:val="nil"/>
            </w:tcBorders>
            <w:noWrap w:val="0"/>
            <w:vAlign w:val="center"/>
          </w:tcPr>
          <w:p w14:paraId="7474C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990" w:type="dxa"/>
            <w:tcBorders>
              <w:tl2br w:val="nil"/>
              <w:tr2bl w:val="nil"/>
            </w:tcBorders>
            <w:noWrap w:val="0"/>
            <w:vAlign w:val="center"/>
          </w:tcPr>
          <w:p w14:paraId="1C9DD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75" w:type="dxa"/>
            <w:tcBorders>
              <w:tl2br w:val="nil"/>
              <w:tr2bl w:val="nil"/>
            </w:tcBorders>
            <w:noWrap w:val="0"/>
            <w:vAlign w:val="center"/>
          </w:tcPr>
          <w:p w14:paraId="102DE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626" w:type="dxa"/>
            <w:tcBorders>
              <w:tl2br w:val="nil"/>
              <w:tr2bl w:val="nil"/>
            </w:tcBorders>
            <w:noWrap w:val="0"/>
            <w:vAlign w:val="center"/>
          </w:tcPr>
          <w:p w14:paraId="6CE6C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w:t>
            </w:r>
          </w:p>
        </w:tc>
      </w:tr>
      <w:tr w14:paraId="5FAE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46902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2023年5月18日</w:t>
            </w:r>
          </w:p>
        </w:tc>
        <w:tc>
          <w:tcPr>
            <w:tcW w:w="795" w:type="dxa"/>
            <w:tcBorders>
              <w:tl2br w:val="nil"/>
              <w:tr2bl w:val="nil"/>
            </w:tcBorders>
            <w:noWrap w:val="0"/>
            <w:vAlign w:val="center"/>
          </w:tcPr>
          <w:p w14:paraId="17E06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1125" w:type="dxa"/>
            <w:tcBorders>
              <w:tl2br w:val="nil"/>
              <w:tr2bl w:val="nil"/>
            </w:tcBorders>
            <w:noWrap w:val="0"/>
            <w:vAlign w:val="center"/>
          </w:tcPr>
          <w:p w14:paraId="21F56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w:t>
            </w:r>
          </w:p>
        </w:tc>
        <w:tc>
          <w:tcPr>
            <w:tcW w:w="1170" w:type="dxa"/>
            <w:tcBorders>
              <w:tl2br w:val="nil"/>
              <w:tr2bl w:val="nil"/>
            </w:tcBorders>
            <w:noWrap w:val="0"/>
            <w:vAlign w:val="center"/>
          </w:tcPr>
          <w:p w14:paraId="42D30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995.7</w:t>
            </w:r>
          </w:p>
        </w:tc>
        <w:tc>
          <w:tcPr>
            <w:tcW w:w="1305" w:type="dxa"/>
            <w:tcBorders>
              <w:tl2br w:val="nil"/>
              <w:tr2bl w:val="nil"/>
            </w:tcBorders>
            <w:noWrap w:val="0"/>
            <w:vAlign w:val="center"/>
          </w:tcPr>
          <w:p w14:paraId="1C1465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90" w:type="dxa"/>
            <w:tcBorders>
              <w:tl2br w:val="nil"/>
              <w:tr2bl w:val="nil"/>
            </w:tcBorders>
            <w:noWrap w:val="0"/>
            <w:vAlign w:val="center"/>
          </w:tcPr>
          <w:p w14:paraId="502FE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675" w:type="dxa"/>
            <w:tcBorders>
              <w:tl2br w:val="nil"/>
              <w:tr2bl w:val="nil"/>
            </w:tcBorders>
            <w:noWrap w:val="0"/>
            <w:vAlign w:val="center"/>
          </w:tcPr>
          <w:p w14:paraId="5779B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626" w:type="dxa"/>
            <w:tcBorders>
              <w:tl2br w:val="nil"/>
              <w:tr2bl w:val="nil"/>
            </w:tcBorders>
            <w:noWrap w:val="0"/>
            <w:vAlign w:val="center"/>
          </w:tcPr>
          <w:p w14:paraId="37383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r>
      <w:tr w14:paraId="58CF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5E8E06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2023年5月19日</w:t>
            </w:r>
          </w:p>
        </w:tc>
        <w:tc>
          <w:tcPr>
            <w:tcW w:w="795" w:type="dxa"/>
            <w:tcBorders>
              <w:tl2br w:val="nil"/>
              <w:tr2bl w:val="nil"/>
            </w:tcBorders>
            <w:noWrap w:val="0"/>
            <w:vAlign w:val="center"/>
          </w:tcPr>
          <w:p w14:paraId="6E43D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1125" w:type="dxa"/>
            <w:tcBorders>
              <w:tl2br w:val="nil"/>
              <w:tr2bl w:val="nil"/>
            </w:tcBorders>
            <w:noWrap w:val="0"/>
            <w:vAlign w:val="center"/>
          </w:tcPr>
          <w:p w14:paraId="1AAB4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w:t>
            </w:r>
          </w:p>
        </w:tc>
        <w:tc>
          <w:tcPr>
            <w:tcW w:w="1170" w:type="dxa"/>
            <w:tcBorders>
              <w:tl2br w:val="nil"/>
              <w:tr2bl w:val="nil"/>
            </w:tcBorders>
            <w:noWrap w:val="0"/>
            <w:vAlign w:val="center"/>
          </w:tcPr>
          <w:p w14:paraId="4F7B9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998.1</w:t>
            </w:r>
          </w:p>
        </w:tc>
        <w:tc>
          <w:tcPr>
            <w:tcW w:w="1305" w:type="dxa"/>
            <w:tcBorders>
              <w:tl2br w:val="nil"/>
              <w:tr2bl w:val="nil"/>
            </w:tcBorders>
            <w:noWrap w:val="0"/>
            <w:vAlign w:val="center"/>
          </w:tcPr>
          <w:p w14:paraId="02D11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90" w:type="dxa"/>
            <w:tcBorders>
              <w:tl2br w:val="nil"/>
              <w:tr2bl w:val="nil"/>
            </w:tcBorders>
            <w:noWrap w:val="0"/>
            <w:vAlign w:val="center"/>
          </w:tcPr>
          <w:p w14:paraId="33128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675" w:type="dxa"/>
            <w:tcBorders>
              <w:tl2br w:val="nil"/>
              <w:tr2bl w:val="nil"/>
            </w:tcBorders>
            <w:noWrap w:val="0"/>
            <w:vAlign w:val="center"/>
          </w:tcPr>
          <w:p w14:paraId="42DCE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626" w:type="dxa"/>
            <w:tcBorders>
              <w:tl2br w:val="nil"/>
              <w:tr2bl w:val="nil"/>
            </w:tcBorders>
            <w:noWrap w:val="0"/>
            <w:vAlign w:val="center"/>
          </w:tcPr>
          <w:p w14:paraId="20419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r>
      <w:tr w14:paraId="3081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57177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2023年5月20日</w:t>
            </w:r>
          </w:p>
        </w:tc>
        <w:tc>
          <w:tcPr>
            <w:tcW w:w="795" w:type="dxa"/>
            <w:tcBorders>
              <w:tl2br w:val="nil"/>
              <w:tr2bl w:val="nil"/>
            </w:tcBorders>
            <w:noWrap w:val="0"/>
            <w:vAlign w:val="center"/>
          </w:tcPr>
          <w:p w14:paraId="64E98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125" w:type="dxa"/>
            <w:tcBorders>
              <w:tl2br w:val="nil"/>
              <w:tr2bl w:val="nil"/>
            </w:tcBorders>
            <w:noWrap w:val="0"/>
            <w:vAlign w:val="center"/>
          </w:tcPr>
          <w:p w14:paraId="1C725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21.9</w:t>
            </w:r>
          </w:p>
        </w:tc>
        <w:tc>
          <w:tcPr>
            <w:tcW w:w="1170" w:type="dxa"/>
            <w:tcBorders>
              <w:tl2br w:val="nil"/>
              <w:tr2bl w:val="nil"/>
            </w:tcBorders>
            <w:noWrap w:val="0"/>
            <w:vAlign w:val="center"/>
          </w:tcPr>
          <w:p w14:paraId="2A9D9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1001.1</w:t>
            </w:r>
          </w:p>
        </w:tc>
        <w:tc>
          <w:tcPr>
            <w:tcW w:w="1305" w:type="dxa"/>
            <w:tcBorders>
              <w:tl2br w:val="nil"/>
              <w:tr2bl w:val="nil"/>
            </w:tcBorders>
            <w:noWrap w:val="0"/>
            <w:vAlign w:val="center"/>
          </w:tcPr>
          <w:p w14:paraId="5CF6A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90" w:type="dxa"/>
            <w:tcBorders>
              <w:tl2br w:val="nil"/>
              <w:tr2bl w:val="nil"/>
            </w:tcBorders>
            <w:noWrap w:val="0"/>
            <w:vAlign w:val="center"/>
          </w:tcPr>
          <w:p w14:paraId="5DB89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675" w:type="dxa"/>
            <w:tcBorders>
              <w:tl2br w:val="nil"/>
              <w:tr2bl w:val="nil"/>
            </w:tcBorders>
            <w:noWrap w:val="0"/>
            <w:vAlign w:val="center"/>
          </w:tcPr>
          <w:p w14:paraId="487DB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626" w:type="dxa"/>
            <w:tcBorders>
              <w:tl2br w:val="nil"/>
              <w:tr2bl w:val="nil"/>
            </w:tcBorders>
            <w:noWrap w:val="0"/>
            <w:vAlign w:val="center"/>
          </w:tcPr>
          <w:p w14:paraId="30961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r>
      <w:tr w14:paraId="51DD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1D4F2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2023年5月21日</w:t>
            </w:r>
          </w:p>
        </w:tc>
        <w:tc>
          <w:tcPr>
            <w:tcW w:w="795" w:type="dxa"/>
            <w:tcBorders>
              <w:tl2br w:val="nil"/>
              <w:tr2bl w:val="nil"/>
            </w:tcBorders>
            <w:noWrap w:val="0"/>
            <w:vAlign w:val="center"/>
          </w:tcPr>
          <w:p w14:paraId="219D8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125" w:type="dxa"/>
            <w:tcBorders>
              <w:tl2br w:val="nil"/>
              <w:tr2bl w:val="nil"/>
            </w:tcBorders>
            <w:noWrap w:val="0"/>
            <w:vAlign w:val="center"/>
          </w:tcPr>
          <w:p w14:paraId="5FF8B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w:t>
            </w:r>
          </w:p>
        </w:tc>
        <w:tc>
          <w:tcPr>
            <w:tcW w:w="1170" w:type="dxa"/>
            <w:tcBorders>
              <w:tl2br w:val="nil"/>
              <w:tr2bl w:val="nil"/>
            </w:tcBorders>
            <w:noWrap w:val="0"/>
            <w:vAlign w:val="center"/>
          </w:tcPr>
          <w:p w14:paraId="1DD67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998.1</w:t>
            </w:r>
          </w:p>
        </w:tc>
        <w:tc>
          <w:tcPr>
            <w:tcW w:w="1305" w:type="dxa"/>
            <w:tcBorders>
              <w:tl2br w:val="nil"/>
              <w:tr2bl w:val="nil"/>
            </w:tcBorders>
            <w:noWrap w:val="0"/>
            <w:vAlign w:val="center"/>
          </w:tcPr>
          <w:p w14:paraId="775AE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90" w:type="dxa"/>
            <w:tcBorders>
              <w:tl2br w:val="nil"/>
              <w:tr2bl w:val="nil"/>
            </w:tcBorders>
            <w:noWrap w:val="0"/>
            <w:vAlign w:val="center"/>
          </w:tcPr>
          <w:p w14:paraId="6D88D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675" w:type="dxa"/>
            <w:tcBorders>
              <w:tl2br w:val="nil"/>
              <w:tr2bl w:val="nil"/>
            </w:tcBorders>
            <w:noWrap w:val="0"/>
            <w:vAlign w:val="center"/>
          </w:tcPr>
          <w:p w14:paraId="0E8FBE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626" w:type="dxa"/>
            <w:tcBorders>
              <w:tl2br w:val="nil"/>
              <w:tr2bl w:val="nil"/>
            </w:tcBorders>
            <w:noWrap w:val="0"/>
            <w:vAlign w:val="center"/>
          </w:tcPr>
          <w:p w14:paraId="6E549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r>
      <w:tr w14:paraId="26F8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dxa"/>
            <w:tcBorders>
              <w:tl2br w:val="nil"/>
              <w:tr2bl w:val="nil"/>
            </w:tcBorders>
            <w:noWrap w:val="0"/>
            <w:vAlign w:val="center"/>
          </w:tcPr>
          <w:p w14:paraId="1C05A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2023年5月22日</w:t>
            </w:r>
          </w:p>
        </w:tc>
        <w:tc>
          <w:tcPr>
            <w:tcW w:w="795" w:type="dxa"/>
            <w:tcBorders>
              <w:tl2br w:val="nil"/>
              <w:tr2bl w:val="nil"/>
            </w:tcBorders>
            <w:noWrap w:val="0"/>
            <w:vAlign w:val="center"/>
          </w:tcPr>
          <w:p w14:paraId="1294D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1125" w:type="dxa"/>
            <w:tcBorders>
              <w:tl2br w:val="nil"/>
              <w:tr2bl w:val="nil"/>
            </w:tcBorders>
            <w:noWrap w:val="0"/>
            <w:vAlign w:val="center"/>
          </w:tcPr>
          <w:p w14:paraId="362E2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22.8</w:t>
            </w:r>
          </w:p>
        </w:tc>
        <w:tc>
          <w:tcPr>
            <w:tcW w:w="1170" w:type="dxa"/>
            <w:tcBorders>
              <w:tl2br w:val="nil"/>
              <w:tr2bl w:val="nil"/>
            </w:tcBorders>
            <w:noWrap w:val="0"/>
            <w:vAlign w:val="center"/>
          </w:tcPr>
          <w:p w14:paraId="41659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997.6</w:t>
            </w:r>
          </w:p>
        </w:tc>
        <w:tc>
          <w:tcPr>
            <w:tcW w:w="1305" w:type="dxa"/>
            <w:tcBorders>
              <w:tl2br w:val="nil"/>
              <w:tr2bl w:val="nil"/>
            </w:tcBorders>
            <w:noWrap w:val="0"/>
            <w:vAlign w:val="center"/>
          </w:tcPr>
          <w:p w14:paraId="35069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990" w:type="dxa"/>
            <w:tcBorders>
              <w:tl2br w:val="nil"/>
              <w:tr2bl w:val="nil"/>
            </w:tcBorders>
            <w:noWrap w:val="0"/>
            <w:vAlign w:val="center"/>
          </w:tcPr>
          <w:p w14:paraId="2516E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675" w:type="dxa"/>
            <w:tcBorders>
              <w:tl2br w:val="nil"/>
              <w:tr2bl w:val="nil"/>
            </w:tcBorders>
            <w:noWrap w:val="0"/>
            <w:vAlign w:val="center"/>
          </w:tcPr>
          <w:p w14:paraId="35D50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626" w:type="dxa"/>
            <w:tcBorders>
              <w:tl2br w:val="nil"/>
              <w:tr2bl w:val="nil"/>
            </w:tcBorders>
            <w:noWrap w:val="0"/>
            <w:vAlign w:val="center"/>
          </w:tcPr>
          <w:p w14:paraId="5854F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r>
    </w:tbl>
    <w:p w14:paraId="53CBF1BF">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kern w:val="0"/>
          <w:sz w:val="24"/>
        </w:rPr>
        <w:t>（3）评价标准</w:t>
      </w:r>
      <w:r>
        <w:rPr>
          <w:rFonts w:hint="default" w:ascii="Times New Roman" w:hAnsi="Times New Roman" w:eastAsia="宋体" w:cs="Times New Roman"/>
          <w:color w:val="auto"/>
          <w:sz w:val="24"/>
        </w:rPr>
        <w:t>：《环境空气质量标准》（GB3095-2012）中的一级标准。</w:t>
      </w:r>
    </w:p>
    <w:p w14:paraId="761A3D35">
      <w:pPr>
        <w:keepNext w:val="0"/>
        <w:keepLines w:val="0"/>
        <w:pageBreakBefore w:val="0"/>
        <w:widowControl w:val="0"/>
        <w:tabs>
          <w:tab w:val="left" w:pos="730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（4）监测结果统计</w:t>
      </w:r>
      <w:r>
        <w:rPr>
          <w:rFonts w:hint="default" w:ascii="Times New Roman" w:hAnsi="Times New Roman" w:eastAsia="宋体" w:cs="Times New Roman"/>
          <w:color w:val="auto"/>
          <w:sz w:val="24"/>
        </w:rPr>
        <w:tab/>
      </w:r>
    </w:p>
    <w:p w14:paraId="7AAE36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环境空气质量现状调查监测结果具体见</w:t>
      </w:r>
      <w:r>
        <w:rPr>
          <w:rFonts w:hint="default" w:ascii="Times New Roman" w:hAnsi="Times New Roman" w:eastAsia="宋体" w:cs="Times New Roman"/>
          <w:color w:val="auto"/>
          <w:sz w:val="24"/>
          <w:lang w:val="en-US" w:eastAsia="zh-CN"/>
        </w:rPr>
        <w:t>下表</w:t>
      </w:r>
      <w:r>
        <w:rPr>
          <w:rFonts w:hint="default" w:ascii="Times New Roman" w:hAnsi="Times New Roman" w:eastAsia="宋体" w:cs="Times New Roman"/>
          <w:color w:val="auto"/>
          <w:sz w:val="24"/>
        </w:rPr>
        <w:t>。</w:t>
      </w:r>
    </w:p>
    <w:p w14:paraId="722E4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w:t>
      </w:r>
      <w:r>
        <w:rPr>
          <w:rFonts w:hint="eastAsia" w:cs="Times New Roman"/>
          <w:b/>
          <w:color w:val="auto"/>
          <w:szCs w:val="21"/>
          <w:lang w:val="en-US" w:eastAsia="zh-CN"/>
        </w:rPr>
        <w:t>5</w:t>
      </w:r>
      <w:r>
        <w:rPr>
          <w:rFonts w:hint="default" w:ascii="Times New Roman" w:hAnsi="Times New Roman" w:eastAsia="宋体" w:cs="Times New Roman"/>
          <w:b/>
          <w:color w:val="auto"/>
          <w:szCs w:val="21"/>
        </w:rPr>
        <w:t>-4  环境空气监测结果统计表（单位：</w:t>
      </w:r>
      <w:r>
        <w:rPr>
          <w:rFonts w:hint="default" w:ascii="Times New Roman" w:hAnsi="Times New Roman" w:eastAsia="宋体" w:cs="Times New Roman"/>
          <w:b/>
          <w:color w:val="auto"/>
          <w:spacing w:val="-10"/>
          <w:kern w:val="44"/>
          <w:szCs w:val="21"/>
        </w:rPr>
        <w:t>mg/m</w:t>
      </w:r>
      <w:r>
        <w:rPr>
          <w:rFonts w:hint="default" w:ascii="Times New Roman" w:hAnsi="Times New Roman" w:eastAsia="宋体" w:cs="Times New Roman"/>
          <w:b/>
          <w:color w:val="auto"/>
          <w:spacing w:val="-10"/>
          <w:kern w:val="44"/>
          <w:szCs w:val="21"/>
          <w:vertAlign w:val="superscript"/>
        </w:rPr>
        <w:t>3</w:t>
      </w:r>
      <w:r>
        <w:rPr>
          <w:rFonts w:hint="default" w:ascii="Times New Roman" w:hAnsi="Times New Roman" w:eastAsia="宋体" w:cs="Times New Roman"/>
          <w:b/>
          <w:color w:val="auto"/>
          <w:szCs w:val="21"/>
        </w:rPr>
        <w:t>）</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97"/>
        <w:gridCol w:w="2398"/>
        <w:gridCol w:w="934"/>
        <w:gridCol w:w="1043"/>
        <w:gridCol w:w="832"/>
      </w:tblGrid>
      <w:tr w14:paraId="3A9F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0" w:type="pct"/>
            <w:noWrap w:val="0"/>
            <w:vAlign w:val="center"/>
          </w:tcPr>
          <w:p w14:paraId="62EF386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监测点位</w:t>
            </w:r>
          </w:p>
        </w:tc>
        <w:tc>
          <w:tcPr>
            <w:tcW w:w="1093" w:type="pct"/>
            <w:tcBorders>
              <w:left w:val="nil"/>
            </w:tcBorders>
            <w:noWrap w:val="0"/>
            <w:vAlign w:val="center"/>
          </w:tcPr>
          <w:p w14:paraId="5613D4CC">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监测日期</w:t>
            </w:r>
          </w:p>
        </w:tc>
        <w:tc>
          <w:tcPr>
            <w:tcW w:w="1458" w:type="pct"/>
            <w:noWrap w:val="0"/>
            <w:vAlign w:val="center"/>
          </w:tcPr>
          <w:p w14:paraId="20E7FC1A">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检测项目</w:t>
            </w:r>
          </w:p>
        </w:tc>
        <w:tc>
          <w:tcPr>
            <w:tcW w:w="568" w:type="pct"/>
            <w:noWrap w:val="0"/>
            <w:vAlign w:val="center"/>
          </w:tcPr>
          <w:p w14:paraId="1147CE3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检测结果</w:t>
            </w:r>
          </w:p>
        </w:tc>
        <w:tc>
          <w:tcPr>
            <w:tcW w:w="634" w:type="pct"/>
            <w:tcBorders>
              <w:right w:val="nil"/>
            </w:tcBorders>
            <w:noWrap w:val="0"/>
            <w:vAlign w:val="center"/>
          </w:tcPr>
          <w:p w14:paraId="45C7170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参考限值</w:t>
            </w:r>
          </w:p>
        </w:tc>
        <w:tc>
          <w:tcPr>
            <w:tcW w:w="504" w:type="pct"/>
            <w:noWrap w:val="0"/>
            <w:vAlign w:val="center"/>
          </w:tcPr>
          <w:p w14:paraId="004C8541">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w:t>
            </w:r>
          </w:p>
        </w:tc>
      </w:tr>
      <w:tr w14:paraId="5E35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3B1B40B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6DDEC08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2023年5月16日</w:t>
            </w:r>
          </w:p>
        </w:tc>
        <w:tc>
          <w:tcPr>
            <w:tcW w:w="1458" w:type="pct"/>
            <w:noWrap w:val="0"/>
            <w:vAlign w:val="center"/>
          </w:tcPr>
          <w:p w14:paraId="70B2580A">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3F77E25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634" w:type="pct"/>
            <w:tcBorders>
              <w:right w:val="nil"/>
            </w:tcBorders>
            <w:noWrap w:val="0"/>
            <w:vAlign w:val="center"/>
          </w:tcPr>
          <w:p w14:paraId="165A2438">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32A5CB2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6B8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2A9E960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36FDA46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2023年5月17日</w:t>
            </w:r>
          </w:p>
        </w:tc>
        <w:tc>
          <w:tcPr>
            <w:tcW w:w="1458" w:type="pct"/>
            <w:noWrap w:val="0"/>
            <w:vAlign w:val="center"/>
          </w:tcPr>
          <w:p w14:paraId="0A4CF2E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3A41C80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634" w:type="pct"/>
            <w:tcBorders>
              <w:right w:val="nil"/>
            </w:tcBorders>
            <w:noWrap w:val="0"/>
            <w:vAlign w:val="center"/>
          </w:tcPr>
          <w:p w14:paraId="2FCB6DE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66411DC7">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77E9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0F8C93B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26017B0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2023年5月18日</w:t>
            </w:r>
          </w:p>
        </w:tc>
        <w:tc>
          <w:tcPr>
            <w:tcW w:w="1458" w:type="pct"/>
            <w:noWrap w:val="0"/>
            <w:vAlign w:val="center"/>
          </w:tcPr>
          <w:p w14:paraId="3E7A539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427FFE4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c>
          <w:tcPr>
            <w:tcW w:w="634" w:type="pct"/>
            <w:tcBorders>
              <w:right w:val="nil"/>
            </w:tcBorders>
            <w:noWrap w:val="0"/>
            <w:vAlign w:val="center"/>
          </w:tcPr>
          <w:p w14:paraId="3E6E9F38">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235921D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0B95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652DEF7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39A3A30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2023年5月19日</w:t>
            </w:r>
          </w:p>
        </w:tc>
        <w:tc>
          <w:tcPr>
            <w:tcW w:w="1458" w:type="pct"/>
            <w:noWrap w:val="0"/>
            <w:vAlign w:val="center"/>
          </w:tcPr>
          <w:p w14:paraId="6D2EBAA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1D19BDE3">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w:t>
            </w:r>
          </w:p>
        </w:tc>
        <w:tc>
          <w:tcPr>
            <w:tcW w:w="634" w:type="pct"/>
            <w:tcBorders>
              <w:right w:val="nil"/>
            </w:tcBorders>
            <w:noWrap w:val="0"/>
            <w:vAlign w:val="center"/>
          </w:tcPr>
          <w:p w14:paraId="02DF58A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4F4BECD7">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56C3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0A9C227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152E79F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2023年5月20日</w:t>
            </w:r>
          </w:p>
        </w:tc>
        <w:tc>
          <w:tcPr>
            <w:tcW w:w="1458" w:type="pct"/>
            <w:noWrap w:val="0"/>
            <w:vAlign w:val="center"/>
          </w:tcPr>
          <w:p w14:paraId="33A3F868">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5BE51783">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w:t>
            </w:r>
          </w:p>
        </w:tc>
        <w:tc>
          <w:tcPr>
            <w:tcW w:w="634" w:type="pct"/>
            <w:tcBorders>
              <w:right w:val="nil"/>
            </w:tcBorders>
            <w:noWrap w:val="0"/>
            <w:vAlign w:val="center"/>
          </w:tcPr>
          <w:p w14:paraId="6011754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39FA957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1A57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533F534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1942A44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2023年5月21日</w:t>
            </w:r>
          </w:p>
        </w:tc>
        <w:tc>
          <w:tcPr>
            <w:tcW w:w="1458" w:type="pct"/>
            <w:noWrap w:val="0"/>
            <w:vAlign w:val="center"/>
          </w:tcPr>
          <w:p w14:paraId="0C48B24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42D558B8">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w:t>
            </w:r>
          </w:p>
        </w:tc>
        <w:tc>
          <w:tcPr>
            <w:tcW w:w="634" w:type="pct"/>
            <w:tcBorders>
              <w:right w:val="nil"/>
            </w:tcBorders>
            <w:noWrap w:val="0"/>
            <w:vAlign w:val="center"/>
          </w:tcPr>
          <w:p w14:paraId="569F7069">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41B89EB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66F5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47BF2B3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w:t>
            </w:r>
          </w:p>
        </w:tc>
        <w:tc>
          <w:tcPr>
            <w:tcW w:w="1093" w:type="pct"/>
            <w:tcBorders>
              <w:left w:val="nil"/>
            </w:tcBorders>
            <w:noWrap w:val="0"/>
            <w:vAlign w:val="center"/>
          </w:tcPr>
          <w:p w14:paraId="4A90478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2023年5月22日</w:t>
            </w:r>
          </w:p>
        </w:tc>
        <w:tc>
          <w:tcPr>
            <w:tcW w:w="1458" w:type="pct"/>
            <w:noWrap w:val="0"/>
            <w:vAlign w:val="center"/>
          </w:tcPr>
          <w:p w14:paraId="003CE63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总悬浮颗粒物（日均值）</w:t>
            </w:r>
          </w:p>
        </w:tc>
        <w:tc>
          <w:tcPr>
            <w:tcW w:w="568" w:type="pct"/>
            <w:noWrap w:val="0"/>
            <w:vAlign w:val="center"/>
          </w:tcPr>
          <w:p w14:paraId="704340B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634" w:type="pct"/>
            <w:tcBorders>
              <w:right w:val="nil"/>
            </w:tcBorders>
            <w:noWrap w:val="0"/>
            <w:vAlign w:val="center"/>
          </w:tcPr>
          <w:p w14:paraId="57825DA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04" w:type="pct"/>
            <w:noWrap w:val="0"/>
            <w:vAlign w:val="center"/>
          </w:tcPr>
          <w:p w14:paraId="515720A5">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ug/m</w:t>
            </w:r>
            <w:r>
              <w:rPr>
                <w:rFonts w:hint="default" w:ascii="Times New Roman" w:hAnsi="Times New Roman" w:eastAsia="宋体" w:cs="Times New Roman"/>
                <w:color w:val="auto"/>
                <w:sz w:val="21"/>
                <w:szCs w:val="21"/>
                <w:vertAlign w:val="superscript"/>
              </w:rPr>
              <w:t>3</w:t>
            </w:r>
          </w:p>
        </w:tc>
      </w:tr>
      <w:tr w14:paraId="3D37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noWrap w:val="0"/>
            <w:vAlign w:val="center"/>
          </w:tcPr>
          <w:p w14:paraId="5F8078A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259" w:type="pct"/>
            <w:gridSpan w:val="5"/>
            <w:tcBorders>
              <w:left w:val="nil"/>
            </w:tcBorders>
            <w:noWrap w:val="0"/>
            <w:vAlign w:val="center"/>
          </w:tcPr>
          <w:p w14:paraId="63DADD4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参考《环境空气质量标准》（GB 3095-2012）表2中二级标准限值</w:t>
            </w:r>
          </w:p>
        </w:tc>
      </w:tr>
    </w:tbl>
    <w:p w14:paraId="18E24BA5">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由表</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-4可见，现状监测期间各大气监测点的TSP监测结果均满足《环境空气质量标准》（GB3095-2012）中的</w:t>
      </w:r>
      <w:r>
        <w:rPr>
          <w:rFonts w:hint="default" w:ascii="Times New Roman" w:hAnsi="Times New Roman" w:eastAsia="宋体" w:cs="Times New Roman"/>
          <w:color w:val="auto"/>
          <w:sz w:val="24"/>
          <w:lang w:val="en-US" w:eastAsia="zh-CN"/>
        </w:rPr>
        <w:t>二</w:t>
      </w:r>
      <w:r>
        <w:rPr>
          <w:rFonts w:hint="default" w:ascii="Times New Roman" w:hAnsi="Times New Roman" w:eastAsia="宋体" w:cs="Times New Roman"/>
          <w:color w:val="auto"/>
          <w:sz w:val="24"/>
        </w:rPr>
        <w:t>级标准要求。</w:t>
      </w:r>
    </w:p>
    <w:p w14:paraId="341A3F54">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bookmarkStart w:id="552" w:name="_Toc4836"/>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.2 地表水环境质量现状调查与评价</w:t>
      </w:r>
      <w:bookmarkEnd w:id="552"/>
    </w:p>
    <w:p w14:paraId="6EA1D339">
      <w:pPr>
        <w:pStyle w:val="38"/>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本项目位于东洞庭湖水域，本项目委托</w:t>
      </w:r>
      <w:r>
        <w:rPr>
          <w:rFonts w:hint="default" w:ascii="Times New Roman" w:hAnsi="Times New Roman" w:eastAsia="宋体" w:cs="Times New Roman"/>
          <w:color w:val="auto"/>
          <w:sz w:val="24"/>
          <w:szCs w:val="24"/>
          <w:lang w:eastAsia="zh-CN"/>
        </w:rPr>
        <w:t>湖南立德正检测有限公司</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日对项目区域地表水环境质量进行监测。</w:t>
      </w:r>
    </w:p>
    <w:p w14:paraId="34B12579">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（1）监测点位：项目所在东洞庭湖水域上游 500m、下游1500m两个监测断面</w:t>
      </w:r>
    </w:p>
    <w:p w14:paraId="524F6453">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（2）监测因子：pH、SS、COD</w:t>
      </w:r>
      <w:r>
        <w:rPr>
          <w:rFonts w:hint="default" w:ascii="Times New Roman" w:hAnsi="Times New Roman" w:eastAsia="宋体" w:cs="Times New Roman"/>
          <w:color w:val="auto"/>
          <w:sz w:val="24"/>
          <w:szCs w:val="24"/>
          <w:vertAlign w:val="subscript"/>
        </w:rPr>
        <w:t>Cr</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、TP、TN、石油类。</w:t>
      </w:r>
    </w:p>
    <w:p w14:paraId="697B458B">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（3）监测时间：202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日，连续监测3 天，每天监测1 次。</w:t>
      </w:r>
    </w:p>
    <w:p w14:paraId="7C4EE759">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snapToGrid w:val="0"/>
          <w:color w:val="auto"/>
          <w:kern w:val="0"/>
          <w:sz w:val="24"/>
          <w:szCs w:val="24"/>
        </w:rPr>
        <w:t>评价标准：</w:t>
      </w:r>
      <w:r>
        <w:rPr>
          <w:rFonts w:hint="default" w:ascii="Times New Roman" w:hAnsi="Times New Roman" w:eastAsia="宋体" w:cs="Times New Roman"/>
          <w:color w:val="auto"/>
          <w:sz w:val="24"/>
          <w:szCs w:val="24"/>
        </w:rPr>
        <w:t>东洞庭湖执行《地表水环境质量标准》（GB3838-2002）中Ⅲ类标准（总磷执行0.068mg/L，SS参照执行《地表水资源质量标准》（SL63-94）三级标准，总氮不作为水质评价指标）</w:t>
      </w:r>
    </w:p>
    <w:p w14:paraId="2A7D369B">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（5）评价方法：单项水质参数评价(标准指数法)</w:t>
      </w:r>
    </w:p>
    <w:p w14:paraId="7E527BE3">
      <w:pPr>
        <w:pStyle w:val="38"/>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项目所在区域地表水监测结果统计与评价见下表。</w:t>
      </w:r>
    </w:p>
    <w:p w14:paraId="4E52E6A3">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-5  地表水水质监测数据统计结果一览表  单位mg/L（pH除外）</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3044"/>
        <w:gridCol w:w="1980"/>
        <w:gridCol w:w="640"/>
        <w:gridCol w:w="886"/>
      </w:tblGrid>
      <w:tr w14:paraId="0791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restart"/>
            <w:noWrap w:val="0"/>
            <w:vAlign w:val="center"/>
          </w:tcPr>
          <w:p w14:paraId="6E3173B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3055" w:type="pct"/>
            <w:gridSpan w:val="2"/>
            <w:noWrap w:val="0"/>
            <w:vAlign w:val="center"/>
          </w:tcPr>
          <w:p w14:paraId="0B7A3BC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监测日期、监测点位及检测结果</w:t>
            </w:r>
          </w:p>
        </w:tc>
        <w:tc>
          <w:tcPr>
            <w:tcW w:w="389" w:type="pct"/>
            <w:vMerge w:val="restart"/>
            <w:noWrap w:val="0"/>
            <w:vAlign w:val="center"/>
          </w:tcPr>
          <w:p w14:paraId="3849EA5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参考限值</w:t>
            </w:r>
          </w:p>
        </w:tc>
        <w:tc>
          <w:tcPr>
            <w:tcW w:w="538" w:type="pct"/>
            <w:vMerge w:val="restart"/>
            <w:noWrap w:val="0"/>
            <w:vAlign w:val="center"/>
          </w:tcPr>
          <w:p w14:paraId="15810FB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14:paraId="17DE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continue"/>
            <w:noWrap w:val="0"/>
            <w:vAlign w:val="center"/>
          </w:tcPr>
          <w:p w14:paraId="319DFAB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3055" w:type="pct"/>
            <w:gridSpan w:val="2"/>
            <w:noWrap w:val="0"/>
            <w:vAlign w:val="center"/>
          </w:tcPr>
          <w:p w14:paraId="57A051B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2023年5月16日</w:t>
            </w:r>
          </w:p>
        </w:tc>
        <w:tc>
          <w:tcPr>
            <w:tcW w:w="389" w:type="pct"/>
            <w:vMerge w:val="continue"/>
            <w:noWrap w:val="0"/>
            <w:vAlign w:val="center"/>
          </w:tcPr>
          <w:p w14:paraId="2D5F028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38" w:type="pct"/>
            <w:vMerge w:val="continue"/>
            <w:noWrap w:val="0"/>
            <w:vAlign w:val="center"/>
          </w:tcPr>
          <w:p w14:paraId="53E36E5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750A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continue"/>
            <w:noWrap w:val="0"/>
            <w:vAlign w:val="center"/>
          </w:tcPr>
          <w:p w14:paraId="55D22B6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851" w:type="pct"/>
            <w:noWrap w:val="0"/>
            <w:vAlign w:val="center"/>
          </w:tcPr>
          <w:p w14:paraId="7E09965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项目上游500m断面</w:t>
            </w:r>
          </w:p>
        </w:tc>
        <w:tc>
          <w:tcPr>
            <w:tcW w:w="1204" w:type="pct"/>
            <w:noWrap w:val="0"/>
            <w:vAlign w:val="center"/>
          </w:tcPr>
          <w:p w14:paraId="62A27E5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项目下游湘江断面</w:t>
            </w:r>
          </w:p>
        </w:tc>
        <w:tc>
          <w:tcPr>
            <w:tcW w:w="389" w:type="pct"/>
            <w:vMerge w:val="continue"/>
            <w:noWrap w:val="0"/>
            <w:vAlign w:val="center"/>
          </w:tcPr>
          <w:p w14:paraId="6D66ABC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38" w:type="pct"/>
            <w:vMerge w:val="continue"/>
            <w:noWrap w:val="0"/>
            <w:vAlign w:val="center"/>
          </w:tcPr>
          <w:p w14:paraId="603D3E4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4949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6513C37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1851" w:type="pct"/>
            <w:noWrap w:val="0"/>
            <w:vAlign w:val="center"/>
          </w:tcPr>
          <w:p w14:paraId="25F1313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204" w:type="pct"/>
            <w:noWrap w:val="0"/>
            <w:vAlign w:val="center"/>
          </w:tcPr>
          <w:p w14:paraId="504CDFC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389" w:type="pct"/>
            <w:noWrap w:val="0"/>
            <w:vAlign w:val="center"/>
          </w:tcPr>
          <w:p w14:paraId="5B0FAE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38" w:type="pct"/>
            <w:noWrap w:val="0"/>
            <w:vAlign w:val="center"/>
          </w:tcPr>
          <w:p w14:paraId="24ADD43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r>
      <w:tr w14:paraId="558B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B36464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851" w:type="pct"/>
            <w:noWrap w:val="0"/>
            <w:vAlign w:val="center"/>
          </w:tcPr>
          <w:p w14:paraId="4A5D396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04" w:type="pct"/>
            <w:noWrap w:val="0"/>
            <w:vAlign w:val="center"/>
          </w:tcPr>
          <w:p w14:paraId="125A3E8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89" w:type="pct"/>
            <w:noWrap w:val="0"/>
            <w:vAlign w:val="center"/>
          </w:tcPr>
          <w:p w14:paraId="69AA80A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38" w:type="pct"/>
            <w:noWrap w:val="0"/>
            <w:vAlign w:val="center"/>
          </w:tcPr>
          <w:p w14:paraId="59B73B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048E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6A6B622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1851" w:type="pct"/>
            <w:noWrap w:val="0"/>
            <w:vAlign w:val="center"/>
          </w:tcPr>
          <w:p w14:paraId="65058E9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204" w:type="pct"/>
            <w:noWrap w:val="0"/>
            <w:vAlign w:val="center"/>
          </w:tcPr>
          <w:p w14:paraId="61DB5BE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.7</w:t>
            </w:r>
          </w:p>
        </w:tc>
        <w:tc>
          <w:tcPr>
            <w:tcW w:w="389" w:type="pct"/>
            <w:noWrap w:val="0"/>
            <w:vAlign w:val="center"/>
          </w:tcPr>
          <w:p w14:paraId="6FD7E40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38" w:type="pct"/>
            <w:noWrap w:val="0"/>
            <w:vAlign w:val="center"/>
          </w:tcPr>
          <w:p w14:paraId="0AA0C8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271E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0A7F8F9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851" w:type="pct"/>
            <w:noWrap w:val="0"/>
            <w:vAlign w:val="center"/>
          </w:tcPr>
          <w:p w14:paraId="1218512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04" w:type="pct"/>
            <w:noWrap w:val="0"/>
            <w:vAlign w:val="center"/>
          </w:tcPr>
          <w:p w14:paraId="65B77B4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89" w:type="pct"/>
            <w:noWrap w:val="0"/>
            <w:vAlign w:val="center"/>
          </w:tcPr>
          <w:p w14:paraId="540E05B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8" w:type="pct"/>
            <w:noWrap w:val="0"/>
            <w:vAlign w:val="center"/>
          </w:tcPr>
          <w:p w14:paraId="2BA67B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75C9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7F9C60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851" w:type="pct"/>
            <w:noWrap w:val="0"/>
            <w:vAlign w:val="center"/>
          </w:tcPr>
          <w:p w14:paraId="04BEE9E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0.081</w:t>
            </w:r>
          </w:p>
        </w:tc>
        <w:tc>
          <w:tcPr>
            <w:tcW w:w="1204" w:type="pct"/>
            <w:noWrap w:val="0"/>
            <w:vAlign w:val="center"/>
          </w:tcPr>
          <w:p w14:paraId="5F58E7E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0.473</w:t>
            </w:r>
          </w:p>
        </w:tc>
        <w:tc>
          <w:tcPr>
            <w:tcW w:w="389" w:type="pct"/>
            <w:noWrap w:val="0"/>
            <w:vAlign w:val="center"/>
          </w:tcPr>
          <w:p w14:paraId="0E11192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38" w:type="pct"/>
            <w:noWrap w:val="0"/>
            <w:vAlign w:val="center"/>
          </w:tcPr>
          <w:p w14:paraId="50C31BB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57AF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182FE5C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851" w:type="pct"/>
            <w:noWrap w:val="0"/>
            <w:vAlign w:val="center"/>
          </w:tcPr>
          <w:p w14:paraId="4D26F8B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204" w:type="pct"/>
            <w:noWrap w:val="0"/>
            <w:vAlign w:val="center"/>
          </w:tcPr>
          <w:p w14:paraId="4D2AD64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389" w:type="pct"/>
            <w:noWrap w:val="0"/>
            <w:vAlign w:val="center"/>
          </w:tcPr>
          <w:p w14:paraId="65E9BD6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05</w:t>
            </w:r>
          </w:p>
        </w:tc>
        <w:tc>
          <w:tcPr>
            <w:tcW w:w="538" w:type="pct"/>
            <w:noWrap w:val="0"/>
            <w:vAlign w:val="center"/>
          </w:tcPr>
          <w:p w14:paraId="69AA3CC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6EA2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013157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851" w:type="pct"/>
            <w:noWrap w:val="0"/>
            <w:vAlign w:val="center"/>
          </w:tcPr>
          <w:p w14:paraId="6674E8A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204" w:type="pct"/>
            <w:noWrap w:val="0"/>
            <w:vAlign w:val="center"/>
          </w:tcPr>
          <w:p w14:paraId="37CFED6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389" w:type="pct"/>
            <w:noWrap w:val="0"/>
            <w:vAlign w:val="center"/>
          </w:tcPr>
          <w:p w14:paraId="40AF4C8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38" w:type="pct"/>
            <w:noWrap w:val="0"/>
            <w:vAlign w:val="center"/>
          </w:tcPr>
          <w:p w14:paraId="306BAEA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7871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156ECEF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3983" w:type="pct"/>
            <w:gridSpan w:val="4"/>
            <w:noWrap w:val="0"/>
            <w:vAlign w:val="center"/>
          </w:tcPr>
          <w:p w14:paraId="6EBE271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参考《地表水环境质量标准》（GB 3838-2002）表1中Ⅲ类标准限值</w:t>
            </w:r>
          </w:p>
        </w:tc>
      </w:tr>
      <w:tr w14:paraId="07C5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restart"/>
            <w:noWrap w:val="0"/>
            <w:vAlign w:val="center"/>
          </w:tcPr>
          <w:p w14:paraId="566C78E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3055" w:type="pct"/>
            <w:gridSpan w:val="2"/>
            <w:noWrap w:val="0"/>
            <w:vAlign w:val="center"/>
          </w:tcPr>
          <w:p w14:paraId="14E0A49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监测日期、监测点位及检测结果</w:t>
            </w:r>
          </w:p>
        </w:tc>
        <w:tc>
          <w:tcPr>
            <w:tcW w:w="389" w:type="pct"/>
            <w:vMerge w:val="restart"/>
            <w:noWrap w:val="0"/>
            <w:vAlign w:val="center"/>
          </w:tcPr>
          <w:p w14:paraId="3C072DE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参考限值</w:t>
            </w:r>
          </w:p>
        </w:tc>
        <w:tc>
          <w:tcPr>
            <w:tcW w:w="538" w:type="pct"/>
            <w:vMerge w:val="restart"/>
            <w:noWrap w:val="0"/>
            <w:vAlign w:val="center"/>
          </w:tcPr>
          <w:p w14:paraId="05E2C97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14:paraId="7ECA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continue"/>
            <w:noWrap w:val="0"/>
            <w:vAlign w:val="center"/>
          </w:tcPr>
          <w:p w14:paraId="44E3390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3055" w:type="pct"/>
            <w:gridSpan w:val="2"/>
            <w:noWrap w:val="0"/>
            <w:vAlign w:val="center"/>
          </w:tcPr>
          <w:p w14:paraId="1A0B915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2023年5月17日</w:t>
            </w:r>
          </w:p>
        </w:tc>
        <w:tc>
          <w:tcPr>
            <w:tcW w:w="389" w:type="pct"/>
            <w:vMerge w:val="continue"/>
            <w:noWrap w:val="0"/>
            <w:vAlign w:val="center"/>
          </w:tcPr>
          <w:p w14:paraId="65583F6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38" w:type="pct"/>
            <w:vMerge w:val="continue"/>
            <w:noWrap w:val="0"/>
            <w:vAlign w:val="center"/>
          </w:tcPr>
          <w:p w14:paraId="2133A61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557C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continue"/>
            <w:noWrap w:val="0"/>
            <w:vAlign w:val="center"/>
          </w:tcPr>
          <w:p w14:paraId="43D6580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851" w:type="pct"/>
            <w:noWrap w:val="0"/>
            <w:vAlign w:val="center"/>
          </w:tcPr>
          <w:p w14:paraId="1B6062E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项目上游500m断面</w:t>
            </w:r>
          </w:p>
        </w:tc>
        <w:tc>
          <w:tcPr>
            <w:tcW w:w="1204" w:type="pct"/>
            <w:noWrap w:val="0"/>
            <w:vAlign w:val="center"/>
          </w:tcPr>
          <w:p w14:paraId="43E23A7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项目下游湘江断面</w:t>
            </w:r>
          </w:p>
        </w:tc>
        <w:tc>
          <w:tcPr>
            <w:tcW w:w="389" w:type="pct"/>
            <w:vMerge w:val="continue"/>
            <w:noWrap w:val="0"/>
            <w:vAlign w:val="center"/>
          </w:tcPr>
          <w:p w14:paraId="0B002F3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38" w:type="pct"/>
            <w:vMerge w:val="continue"/>
            <w:noWrap w:val="0"/>
            <w:vAlign w:val="center"/>
          </w:tcPr>
          <w:p w14:paraId="7AA2417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3552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5B7B19D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1851" w:type="pct"/>
            <w:noWrap w:val="0"/>
            <w:vAlign w:val="center"/>
          </w:tcPr>
          <w:p w14:paraId="0822148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1204" w:type="pct"/>
            <w:noWrap w:val="0"/>
            <w:vAlign w:val="center"/>
          </w:tcPr>
          <w:p w14:paraId="2633879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389" w:type="pct"/>
            <w:noWrap w:val="0"/>
            <w:vAlign w:val="center"/>
          </w:tcPr>
          <w:p w14:paraId="0CF3F69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38" w:type="pct"/>
            <w:noWrap w:val="0"/>
            <w:vAlign w:val="center"/>
          </w:tcPr>
          <w:p w14:paraId="6DA1706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r>
      <w:tr w14:paraId="030C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8BCE34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851" w:type="pct"/>
            <w:noWrap w:val="0"/>
            <w:vAlign w:val="center"/>
          </w:tcPr>
          <w:p w14:paraId="3410506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04" w:type="pct"/>
            <w:noWrap w:val="0"/>
            <w:vAlign w:val="center"/>
          </w:tcPr>
          <w:p w14:paraId="6D59DE2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89" w:type="pct"/>
            <w:noWrap w:val="0"/>
            <w:vAlign w:val="center"/>
          </w:tcPr>
          <w:p w14:paraId="4B7EDD4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38" w:type="pct"/>
            <w:noWrap w:val="0"/>
            <w:vAlign w:val="center"/>
          </w:tcPr>
          <w:p w14:paraId="3ED74FB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1E61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1DC76DA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1851" w:type="pct"/>
            <w:noWrap w:val="0"/>
            <w:vAlign w:val="center"/>
          </w:tcPr>
          <w:p w14:paraId="7A0EB78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204" w:type="pct"/>
            <w:noWrap w:val="0"/>
            <w:vAlign w:val="center"/>
          </w:tcPr>
          <w:p w14:paraId="3605698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p>
        </w:tc>
        <w:tc>
          <w:tcPr>
            <w:tcW w:w="389" w:type="pct"/>
            <w:noWrap w:val="0"/>
            <w:vAlign w:val="center"/>
          </w:tcPr>
          <w:p w14:paraId="66961BB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38" w:type="pct"/>
            <w:noWrap w:val="0"/>
            <w:vAlign w:val="center"/>
          </w:tcPr>
          <w:p w14:paraId="65C6B78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2228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3AD194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851" w:type="pct"/>
            <w:noWrap w:val="0"/>
            <w:vAlign w:val="center"/>
          </w:tcPr>
          <w:p w14:paraId="1C8FFA4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04" w:type="pct"/>
            <w:noWrap w:val="0"/>
            <w:vAlign w:val="center"/>
          </w:tcPr>
          <w:p w14:paraId="392BF26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89" w:type="pct"/>
            <w:noWrap w:val="0"/>
            <w:vAlign w:val="center"/>
          </w:tcPr>
          <w:p w14:paraId="0A215D2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8" w:type="pct"/>
            <w:noWrap w:val="0"/>
            <w:vAlign w:val="center"/>
          </w:tcPr>
          <w:p w14:paraId="4086E52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4E58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7B1133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851" w:type="pct"/>
            <w:noWrap w:val="0"/>
            <w:vAlign w:val="center"/>
          </w:tcPr>
          <w:p w14:paraId="176CB3F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0.076</w:t>
            </w:r>
          </w:p>
        </w:tc>
        <w:tc>
          <w:tcPr>
            <w:tcW w:w="1204" w:type="pct"/>
            <w:noWrap w:val="0"/>
            <w:vAlign w:val="center"/>
          </w:tcPr>
          <w:p w14:paraId="2534940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0.476</w:t>
            </w:r>
          </w:p>
        </w:tc>
        <w:tc>
          <w:tcPr>
            <w:tcW w:w="389" w:type="pct"/>
            <w:noWrap w:val="0"/>
            <w:vAlign w:val="center"/>
          </w:tcPr>
          <w:p w14:paraId="459071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38" w:type="pct"/>
            <w:noWrap w:val="0"/>
            <w:vAlign w:val="center"/>
          </w:tcPr>
          <w:p w14:paraId="205E637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5783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52BD1F9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851" w:type="pct"/>
            <w:noWrap w:val="0"/>
            <w:vAlign w:val="center"/>
          </w:tcPr>
          <w:p w14:paraId="2E15F66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204" w:type="pct"/>
            <w:noWrap w:val="0"/>
            <w:vAlign w:val="center"/>
          </w:tcPr>
          <w:p w14:paraId="52A83C3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389" w:type="pct"/>
            <w:noWrap w:val="0"/>
            <w:vAlign w:val="center"/>
          </w:tcPr>
          <w:p w14:paraId="2C06DDB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05</w:t>
            </w:r>
          </w:p>
        </w:tc>
        <w:tc>
          <w:tcPr>
            <w:tcW w:w="538" w:type="pct"/>
            <w:noWrap w:val="0"/>
            <w:vAlign w:val="center"/>
          </w:tcPr>
          <w:p w14:paraId="1582131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73B3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E34611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851" w:type="pct"/>
            <w:noWrap w:val="0"/>
            <w:vAlign w:val="center"/>
          </w:tcPr>
          <w:p w14:paraId="4D69E74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204" w:type="pct"/>
            <w:noWrap w:val="0"/>
            <w:vAlign w:val="center"/>
          </w:tcPr>
          <w:p w14:paraId="2609CE0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389" w:type="pct"/>
            <w:noWrap w:val="0"/>
            <w:vAlign w:val="center"/>
          </w:tcPr>
          <w:p w14:paraId="5007D32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38" w:type="pct"/>
            <w:noWrap w:val="0"/>
            <w:vAlign w:val="center"/>
          </w:tcPr>
          <w:p w14:paraId="7E4BE21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4DD3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C005F9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3983" w:type="pct"/>
            <w:gridSpan w:val="4"/>
            <w:noWrap w:val="0"/>
            <w:vAlign w:val="center"/>
          </w:tcPr>
          <w:p w14:paraId="55D569D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参考《地表水环境质量标准》（GB 3838-2002）表1中Ⅲ类标准限值</w:t>
            </w:r>
          </w:p>
        </w:tc>
      </w:tr>
      <w:tr w14:paraId="361E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restart"/>
            <w:noWrap w:val="0"/>
            <w:vAlign w:val="center"/>
          </w:tcPr>
          <w:p w14:paraId="3E75BC7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851" w:type="pct"/>
            <w:noWrap w:val="0"/>
            <w:vAlign w:val="center"/>
          </w:tcPr>
          <w:p w14:paraId="00DAD77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监测日期、监测点位及检测结果</w:t>
            </w:r>
          </w:p>
        </w:tc>
        <w:tc>
          <w:tcPr>
            <w:tcW w:w="1204" w:type="pct"/>
            <w:vMerge w:val="restart"/>
            <w:noWrap w:val="0"/>
            <w:vAlign w:val="center"/>
          </w:tcPr>
          <w:p w14:paraId="22963D2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参考限值</w:t>
            </w:r>
          </w:p>
        </w:tc>
        <w:tc>
          <w:tcPr>
            <w:tcW w:w="927" w:type="pct"/>
            <w:gridSpan w:val="2"/>
            <w:vMerge w:val="restart"/>
            <w:noWrap w:val="0"/>
            <w:vAlign w:val="center"/>
          </w:tcPr>
          <w:p w14:paraId="6D0ADC8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14:paraId="35E5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vMerge w:val="continue"/>
            <w:noWrap w:val="0"/>
            <w:vAlign w:val="center"/>
          </w:tcPr>
          <w:p w14:paraId="43E7B12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851" w:type="pct"/>
            <w:noWrap w:val="0"/>
            <w:vAlign w:val="center"/>
          </w:tcPr>
          <w:p w14:paraId="7C22AD0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2023年5月18日</w:t>
            </w:r>
          </w:p>
        </w:tc>
        <w:tc>
          <w:tcPr>
            <w:tcW w:w="1204" w:type="pct"/>
            <w:vMerge w:val="continue"/>
            <w:noWrap w:val="0"/>
            <w:vAlign w:val="center"/>
          </w:tcPr>
          <w:p w14:paraId="04CD5BE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927" w:type="pct"/>
            <w:gridSpan w:val="2"/>
            <w:vMerge w:val="continue"/>
            <w:noWrap w:val="0"/>
            <w:vAlign w:val="center"/>
          </w:tcPr>
          <w:p w14:paraId="70FAD3D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3A5A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6" w:type="pct"/>
            <w:noWrap w:val="0"/>
            <w:vAlign w:val="center"/>
          </w:tcPr>
          <w:p w14:paraId="71528FE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851" w:type="pct"/>
            <w:noWrap w:val="0"/>
            <w:vAlign w:val="center"/>
          </w:tcPr>
          <w:p w14:paraId="2F7AB5E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项目上游500m断面</w:t>
            </w:r>
          </w:p>
        </w:tc>
        <w:tc>
          <w:tcPr>
            <w:tcW w:w="1204" w:type="pct"/>
            <w:noWrap w:val="0"/>
            <w:vAlign w:val="center"/>
          </w:tcPr>
          <w:p w14:paraId="461BA9F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项目下游湘江断面</w:t>
            </w:r>
          </w:p>
        </w:tc>
        <w:tc>
          <w:tcPr>
            <w:tcW w:w="389" w:type="pct"/>
            <w:noWrap w:val="0"/>
            <w:vAlign w:val="center"/>
          </w:tcPr>
          <w:p w14:paraId="1F9CDC2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38" w:type="pct"/>
            <w:noWrap w:val="0"/>
            <w:vAlign w:val="center"/>
          </w:tcPr>
          <w:p w14:paraId="6D8A0F2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2529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742D3FA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1851" w:type="pct"/>
            <w:noWrap w:val="0"/>
            <w:vAlign w:val="center"/>
          </w:tcPr>
          <w:p w14:paraId="0F6B832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204" w:type="pct"/>
            <w:noWrap w:val="0"/>
            <w:vAlign w:val="center"/>
          </w:tcPr>
          <w:p w14:paraId="5C50CD2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389" w:type="pct"/>
            <w:noWrap w:val="0"/>
            <w:vAlign w:val="center"/>
          </w:tcPr>
          <w:p w14:paraId="69AFA91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38" w:type="pct"/>
            <w:noWrap w:val="0"/>
            <w:vAlign w:val="center"/>
          </w:tcPr>
          <w:p w14:paraId="4B0221A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r>
      <w:tr w14:paraId="2668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AD38FA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851" w:type="pct"/>
            <w:noWrap w:val="0"/>
            <w:vAlign w:val="center"/>
          </w:tcPr>
          <w:p w14:paraId="008B333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04" w:type="pct"/>
            <w:noWrap w:val="0"/>
            <w:vAlign w:val="center"/>
          </w:tcPr>
          <w:p w14:paraId="77186D7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89" w:type="pct"/>
            <w:noWrap w:val="0"/>
            <w:vAlign w:val="center"/>
          </w:tcPr>
          <w:p w14:paraId="1D1C467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38" w:type="pct"/>
            <w:noWrap w:val="0"/>
            <w:vAlign w:val="center"/>
          </w:tcPr>
          <w:p w14:paraId="20F1236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482C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6A6253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1851" w:type="pct"/>
            <w:noWrap w:val="0"/>
            <w:vAlign w:val="center"/>
          </w:tcPr>
          <w:p w14:paraId="6ADE5AD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204" w:type="pct"/>
            <w:noWrap w:val="0"/>
            <w:vAlign w:val="center"/>
          </w:tcPr>
          <w:p w14:paraId="40E8A87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389" w:type="pct"/>
            <w:noWrap w:val="0"/>
            <w:vAlign w:val="center"/>
          </w:tcPr>
          <w:p w14:paraId="3EABF04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38" w:type="pct"/>
            <w:noWrap w:val="0"/>
            <w:vAlign w:val="center"/>
          </w:tcPr>
          <w:p w14:paraId="6618063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1FC6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3223832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851" w:type="pct"/>
            <w:noWrap w:val="0"/>
            <w:vAlign w:val="center"/>
          </w:tcPr>
          <w:p w14:paraId="6EC08E3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04" w:type="pct"/>
            <w:noWrap w:val="0"/>
            <w:vAlign w:val="center"/>
          </w:tcPr>
          <w:p w14:paraId="04543CB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9" w:type="pct"/>
            <w:noWrap w:val="0"/>
            <w:vAlign w:val="center"/>
          </w:tcPr>
          <w:p w14:paraId="063C744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8" w:type="pct"/>
            <w:noWrap w:val="0"/>
            <w:vAlign w:val="center"/>
          </w:tcPr>
          <w:p w14:paraId="475CC3B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4538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B6930A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851" w:type="pct"/>
            <w:noWrap w:val="0"/>
            <w:vAlign w:val="center"/>
          </w:tcPr>
          <w:p w14:paraId="2B3E647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w:t>
            </w:r>
          </w:p>
        </w:tc>
        <w:tc>
          <w:tcPr>
            <w:tcW w:w="1204" w:type="pct"/>
            <w:noWrap w:val="0"/>
            <w:vAlign w:val="center"/>
          </w:tcPr>
          <w:p w14:paraId="3FA850E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0.469</w:t>
            </w:r>
          </w:p>
        </w:tc>
        <w:tc>
          <w:tcPr>
            <w:tcW w:w="389" w:type="pct"/>
            <w:noWrap w:val="0"/>
            <w:vAlign w:val="center"/>
          </w:tcPr>
          <w:p w14:paraId="740DA3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38" w:type="pct"/>
            <w:noWrap w:val="0"/>
            <w:vAlign w:val="center"/>
          </w:tcPr>
          <w:p w14:paraId="6328B29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020F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2D24F5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851" w:type="pct"/>
            <w:noWrap w:val="0"/>
            <w:vAlign w:val="center"/>
          </w:tcPr>
          <w:p w14:paraId="2BE0322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1204" w:type="pct"/>
            <w:noWrap w:val="0"/>
            <w:vAlign w:val="center"/>
          </w:tcPr>
          <w:p w14:paraId="3ACC353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389" w:type="pct"/>
            <w:noWrap w:val="0"/>
            <w:vAlign w:val="center"/>
          </w:tcPr>
          <w:p w14:paraId="5CD7B93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05</w:t>
            </w:r>
          </w:p>
        </w:tc>
        <w:tc>
          <w:tcPr>
            <w:tcW w:w="538" w:type="pct"/>
            <w:noWrap w:val="0"/>
            <w:vAlign w:val="center"/>
          </w:tcPr>
          <w:p w14:paraId="6673A1B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4235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222C6CC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851" w:type="pct"/>
            <w:noWrap w:val="0"/>
            <w:vAlign w:val="center"/>
          </w:tcPr>
          <w:p w14:paraId="2DB7AAC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204" w:type="pct"/>
            <w:noWrap w:val="0"/>
            <w:vAlign w:val="center"/>
          </w:tcPr>
          <w:p w14:paraId="5529EED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389" w:type="pct"/>
            <w:noWrap w:val="0"/>
            <w:vAlign w:val="center"/>
          </w:tcPr>
          <w:p w14:paraId="65B3684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38" w:type="pct"/>
            <w:noWrap w:val="0"/>
            <w:vAlign w:val="center"/>
          </w:tcPr>
          <w:p w14:paraId="13A551C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14:paraId="560E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noWrap w:val="0"/>
            <w:vAlign w:val="center"/>
          </w:tcPr>
          <w:p w14:paraId="1E3DD35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3983" w:type="pct"/>
            <w:gridSpan w:val="4"/>
            <w:noWrap w:val="0"/>
            <w:vAlign w:val="center"/>
          </w:tcPr>
          <w:p w14:paraId="54FCEA5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参考《地表水环境质量标准》（GB 3838-2002）表1中Ⅲ类标准限值</w:t>
            </w:r>
          </w:p>
        </w:tc>
      </w:tr>
    </w:tbl>
    <w:p w14:paraId="03D50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由上表可知，项目所在东洞庭湖水域上游500m、下游1500m断面除总磷外其他各监测因子均符合《地表水环境质量标准》（GB3838-2002）中</w:t>
      </w:r>
      <w:r>
        <w:rPr>
          <w:rFonts w:hint="default" w:ascii="Times New Roman" w:hAnsi="Times New Roman" w:eastAsia="宋体" w:cs="Times New Roman"/>
          <w:color w:val="auto"/>
        </w:rPr>
        <w:t>Ⅲ</w:t>
      </w:r>
      <w:r>
        <w:rPr>
          <w:rFonts w:hint="default" w:ascii="Times New Roman" w:hAnsi="Times New Roman" w:eastAsia="宋体" w:cs="Times New Roman"/>
          <w:color w:val="auto"/>
          <w:sz w:val="24"/>
        </w:rPr>
        <w:t>类标准，下游1500m断面总磷超标，超标率为100%，最大超标倍数为</w:t>
      </w:r>
      <w:r>
        <w:rPr>
          <w:rFonts w:hint="default"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w:t>
      </w:r>
    </w:p>
    <w:p w14:paraId="7CA065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根据《岳阳市202</w:t>
      </w:r>
      <w:r>
        <w:rPr>
          <w:rFonts w:hint="eastAsia" w:cs="Times New Roman"/>
          <w:color w:val="auto"/>
          <w:sz w:val="24"/>
          <w:lang w:val="en-US" w:eastAsia="zh-CN"/>
        </w:rPr>
        <w:t>3</w:t>
      </w:r>
      <w:r>
        <w:rPr>
          <w:rFonts w:hint="default" w:ascii="Times New Roman" w:hAnsi="Times New Roman" w:eastAsia="宋体" w:cs="Times New Roman"/>
          <w:color w:val="auto"/>
          <w:sz w:val="24"/>
        </w:rPr>
        <w:t>年度生态环境质量公报》，2023年，岳阳洞庭湖湖体整体水质为轻度污染（Ⅳ类），7个断面均为Ⅳ类水质，超标污染物为总磷。岳阳洞庭湖湖体总体处于中营养水平，7个断面中有5个断面为中营养状态，2个断面为轻度富营养状态。洞庭湖水质综合评价达到考核要求，岳阳洞庭湖总磷浓度均值为0.059mg/l。2023年，岳阳洞庭湖内湖5个控制断面中有4个断面为Ⅲ类水质，1个断面（华容东湖）为Ⅴ类水质。超标污染物为总磷。华容东湖水质综合评价达到考核要求。洞庭湖内湖5个断面中有2个断面属中营养状态， 3个断面为轻度富营养状态。</w:t>
      </w:r>
    </w:p>
    <w:p w14:paraId="572A89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东洞庭湖水质主要超标因子为总磷，但从总磷因子水质监测值变化情况分析，总磷因子呈现逐年稳中有降的趋势，超标率在逐年下降，引起总磷超标原因主要为洞庭湖受上游四水汇水中总磷指标已超出标准要求，岳阳市洞庭湖区入湖水量占比极小，上游入湖水量占总量的90%以上，同时整体洞庭湖区周边生活污水、农业废水、禽畜养殖废水未全面实施截污治理，部分未经合理处理的污水直排入湖污染导致。</w:t>
      </w:r>
    </w:p>
    <w:p w14:paraId="402316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《洞庭湖总磷污染控制与削减攻坚行动计划（2022</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2025年）》、《洞庭湖水环境综合治理规划》等相关文件和规划方案已颁布实施，政府已加强对洞庭湖水域的保护和污染治理，随着相关治理方案、工程等的实施，洞庭湖的主要水质污染的总磷等指标将逐步好转，湖体水环境质量状况有望达到水质管理目标要求。</w:t>
      </w:r>
    </w:p>
    <w:p w14:paraId="66761AB4">
      <w:pPr>
        <w:pStyle w:val="9"/>
        <w:pageBreakBefore w:val="0"/>
        <w:widowControl w:val="0"/>
        <w:kinsoku/>
        <w:wordWrap/>
        <w:overflowPunct/>
        <w:topLinePunct w:val="0"/>
        <w:autoSpaceDE/>
        <w:autoSpaceDN/>
        <w:bidi w:val="0"/>
        <w:snapToGrid/>
        <w:spacing w:before="0" w:after="0" w:line="360" w:lineRule="auto"/>
        <w:textAlignment w:val="auto"/>
        <w:rPr>
          <w:rFonts w:hint="default" w:ascii="Times New Roman" w:hAnsi="Times New Roman" w:eastAsia="宋体" w:cs="Times New Roman"/>
          <w:color w:val="auto"/>
        </w:rPr>
      </w:pPr>
      <w:bookmarkStart w:id="553" w:name="_Toc14050"/>
      <w:r>
        <w:rPr>
          <w:rFonts w:hint="default" w:ascii="Times New Roman" w:hAnsi="Times New Roman" w:eastAsia="宋体" w:cs="Times New Roman"/>
          <w:color w:val="auto"/>
          <w:lang w:val="en-US" w:eastAsia="zh-CN"/>
        </w:rPr>
        <w:t>4.</w:t>
      </w:r>
      <w:r>
        <w:rPr>
          <w:rFonts w:hint="eastAsia" w:cs="Times New Roman"/>
          <w:color w:val="auto"/>
          <w:lang w:val="en-US" w:eastAsia="zh-CN"/>
        </w:rPr>
        <w:t>5</w:t>
      </w:r>
      <w:r>
        <w:rPr>
          <w:rFonts w:hint="default" w:ascii="Times New Roman" w:hAnsi="Times New Roman" w:eastAsia="宋体" w:cs="Times New Roman"/>
          <w:color w:val="auto"/>
        </w:rPr>
        <w:t xml:space="preserve">.3 </w:t>
      </w:r>
      <w:r>
        <w:rPr>
          <w:rFonts w:hint="default" w:ascii="Times New Roman" w:hAnsi="Times New Roman" w:eastAsia="宋体" w:cs="Times New Roman"/>
          <w:color w:val="auto"/>
          <w:lang w:val="en-US" w:eastAsia="zh-CN"/>
        </w:rPr>
        <w:t>底泥</w:t>
      </w:r>
      <w:r>
        <w:rPr>
          <w:rFonts w:hint="default" w:ascii="Times New Roman" w:hAnsi="Times New Roman" w:eastAsia="宋体" w:cs="Times New Roman"/>
          <w:color w:val="auto"/>
        </w:rPr>
        <w:t>质量现状监测与评价</w:t>
      </w:r>
      <w:bookmarkEnd w:id="553"/>
    </w:p>
    <w:p w14:paraId="5B7F0F29">
      <w:pPr>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本项目于202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rPr>
        <w:t>日委托</w:t>
      </w:r>
      <w:r>
        <w:rPr>
          <w:rFonts w:hint="default" w:ascii="Times New Roman" w:hAnsi="Times New Roman" w:eastAsia="宋体" w:cs="Times New Roman"/>
          <w:color w:val="auto"/>
          <w:sz w:val="24"/>
          <w:lang w:eastAsia="zh-CN"/>
        </w:rPr>
        <w:t>湖南立德正检测有限公司</w:t>
      </w:r>
      <w:r>
        <w:rPr>
          <w:rFonts w:hint="default" w:ascii="Times New Roman" w:hAnsi="Times New Roman" w:eastAsia="宋体" w:cs="Times New Roman"/>
          <w:color w:val="auto"/>
          <w:sz w:val="24"/>
        </w:rPr>
        <w:t>对项目所在地底泥进行了现状监测。</w:t>
      </w:r>
    </w:p>
    <w:p w14:paraId="17A42028">
      <w:pPr>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（1）现状监测内容</w:t>
      </w:r>
    </w:p>
    <w:p w14:paraId="4EFAD312">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4.</w:t>
      </w:r>
      <w:r>
        <w:rPr>
          <w:rFonts w:hint="eastAsia" w:cs="Times New Roman"/>
          <w:b/>
          <w:color w:val="auto"/>
          <w:kern w:val="0"/>
          <w:szCs w:val="21"/>
          <w:lang w:val="en-US" w:eastAsia="zh-CN"/>
        </w:rPr>
        <w:t>5</w:t>
      </w:r>
      <w:r>
        <w:rPr>
          <w:rFonts w:hint="default" w:ascii="Times New Roman" w:hAnsi="Times New Roman" w:eastAsia="宋体" w:cs="Times New Roman"/>
          <w:b/>
          <w:color w:val="auto"/>
          <w:kern w:val="0"/>
          <w:szCs w:val="21"/>
        </w:rPr>
        <w:t>-</w:t>
      </w:r>
      <w:r>
        <w:rPr>
          <w:rFonts w:hint="default" w:ascii="Times New Roman" w:hAnsi="Times New Roman" w:eastAsia="宋体" w:cs="Times New Roman"/>
          <w:b/>
          <w:color w:val="auto"/>
          <w:kern w:val="0"/>
          <w:szCs w:val="21"/>
          <w:lang w:val="en-US" w:eastAsia="zh-CN"/>
        </w:rPr>
        <w:t>6</w:t>
      </w:r>
      <w:r>
        <w:rPr>
          <w:rFonts w:hint="default" w:ascii="Times New Roman" w:hAnsi="Times New Roman" w:eastAsia="宋体" w:cs="Times New Roman"/>
          <w:b/>
          <w:color w:val="auto"/>
          <w:kern w:val="0"/>
          <w:szCs w:val="21"/>
        </w:rPr>
        <w:t xml:space="preserve">  底泥现状监测内容</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654"/>
        <w:gridCol w:w="4559"/>
        <w:gridCol w:w="1349"/>
      </w:tblGrid>
      <w:tr w14:paraId="37CE8E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00" w:type="pct"/>
            <w:noWrap w:val="0"/>
            <w:vAlign w:val="center"/>
          </w:tcPr>
          <w:p w14:paraId="60DCEE04">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1006" w:type="pct"/>
            <w:noWrap w:val="0"/>
            <w:vAlign w:val="center"/>
          </w:tcPr>
          <w:p w14:paraId="0F6AABDC">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772" w:type="pct"/>
            <w:noWrap w:val="0"/>
            <w:vAlign w:val="center"/>
          </w:tcPr>
          <w:p w14:paraId="190EFA80">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820" w:type="pct"/>
            <w:noWrap w:val="0"/>
            <w:vAlign w:val="center"/>
          </w:tcPr>
          <w:p w14:paraId="1D51D086">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14:paraId="77EA02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0" w:type="pct"/>
            <w:noWrap w:val="0"/>
            <w:vAlign w:val="center"/>
          </w:tcPr>
          <w:p w14:paraId="0305E72E">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T1</w:t>
            </w:r>
          </w:p>
        </w:tc>
        <w:tc>
          <w:tcPr>
            <w:tcW w:w="1006" w:type="pct"/>
            <w:noWrap w:val="0"/>
            <w:vAlign w:val="center"/>
          </w:tcPr>
          <w:p w14:paraId="7C7974C2">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项目地</w:t>
            </w:r>
          </w:p>
        </w:tc>
        <w:tc>
          <w:tcPr>
            <w:tcW w:w="2772" w:type="pct"/>
            <w:noWrap w:val="0"/>
            <w:vAlign w:val="center"/>
          </w:tcPr>
          <w:p w14:paraId="177146F1">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pH、Pb、Hg、Cd、As、Cr、Cu、Zn、Ni</w:t>
            </w:r>
          </w:p>
        </w:tc>
        <w:tc>
          <w:tcPr>
            <w:tcW w:w="820" w:type="pct"/>
            <w:noWrap w:val="0"/>
            <w:vAlign w:val="center"/>
          </w:tcPr>
          <w:p w14:paraId="0BD4552C">
            <w:pPr>
              <w:pStyle w:val="51"/>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w:t>
            </w:r>
          </w:p>
        </w:tc>
      </w:tr>
    </w:tbl>
    <w:p w14:paraId="5ACF93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（2）评价标准</w:t>
      </w:r>
    </w:p>
    <w:p w14:paraId="0E3289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《土壤环境质量农用地土壤污染风险管控标准（试行）》（GB15618-2018）表1中其他用地筛选值标准。</w:t>
      </w:r>
    </w:p>
    <w:p w14:paraId="35DD1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（3）监测结果统计分析。</w:t>
      </w:r>
    </w:p>
    <w:p w14:paraId="205548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根据监测结果，项目所在地底泥各监测因子均满足《土壤环境质量农用地土壤污染风险管控标准（试行）》（GB15618-2018）表1中其他用地筛选值标准。</w:t>
      </w:r>
    </w:p>
    <w:p w14:paraId="5A6BB27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4.</w:t>
      </w:r>
      <w:r>
        <w:rPr>
          <w:rFonts w:hint="eastAsia" w:cs="Times New Roman"/>
          <w:b/>
          <w:color w:val="auto"/>
          <w:szCs w:val="21"/>
          <w:lang w:val="en-US" w:eastAsia="zh-CN"/>
        </w:rPr>
        <w:t>5</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7</w:t>
      </w:r>
      <w:r>
        <w:rPr>
          <w:rFonts w:hint="default" w:ascii="Times New Roman" w:hAnsi="Times New Roman" w:eastAsia="宋体" w:cs="Times New Roman"/>
          <w:b/>
          <w:color w:val="auto"/>
          <w:szCs w:val="21"/>
        </w:rPr>
        <w:t xml:space="preserve">  </w:t>
      </w:r>
      <w:r>
        <w:rPr>
          <w:rFonts w:hint="default" w:ascii="Times New Roman" w:hAnsi="Times New Roman" w:eastAsia="宋体" w:cs="Times New Roman"/>
          <w:b/>
          <w:color w:val="auto"/>
          <w:szCs w:val="21"/>
          <w:lang w:val="en-US" w:eastAsia="zh-CN"/>
        </w:rPr>
        <w:t>底泥</w:t>
      </w:r>
      <w:r>
        <w:rPr>
          <w:rFonts w:hint="default" w:ascii="Times New Roman" w:hAnsi="Times New Roman" w:eastAsia="宋体" w:cs="Times New Roman"/>
          <w:b/>
          <w:color w:val="auto"/>
          <w:szCs w:val="21"/>
        </w:rPr>
        <w:t>监测点位和监测因子一览表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3244"/>
        <w:gridCol w:w="1414"/>
        <w:gridCol w:w="1444"/>
      </w:tblGrid>
      <w:tr w14:paraId="04CF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88" w:type="pct"/>
            <w:vMerge w:val="restart"/>
            <w:noWrap w:val="0"/>
            <w:vAlign w:val="center"/>
          </w:tcPr>
          <w:p w14:paraId="192A19C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973" w:type="pct"/>
            <w:noWrap w:val="0"/>
            <w:vAlign w:val="center"/>
          </w:tcPr>
          <w:p w14:paraId="34BDB9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监测日期、监测点位及检测结果</w:t>
            </w:r>
          </w:p>
        </w:tc>
        <w:tc>
          <w:tcPr>
            <w:tcW w:w="860" w:type="pct"/>
            <w:vMerge w:val="restart"/>
            <w:noWrap w:val="0"/>
            <w:vAlign w:val="center"/>
          </w:tcPr>
          <w:p w14:paraId="78A1FA5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参考限值</w:t>
            </w:r>
          </w:p>
        </w:tc>
        <w:tc>
          <w:tcPr>
            <w:tcW w:w="877" w:type="pct"/>
            <w:vMerge w:val="restart"/>
            <w:noWrap w:val="0"/>
            <w:vAlign w:val="center"/>
          </w:tcPr>
          <w:p w14:paraId="33E8AB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14:paraId="66D0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88" w:type="pct"/>
            <w:vMerge w:val="continue"/>
            <w:noWrap w:val="0"/>
            <w:vAlign w:val="center"/>
          </w:tcPr>
          <w:p w14:paraId="6E92074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73" w:type="pct"/>
            <w:noWrap w:val="0"/>
            <w:vAlign w:val="center"/>
          </w:tcPr>
          <w:p w14:paraId="6F05389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2023年5月16日</w:t>
            </w:r>
          </w:p>
        </w:tc>
        <w:tc>
          <w:tcPr>
            <w:tcW w:w="860" w:type="pct"/>
            <w:vMerge w:val="continue"/>
            <w:noWrap w:val="0"/>
            <w:vAlign w:val="center"/>
          </w:tcPr>
          <w:p w14:paraId="660BB6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7" w:type="pct"/>
            <w:vMerge w:val="continue"/>
            <w:noWrap w:val="0"/>
            <w:vAlign w:val="center"/>
          </w:tcPr>
          <w:p w14:paraId="096228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2C4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88" w:type="pct"/>
            <w:vMerge w:val="continue"/>
            <w:noWrap w:val="0"/>
            <w:vAlign w:val="center"/>
          </w:tcPr>
          <w:p w14:paraId="6CA140D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73" w:type="pct"/>
            <w:noWrap w:val="0"/>
            <w:vAlign w:val="center"/>
          </w:tcPr>
          <w:p w14:paraId="2B4DA2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底泥</w:t>
            </w:r>
          </w:p>
        </w:tc>
        <w:tc>
          <w:tcPr>
            <w:tcW w:w="860" w:type="pct"/>
            <w:vMerge w:val="continue"/>
            <w:noWrap w:val="0"/>
            <w:vAlign w:val="center"/>
          </w:tcPr>
          <w:p w14:paraId="74BDBAC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7" w:type="pct"/>
            <w:vMerge w:val="continue"/>
            <w:noWrap w:val="0"/>
            <w:vAlign w:val="center"/>
          </w:tcPr>
          <w:p w14:paraId="2F10EE7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5338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735696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1973" w:type="pct"/>
            <w:noWrap w:val="0"/>
            <w:vAlign w:val="center"/>
          </w:tcPr>
          <w:p w14:paraId="1236300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6.43</w:t>
            </w:r>
          </w:p>
        </w:tc>
        <w:tc>
          <w:tcPr>
            <w:tcW w:w="860" w:type="pct"/>
            <w:noWrap w:val="0"/>
            <w:vAlign w:val="center"/>
          </w:tcPr>
          <w:p w14:paraId="3CBB75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77" w:type="pct"/>
            <w:noWrap w:val="0"/>
            <w:vAlign w:val="center"/>
          </w:tcPr>
          <w:p w14:paraId="6BF38A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r>
      <w:tr w14:paraId="37AC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3A3F579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973" w:type="pct"/>
            <w:noWrap w:val="0"/>
            <w:vAlign w:val="center"/>
          </w:tcPr>
          <w:p w14:paraId="17F264B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2.28</w:t>
            </w:r>
          </w:p>
        </w:tc>
        <w:tc>
          <w:tcPr>
            <w:tcW w:w="860" w:type="pct"/>
            <w:noWrap w:val="0"/>
            <w:vAlign w:val="center"/>
          </w:tcPr>
          <w:p w14:paraId="4AF4D2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877" w:type="pct"/>
            <w:noWrap w:val="0"/>
            <w:vAlign w:val="center"/>
          </w:tcPr>
          <w:p w14:paraId="12B9D0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7A3C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577D4B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973" w:type="pct"/>
            <w:noWrap w:val="0"/>
            <w:vAlign w:val="center"/>
          </w:tcPr>
          <w:p w14:paraId="73069D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60" w:type="pct"/>
            <w:noWrap w:val="0"/>
            <w:vAlign w:val="center"/>
          </w:tcPr>
          <w:p w14:paraId="242E3E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877" w:type="pct"/>
            <w:noWrap w:val="0"/>
            <w:vAlign w:val="center"/>
          </w:tcPr>
          <w:p w14:paraId="65112A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1B22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1AA8CC9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973" w:type="pct"/>
            <w:noWrap w:val="0"/>
            <w:vAlign w:val="center"/>
          </w:tcPr>
          <w:p w14:paraId="2A74DC7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0.036</w:t>
            </w:r>
          </w:p>
        </w:tc>
        <w:tc>
          <w:tcPr>
            <w:tcW w:w="860" w:type="pct"/>
            <w:noWrap w:val="0"/>
            <w:vAlign w:val="center"/>
          </w:tcPr>
          <w:p w14:paraId="134849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877" w:type="pct"/>
            <w:noWrap w:val="0"/>
            <w:vAlign w:val="center"/>
          </w:tcPr>
          <w:p w14:paraId="259F6B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4A32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443BE4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973" w:type="pct"/>
            <w:noWrap w:val="0"/>
            <w:vAlign w:val="center"/>
          </w:tcPr>
          <w:p w14:paraId="77D0C7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860" w:type="pct"/>
            <w:noWrap w:val="0"/>
            <w:vAlign w:val="center"/>
          </w:tcPr>
          <w:p w14:paraId="0F51F2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77" w:type="pct"/>
            <w:noWrap w:val="0"/>
            <w:vAlign w:val="center"/>
          </w:tcPr>
          <w:p w14:paraId="326890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59CB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6E0A83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973" w:type="pct"/>
            <w:noWrap w:val="0"/>
            <w:vAlign w:val="center"/>
          </w:tcPr>
          <w:p w14:paraId="7CB1736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860" w:type="pct"/>
            <w:noWrap w:val="0"/>
            <w:vAlign w:val="center"/>
          </w:tcPr>
          <w:p w14:paraId="227B08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877" w:type="pct"/>
            <w:noWrap w:val="0"/>
            <w:vAlign w:val="center"/>
          </w:tcPr>
          <w:p w14:paraId="4E434B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5919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53A13D3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973" w:type="pct"/>
            <w:noWrap w:val="0"/>
            <w:vAlign w:val="center"/>
          </w:tcPr>
          <w:p w14:paraId="084A913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860" w:type="pct"/>
            <w:noWrap w:val="0"/>
            <w:vAlign w:val="center"/>
          </w:tcPr>
          <w:p w14:paraId="6C5F0C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77" w:type="pct"/>
            <w:noWrap w:val="0"/>
            <w:vAlign w:val="center"/>
          </w:tcPr>
          <w:p w14:paraId="6EEFCB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6710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559210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973" w:type="pct"/>
            <w:noWrap w:val="0"/>
            <w:vAlign w:val="center"/>
          </w:tcPr>
          <w:p w14:paraId="0F8D9D0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860" w:type="pct"/>
            <w:noWrap w:val="0"/>
            <w:vAlign w:val="center"/>
          </w:tcPr>
          <w:p w14:paraId="0C83B5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877" w:type="pct"/>
            <w:noWrap w:val="0"/>
            <w:vAlign w:val="center"/>
          </w:tcPr>
          <w:p w14:paraId="313A7C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4570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79C75FB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钴</w:t>
            </w:r>
          </w:p>
        </w:tc>
        <w:tc>
          <w:tcPr>
            <w:tcW w:w="1973" w:type="pct"/>
            <w:noWrap w:val="0"/>
            <w:vAlign w:val="center"/>
          </w:tcPr>
          <w:p w14:paraId="746E9DF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60" w:type="pct"/>
            <w:noWrap w:val="0"/>
            <w:vAlign w:val="center"/>
          </w:tcPr>
          <w:p w14:paraId="1A4152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877" w:type="pct"/>
            <w:noWrap w:val="0"/>
            <w:vAlign w:val="center"/>
          </w:tcPr>
          <w:p w14:paraId="26F4A9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r>
      <w:tr w14:paraId="0C02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noWrap w:val="0"/>
            <w:vAlign w:val="center"/>
          </w:tcPr>
          <w:p w14:paraId="35E26F5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3711" w:type="pct"/>
            <w:gridSpan w:val="3"/>
            <w:noWrap w:val="0"/>
            <w:vAlign w:val="center"/>
          </w:tcPr>
          <w:p w14:paraId="07ECAE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参考《土壤环境质量建设用地土壤污染风险管控标准》</w:t>
            </w:r>
          </w:p>
          <w:p w14:paraId="16C20B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36600-2018）表1和表2中筛选值第二类用地标准限值</w:t>
            </w:r>
          </w:p>
        </w:tc>
      </w:tr>
    </w:tbl>
    <w:p w14:paraId="0F2BE579">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从上表监测结果可知，本项目</w:t>
      </w:r>
      <w:r>
        <w:rPr>
          <w:rFonts w:hint="default" w:ascii="Times New Roman" w:hAnsi="Times New Roman" w:eastAsia="宋体" w:cs="Times New Roman"/>
          <w:snapToGrid w:val="0"/>
          <w:color w:val="auto"/>
          <w:kern w:val="0"/>
          <w:sz w:val="24"/>
          <w:lang w:eastAsia="zh-CN"/>
        </w:rPr>
        <w:t>湘江</w:t>
      </w:r>
      <w:r>
        <w:rPr>
          <w:rFonts w:hint="default" w:ascii="Times New Roman" w:hAnsi="Times New Roman" w:eastAsia="宋体" w:cs="Times New Roman"/>
          <w:snapToGrid w:val="0"/>
          <w:color w:val="auto"/>
          <w:kern w:val="0"/>
          <w:sz w:val="24"/>
        </w:rPr>
        <w:t>段底泥各项监测因子均可以满足《土壤环境质量 农用地土壤污染风险管控标准（试行）》（GB15618-2018）表1风险筛选值。</w:t>
      </w:r>
    </w:p>
    <w:p w14:paraId="5E31A416">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554" w:name="_Toc32118"/>
      <w:r>
        <w:rPr>
          <w:rFonts w:hint="default" w:ascii="Times New Roman" w:hAnsi="Times New Roman" w:eastAsia="宋体" w:cs="Times New Roman"/>
          <w:color w:val="auto"/>
          <w:lang w:val="en-US" w:eastAsia="zh-CN"/>
        </w:rPr>
        <w:t>4.</w:t>
      </w:r>
      <w:r>
        <w:rPr>
          <w:rFonts w:hint="eastAsia" w:cs="Times New Roman"/>
          <w:color w:val="auto"/>
          <w:lang w:val="en-US" w:eastAsia="zh-CN"/>
        </w:rPr>
        <w:t>5</w:t>
      </w:r>
      <w:r>
        <w:rPr>
          <w:rFonts w:hint="default" w:ascii="Times New Roman" w:hAnsi="Times New Roman" w:eastAsia="宋体" w:cs="Times New Roman"/>
          <w:color w:val="auto"/>
        </w:rPr>
        <w:t>.4 声环境质量现状监测与评价</w:t>
      </w:r>
      <w:bookmarkEnd w:id="554"/>
    </w:p>
    <w:p w14:paraId="26DF318F">
      <w:pPr>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为了解项目所在区域内的声环境质量现状，本项目委托</w:t>
      </w:r>
      <w:r>
        <w:rPr>
          <w:rFonts w:hint="default" w:ascii="Times New Roman" w:hAnsi="Times New Roman" w:eastAsia="宋体" w:cs="Times New Roman"/>
          <w:snapToGrid w:val="0"/>
          <w:color w:val="auto"/>
          <w:kern w:val="0"/>
          <w:sz w:val="24"/>
          <w:lang w:eastAsia="zh-CN"/>
        </w:rPr>
        <w:t>湖南立德正检测有限公司</w:t>
      </w:r>
      <w:r>
        <w:rPr>
          <w:rFonts w:hint="default" w:ascii="Times New Roman" w:hAnsi="Times New Roman" w:eastAsia="宋体" w:cs="Times New Roman"/>
          <w:snapToGrid w:val="0"/>
          <w:color w:val="auto"/>
          <w:kern w:val="0"/>
          <w:sz w:val="24"/>
        </w:rPr>
        <w:t>于202</w:t>
      </w:r>
      <w:r>
        <w:rPr>
          <w:rFonts w:hint="default" w:ascii="Times New Roman" w:hAnsi="Times New Roman" w:eastAsia="宋体" w:cs="Times New Roman"/>
          <w:snapToGrid w:val="0"/>
          <w:color w:val="auto"/>
          <w:kern w:val="0"/>
          <w:sz w:val="24"/>
          <w:lang w:val="en-US" w:eastAsia="zh-CN"/>
        </w:rPr>
        <w:t>3</w:t>
      </w:r>
      <w:r>
        <w:rPr>
          <w:rFonts w:hint="default" w:ascii="Times New Roman" w:hAnsi="Times New Roman" w:eastAsia="宋体" w:cs="Times New Roman"/>
          <w:snapToGrid w:val="0"/>
          <w:color w:val="auto"/>
          <w:kern w:val="0"/>
          <w:sz w:val="24"/>
        </w:rPr>
        <w:t>年</w:t>
      </w:r>
      <w:r>
        <w:rPr>
          <w:rFonts w:hint="default" w:ascii="Times New Roman" w:hAnsi="Times New Roman" w:eastAsia="宋体" w:cs="Times New Roman"/>
          <w:snapToGrid w:val="0"/>
          <w:color w:val="auto"/>
          <w:kern w:val="0"/>
          <w:sz w:val="24"/>
          <w:lang w:val="en-US" w:eastAsia="zh-CN"/>
        </w:rPr>
        <w:t>5</w:t>
      </w:r>
      <w:r>
        <w:rPr>
          <w:rFonts w:hint="default" w:ascii="Times New Roman" w:hAnsi="Times New Roman" w:eastAsia="宋体" w:cs="Times New Roman"/>
          <w:snapToGrid w:val="0"/>
          <w:color w:val="auto"/>
          <w:kern w:val="0"/>
          <w:sz w:val="24"/>
        </w:rPr>
        <w:t>月</w:t>
      </w:r>
      <w:r>
        <w:rPr>
          <w:rFonts w:hint="default" w:ascii="Times New Roman" w:hAnsi="Times New Roman" w:eastAsia="宋体" w:cs="Times New Roman"/>
          <w:snapToGrid w:val="0"/>
          <w:color w:val="auto"/>
          <w:kern w:val="0"/>
          <w:sz w:val="24"/>
          <w:lang w:val="en-US" w:eastAsia="zh-CN"/>
        </w:rPr>
        <w:t>16</w:t>
      </w:r>
      <w:r>
        <w:rPr>
          <w:rFonts w:hint="default" w:ascii="Times New Roman" w:hAnsi="Times New Roman" w:eastAsia="宋体" w:cs="Times New Roman"/>
          <w:snapToGrid w:val="0"/>
          <w:color w:val="auto"/>
          <w:kern w:val="0"/>
          <w:sz w:val="24"/>
        </w:rPr>
        <w:t>日~</w:t>
      </w:r>
      <w:r>
        <w:rPr>
          <w:rFonts w:hint="default" w:ascii="Times New Roman" w:hAnsi="Times New Roman" w:eastAsia="宋体" w:cs="Times New Roman"/>
          <w:snapToGrid w:val="0"/>
          <w:color w:val="auto"/>
          <w:kern w:val="0"/>
          <w:sz w:val="24"/>
          <w:lang w:val="en-US" w:eastAsia="zh-CN"/>
        </w:rPr>
        <w:t>17</w:t>
      </w:r>
      <w:r>
        <w:rPr>
          <w:rFonts w:hint="default" w:ascii="Times New Roman" w:hAnsi="Times New Roman" w:eastAsia="宋体" w:cs="Times New Roman"/>
          <w:snapToGrid w:val="0"/>
          <w:color w:val="auto"/>
          <w:kern w:val="0"/>
          <w:sz w:val="24"/>
        </w:rPr>
        <w:t>日对项目地声环境质量现状进行监测。</w:t>
      </w:r>
    </w:p>
    <w:p w14:paraId="43C58736">
      <w:pPr>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（1）监测布点：项目场界四界共布设</w:t>
      </w:r>
      <w:r>
        <w:rPr>
          <w:rFonts w:hint="default" w:ascii="Times New Roman" w:hAnsi="Times New Roman" w:eastAsia="宋体" w:cs="Times New Roman"/>
          <w:snapToGrid w:val="0"/>
          <w:color w:val="auto"/>
          <w:kern w:val="0"/>
          <w:sz w:val="24"/>
          <w:lang w:val="en-US" w:eastAsia="zh-CN"/>
        </w:rPr>
        <w:t>4</w:t>
      </w:r>
      <w:r>
        <w:rPr>
          <w:rFonts w:hint="default" w:ascii="Times New Roman" w:hAnsi="Times New Roman" w:eastAsia="宋体" w:cs="Times New Roman"/>
          <w:snapToGrid w:val="0"/>
          <w:color w:val="auto"/>
          <w:kern w:val="0"/>
          <w:sz w:val="24"/>
        </w:rPr>
        <w:t>个点，</w:t>
      </w:r>
      <w:r>
        <w:rPr>
          <w:rFonts w:hint="default" w:ascii="Times New Roman" w:hAnsi="Times New Roman" w:eastAsia="宋体" w:cs="Times New Roman"/>
          <w:snapToGrid w:val="0"/>
          <w:color w:val="auto"/>
          <w:kern w:val="0"/>
          <w:sz w:val="24"/>
          <w:lang w:val="en-US" w:eastAsia="zh-CN"/>
        </w:rPr>
        <w:t>分别位于码头东侧、码头东南侧、码头北侧，码头</w:t>
      </w:r>
      <w:r>
        <w:rPr>
          <w:rFonts w:hint="default" w:ascii="Times New Roman" w:hAnsi="Times New Roman" w:eastAsia="宋体" w:cs="Times New Roman"/>
          <w:snapToGrid w:val="0"/>
          <w:color w:val="auto"/>
          <w:kern w:val="0"/>
          <w:sz w:val="24"/>
        </w:rPr>
        <w:t>。</w:t>
      </w:r>
    </w:p>
    <w:p w14:paraId="0CAEE72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（2）监测因子：昼间等效A 声级（L</w:t>
      </w:r>
      <w:r>
        <w:rPr>
          <w:rFonts w:hint="default" w:ascii="Times New Roman" w:hAnsi="Times New Roman" w:eastAsia="宋体" w:cs="Times New Roman"/>
          <w:snapToGrid w:val="0"/>
          <w:color w:val="auto"/>
          <w:kern w:val="0"/>
          <w:sz w:val="24"/>
          <w:vertAlign w:val="subscript"/>
        </w:rPr>
        <w:t>d</w:t>
      </w:r>
      <w:r>
        <w:rPr>
          <w:rFonts w:hint="default" w:ascii="Times New Roman" w:hAnsi="Times New Roman" w:eastAsia="宋体" w:cs="Times New Roman"/>
          <w:snapToGrid w:val="0"/>
          <w:color w:val="auto"/>
          <w:kern w:val="0"/>
          <w:sz w:val="24"/>
        </w:rPr>
        <w:t>）、夜间等效A 声级（L</w:t>
      </w:r>
      <w:r>
        <w:rPr>
          <w:rFonts w:hint="default" w:ascii="Times New Roman" w:hAnsi="Times New Roman" w:eastAsia="宋体" w:cs="Times New Roman"/>
          <w:snapToGrid w:val="0"/>
          <w:color w:val="auto"/>
          <w:kern w:val="0"/>
          <w:sz w:val="24"/>
          <w:vertAlign w:val="subscript"/>
        </w:rPr>
        <w:t>n</w:t>
      </w:r>
      <w:r>
        <w:rPr>
          <w:rFonts w:hint="default" w:ascii="Times New Roman" w:hAnsi="Times New Roman" w:eastAsia="宋体" w:cs="Times New Roman"/>
          <w:snapToGrid w:val="0"/>
          <w:color w:val="auto"/>
          <w:kern w:val="0"/>
          <w:sz w:val="24"/>
        </w:rPr>
        <w:t>）</w:t>
      </w:r>
    </w:p>
    <w:p w14:paraId="00275BA4">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4.</w:t>
      </w:r>
      <w:r>
        <w:rPr>
          <w:rFonts w:hint="eastAsia" w:cs="Times New Roman"/>
          <w:b/>
          <w:color w:val="auto"/>
          <w:kern w:val="0"/>
          <w:szCs w:val="21"/>
          <w:lang w:val="en-US" w:eastAsia="zh-CN"/>
        </w:rPr>
        <w:t>5</w:t>
      </w:r>
      <w:r>
        <w:rPr>
          <w:rFonts w:hint="default" w:ascii="Times New Roman" w:hAnsi="Times New Roman" w:eastAsia="宋体" w:cs="Times New Roman"/>
          <w:b/>
          <w:color w:val="auto"/>
          <w:kern w:val="0"/>
          <w:szCs w:val="21"/>
        </w:rPr>
        <w:t xml:space="preserve">-8  声环境质量现状监测统计与评价结果   </w:t>
      </w:r>
      <w:r>
        <w:rPr>
          <w:rFonts w:hint="default" w:ascii="Times New Roman" w:hAnsi="Times New Roman" w:eastAsia="宋体" w:cs="Times New Roman"/>
          <w:b/>
          <w:color w:val="auto"/>
          <w:szCs w:val="21"/>
        </w:rPr>
        <w:t>单位：dB(A)</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867"/>
        <w:gridCol w:w="1550"/>
        <w:gridCol w:w="1817"/>
        <w:gridCol w:w="1183"/>
        <w:gridCol w:w="867"/>
        <w:gridCol w:w="885"/>
      </w:tblGrid>
      <w:tr w14:paraId="5CF2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restart"/>
            <w:noWrap w:val="0"/>
            <w:vAlign w:val="center"/>
          </w:tcPr>
          <w:p w14:paraId="37C2DE1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监测日期</w:t>
            </w:r>
          </w:p>
        </w:tc>
        <w:tc>
          <w:tcPr>
            <w:tcW w:w="527" w:type="pct"/>
            <w:vMerge w:val="restart"/>
            <w:noWrap w:val="0"/>
            <w:vAlign w:val="center"/>
          </w:tcPr>
          <w:p w14:paraId="3527849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频次</w:t>
            </w:r>
          </w:p>
        </w:tc>
        <w:tc>
          <w:tcPr>
            <w:tcW w:w="3295" w:type="pct"/>
            <w:gridSpan w:val="4"/>
            <w:tcBorders>
              <w:right w:val="nil"/>
            </w:tcBorders>
            <w:noWrap w:val="0"/>
            <w:vAlign w:val="center"/>
          </w:tcPr>
          <w:p w14:paraId="47BBFE0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监测点位及检测结果</w:t>
            </w:r>
          </w:p>
        </w:tc>
        <w:tc>
          <w:tcPr>
            <w:tcW w:w="538" w:type="pct"/>
            <w:vMerge w:val="restart"/>
            <w:noWrap w:val="0"/>
            <w:vAlign w:val="center"/>
          </w:tcPr>
          <w:p w14:paraId="55C3EEB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单位</w:t>
            </w:r>
          </w:p>
        </w:tc>
      </w:tr>
      <w:tr w14:paraId="635F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noWrap w:val="0"/>
            <w:vAlign w:val="center"/>
          </w:tcPr>
          <w:p w14:paraId="137D60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527" w:type="pct"/>
            <w:vMerge w:val="continue"/>
            <w:noWrap w:val="0"/>
            <w:vAlign w:val="center"/>
          </w:tcPr>
          <w:p w14:paraId="026E2F0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942" w:type="pct"/>
            <w:noWrap w:val="0"/>
            <w:vAlign w:val="center"/>
          </w:tcPr>
          <w:p w14:paraId="74493EE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项目边界东侧43m居民点 N1</w:t>
            </w:r>
          </w:p>
        </w:tc>
        <w:tc>
          <w:tcPr>
            <w:tcW w:w="1105" w:type="pct"/>
            <w:noWrap w:val="0"/>
            <w:vAlign w:val="center"/>
          </w:tcPr>
          <w:p w14:paraId="59EF448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项目边界东南侧120m居民点 N2</w:t>
            </w:r>
          </w:p>
        </w:tc>
        <w:tc>
          <w:tcPr>
            <w:tcW w:w="719" w:type="pct"/>
            <w:noWrap w:val="0"/>
            <w:vAlign w:val="center"/>
          </w:tcPr>
          <w:p w14:paraId="56A32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项目北侧边界N3</w:t>
            </w:r>
          </w:p>
        </w:tc>
        <w:tc>
          <w:tcPr>
            <w:tcW w:w="527" w:type="pct"/>
            <w:tcBorders>
              <w:right w:val="nil"/>
            </w:tcBorders>
            <w:noWrap w:val="0"/>
            <w:vAlign w:val="center"/>
          </w:tcPr>
          <w:p w14:paraId="5FE5160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现有码头N4</w:t>
            </w:r>
          </w:p>
        </w:tc>
        <w:tc>
          <w:tcPr>
            <w:tcW w:w="538" w:type="pct"/>
            <w:vMerge w:val="continue"/>
            <w:noWrap w:val="0"/>
            <w:vAlign w:val="center"/>
          </w:tcPr>
          <w:p w14:paraId="3D0A23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p>
        </w:tc>
      </w:tr>
      <w:tr w14:paraId="7C04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restart"/>
            <w:noWrap w:val="0"/>
            <w:vAlign w:val="center"/>
          </w:tcPr>
          <w:p w14:paraId="0BF253A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2023年5月16日</w:t>
            </w:r>
          </w:p>
        </w:tc>
        <w:tc>
          <w:tcPr>
            <w:tcW w:w="527" w:type="pct"/>
            <w:noWrap w:val="0"/>
            <w:vAlign w:val="center"/>
          </w:tcPr>
          <w:p w14:paraId="5E08F1B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昼间</w:t>
            </w:r>
          </w:p>
        </w:tc>
        <w:tc>
          <w:tcPr>
            <w:tcW w:w="942" w:type="pct"/>
            <w:noWrap w:val="0"/>
            <w:vAlign w:val="center"/>
          </w:tcPr>
          <w:p w14:paraId="75C6862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56.1</w:t>
            </w:r>
          </w:p>
        </w:tc>
        <w:tc>
          <w:tcPr>
            <w:tcW w:w="1105" w:type="pct"/>
            <w:noWrap w:val="0"/>
            <w:vAlign w:val="center"/>
          </w:tcPr>
          <w:p w14:paraId="696064A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51.1</w:t>
            </w:r>
          </w:p>
        </w:tc>
        <w:tc>
          <w:tcPr>
            <w:tcW w:w="719" w:type="pct"/>
            <w:noWrap w:val="0"/>
            <w:vAlign w:val="center"/>
          </w:tcPr>
          <w:p w14:paraId="0E402F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53.7</w:t>
            </w:r>
          </w:p>
        </w:tc>
        <w:tc>
          <w:tcPr>
            <w:tcW w:w="527" w:type="pct"/>
            <w:tcBorders>
              <w:right w:val="nil"/>
            </w:tcBorders>
            <w:noWrap w:val="0"/>
            <w:vAlign w:val="center"/>
          </w:tcPr>
          <w:p w14:paraId="4F03EAE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54.7</w:t>
            </w:r>
          </w:p>
        </w:tc>
        <w:tc>
          <w:tcPr>
            <w:tcW w:w="538" w:type="pct"/>
            <w:noWrap w:val="0"/>
            <w:vAlign w:val="center"/>
          </w:tcPr>
          <w:p w14:paraId="35350B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dB（A）</w:t>
            </w:r>
          </w:p>
        </w:tc>
      </w:tr>
      <w:tr w14:paraId="3EAC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Merge w:val="continue"/>
            <w:noWrap w:val="0"/>
            <w:vAlign w:val="center"/>
          </w:tcPr>
          <w:p w14:paraId="459BA7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527" w:type="pct"/>
            <w:noWrap w:val="0"/>
            <w:vAlign w:val="center"/>
          </w:tcPr>
          <w:p w14:paraId="320914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夜间</w:t>
            </w:r>
          </w:p>
        </w:tc>
        <w:tc>
          <w:tcPr>
            <w:tcW w:w="942" w:type="pct"/>
            <w:noWrap w:val="0"/>
            <w:vAlign w:val="center"/>
          </w:tcPr>
          <w:p w14:paraId="38E092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43.5</w:t>
            </w:r>
          </w:p>
        </w:tc>
        <w:tc>
          <w:tcPr>
            <w:tcW w:w="1105" w:type="pct"/>
            <w:noWrap w:val="0"/>
            <w:vAlign w:val="center"/>
          </w:tcPr>
          <w:p w14:paraId="0A0606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48.3</w:t>
            </w:r>
          </w:p>
        </w:tc>
        <w:tc>
          <w:tcPr>
            <w:tcW w:w="719" w:type="pct"/>
            <w:noWrap w:val="0"/>
            <w:vAlign w:val="center"/>
          </w:tcPr>
          <w:p w14:paraId="1479CF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44.4</w:t>
            </w:r>
          </w:p>
        </w:tc>
        <w:tc>
          <w:tcPr>
            <w:tcW w:w="527" w:type="pct"/>
            <w:tcBorders>
              <w:right w:val="nil"/>
            </w:tcBorders>
            <w:noWrap w:val="0"/>
            <w:vAlign w:val="center"/>
          </w:tcPr>
          <w:p w14:paraId="100BC5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45.6</w:t>
            </w:r>
          </w:p>
        </w:tc>
        <w:tc>
          <w:tcPr>
            <w:tcW w:w="538" w:type="pct"/>
            <w:noWrap w:val="0"/>
            <w:vAlign w:val="center"/>
          </w:tcPr>
          <w:p w14:paraId="16F3450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dB（A）</w:t>
            </w:r>
          </w:p>
        </w:tc>
      </w:tr>
      <w:tr w14:paraId="2257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39" w:type="pct"/>
            <w:vMerge w:val="restart"/>
            <w:noWrap w:val="0"/>
            <w:vAlign w:val="center"/>
          </w:tcPr>
          <w:p w14:paraId="083AF3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2023年5月17日</w:t>
            </w:r>
          </w:p>
        </w:tc>
        <w:tc>
          <w:tcPr>
            <w:tcW w:w="527" w:type="pct"/>
            <w:noWrap w:val="0"/>
            <w:vAlign w:val="center"/>
          </w:tcPr>
          <w:p w14:paraId="71A3EF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昼间</w:t>
            </w:r>
          </w:p>
        </w:tc>
        <w:tc>
          <w:tcPr>
            <w:tcW w:w="942" w:type="pct"/>
            <w:noWrap w:val="0"/>
            <w:vAlign w:val="center"/>
          </w:tcPr>
          <w:p w14:paraId="41F78FB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52.7</w:t>
            </w:r>
          </w:p>
        </w:tc>
        <w:tc>
          <w:tcPr>
            <w:tcW w:w="1105" w:type="pct"/>
            <w:noWrap w:val="0"/>
            <w:vAlign w:val="center"/>
          </w:tcPr>
          <w:p w14:paraId="1BA3B3F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53.4</w:t>
            </w:r>
          </w:p>
        </w:tc>
        <w:tc>
          <w:tcPr>
            <w:tcW w:w="719" w:type="pct"/>
            <w:noWrap w:val="0"/>
            <w:vAlign w:val="center"/>
          </w:tcPr>
          <w:p w14:paraId="308640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54.2</w:t>
            </w:r>
          </w:p>
        </w:tc>
        <w:tc>
          <w:tcPr>
            <w:tcW w:w="527" w:type="pct"/>
            <w:tcBorders>
              <w:right w:val="nil"/>
            </w:tcBorders>
            <w:noWrap w:val="0"/>
            <w:vAlign w:val="center"/>
          </w:tcPr>
          <w:p w14:paraId="4C6035A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57.1</w:t>
            </w:r>
          </w:p>
        </w:tc>
        <w:tc>
          <w:tcPr>
            <w:tcW w:w="538" w:type="pct"/>
            <w:noWrap w:val="0"/>
            <w:vAlign w:val="center"/>
          </w:tcPr>
          <w:p w14:paraId="5181DDB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dB（A）</w:t>
            </w:r>
          </w:p>
        </w:tc>
      </w:tr>
      <w:tr w14:paraId="7510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noWrap w:val="0"/>
            <w:vAlign w:val="center"/>
          </w:tcPr>
          <w:p w14:paraId="737B95F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527" w:type="pct"/>
            <w:noWrap w:val="0"/>
            <w:vAlign w:val="center"/>
          </w:tcPr>
          <w:p w14:paraId="3567B6D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夜间</w:t>
            </w:r>
          </w:p>
        </w:tc>
        <w:tc>
          <w:tcPr>
            <w:tcW w:w="942" w:type="pct"/>
            <w:noWrap w:val="0"/>
            <w:vAlign w:val="center"/>
          </w:tcPr>
          <w:p w14:paraId="26E6D68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41.6</w:t>
            </w:r>
          </w:p>
        </w:tc>
        <w:tc>
          <w:tcPr>
            <w:tcW w:w="1105" w:type="pct"/>
            <w:noWrap w:val="0"/>
            <w:vAlign w:val="center"/>
          </w:tcPr>
          <w:p w14:paraId="2D099FC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45.1</w:t>
            </w:r>
          </w:p>
        </w:tc>
        <w:tc>
          <w:tcPr>
            <w:tcW w:w="719" w:type="pct"/>
            <w:noWrap w:val="0"/>
            <w:vAlign w:val="center"/>
          </w:tcPr>
          <w:p w14:paraId="5B116EB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45.2</w:t>
            </w:r>
          </w:p>
        </w:tc>
        <w:tc>
          <w:tcPr>
            <w:tcW w:w="527" w:type="pct"/>
            <w:tcBorders>
              <w:right w:val="nil"/>
            </w:tcBorders>
            <w:noWrap w:val="0"/>
            <w:vAlign w:val="center"/>
          </w:tcPr>
          <w:p w14:paraId="5733E5D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48.7</w:t>
            </w:r>
          </w:p>
        </w:tc>
        <w:tc>
          <w:tcPr>
            <w:tcW w:w="538" w:type="pct"/>
            <w:noWrap w:val="0"/>
            <w:vAlign w:val="center"/>
          </w:tcPr>
          <w:p w14:paraId="0022A77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dB（A）</w:t>
            </w:r>
          </w:p>
        </w:tc>
      </w:tr>
      <w:tr w14:paraId="37ED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6" w:type="pct"/>
            <w:gridSpan w:val="2"/>
            <w:noWrap w:val="0"/>
            <w:vAlign w:val="center"/>
          </w:tcPr>
          <w:p w14:paraId="4E41DAB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执行标准值</w:t>
            </w:r>
          </w:p>
        </w:tc>
        <w:tc>
          <w:tcPr>
            <w:tcW w:w="942" w:type="pct"/>
            <w:noWrap w:val="0"/>
            <w:vAlign w:val="center"/>
          </w:tcPr>
          <w:p w14:paraId="672602E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05" w:type="pct"/>
            <w:noWrap w:val="0"/>
            <w:vAlign w:val="center"/>
          </w:tcPr>
          <w:p w14:paraId="4C98FCF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719" w:type="pct"/>
            <w:noWrap w:val="0"/>
            <w:vAlign w:val="center"/>
          </w:tcPr>
          <w:p w14:paraId="1B764AA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527" w:type="pct"/>
            <w:tcBorders>
              <w:right w:val="nil"/>
            </w:tcBorders>
            <w:noWrap w:val="0"/>
            <w:vAlign w:val="center"/>
          </w:tcPr>
          <w:p w14:paraId="7F4C280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538" w:type="pct"/>
            <w:noWrap w:val="0"/>
            <w:vAlign w:val="center"/>
          </w:tcPr>
          <w:p w14:paraId="2797982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dB（A）</w:t>
            </w:r>
          </w:p>
        </w:tc>
      </w:tr>
      <w:tr w14:paraId="5D5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noWrap w:val="0"/>
            <w:vAlign w:val="center"/>
          </w:tcPr>
          <w:p w14:paraId="503D583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备注</w:t>
            </w:r>
          </w:p>
        </w:tc>
        <w:tc>
          <w:tcPr>
            <w:tcW w:w="4360" w:type="pct"/>
            <w:gridSpan w:val="6"/>
            <w:noWrap w:val="0"/>
            <w:vAlign w:val="center"/>
          </w:tcPr>
          <w:p w14:paraId="2F969E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参考《声环境质量标准》（GB 3096-2008）表1中2类标准限值</w:t>
            </w:r>
          </w:p>
        </w:tc>
      </w:tr>
    </w:tbl>
    <w:p w14:paraId="0E1D3E20">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kern w:val="0"/>
          <w:sz w:val="24"/>
        </w:rPr>
        <w:t>由现状监测可知，</w:t>
      </w:r>
      <w:r>
        <w:rPr>
          <w:rFonts w:hint="default" w:ascii="Times New Roman" w:hAnsi="Times New Roman" w:eastAsia="宋体" w:cs="Times New Roman"/>
          <w:color w:val="auto"/>
          <w:sz w:val="24"/>
        </w:rPr>
        <w:t>项目场界声环境质量均符合</w:t>
      </w:r>
      <w:r>
        <w:rPr>
          <w:rFonts w:hint="default" w:ascii="Times New Roman" w:hAnsi="Times New Roman" w:eastAsia="宋体" w:cs="Times New Roman"/>
          <w:snapToGrid w:val="0"/>
          <w:color w:val="auto"/>
          <w:kern w:val="0"/>
          <w:sz w:val="24"/>
        </w:rPr>
        <w:t>《声环境质量标准》（GB3096-2008）中</w:t>
      </w:r>
      <w:r>
        <w:rPr>
          <w:rFonts w:hint="default" w:ascii="Times New Roman" w:hAnsi="Times New Roman" w:eastAsia="宋体" w:cs="Times New Roman"/>
          <w:snapToGrid w:val="0"/>
          <w:color w:val="auto"/>
          <w:kern w:val="0"/>
          <w:sz w:val="24"/>
          <w:lang w:val="en-US" w:eastAsia="zh-CN"/>
        </w:rPr>
        <w:t>2</w:t>
      </w:r>
      <w:r>
        <w:rPr>
          <w:rFonts w:hint="default" w:ascii="Times New Roman" w:hAnsi="Times New Roman" w:eastAsia="宋体" w:cs="Times New Roman"/>
          <w:snapToGrid w:val="0"/>
          <w:color w:val="auto"/>
          <w:kern w:val="0"/>
          <w:sz w:val="24"/>
        </w:rPr>
        <w:t>类</w:t>
      </w:r>
      <w:r>
        <w:rPr>
          <w:rFonts w:hint="default" w:ascii="Times New Roman" w:hAnsi="Times New Roman" w:eastAsia="宋体" w:cs="Times New Roman"/>
          <w:snapToGrid w:val="0"/>
          <w:color w:val="auto"/>
          <w:kern w:val="0"/>
          <w:sz w:val="24"/>
          <w:lang w:val="en-US" w:eastAsia="zh-CN"/>
        </w:rPr>
        <w:t>及4类</w:t>
      </w:r>
      <w:r>
        <w:rPr>
          <w:rFonts w:hint="default" w:ascii="Times New Roman" w:hAnsi="Times New Roman" w:eastAsia="宋体" w:cs="Times New Roman"/>
          <w:snapToGrid w:val="0"/>
          <w:color w:val="auto"/>
          <w:kern w:val="0"/>
          <w:sz w:val="24"/>
        </w:rPr>
        <w:t>标准限值要求</w:t>
      </w:r>
      <w:r>
        <w:rPr>
          <w:rFonts w:hint="default" w:ascii="Times New Roman" w:hAnsi="Times New Roman" w:eastAsia="宋体" w:cs="Times New Roman"/>
          <w:color w:val="auto"/>
          <w:sz w:val="24"/>
        </w:rPr>
        <w:t>。</w:t>
      </w:r>
    </w:p>
    <w:p w14:paraId="0B625B39">
      <w:pPr>
        <w:pStyle w:val="9"/>
        <w:pageBreakBefore w:val="0"/>
        <w:kinsoku/>
        <w:wordWrap/>
        <w:overflowPunct/>
        <w:topLinePunct w:val="0"/>
        <w:bidi w:val="0"/>
        <w:spacing w:before="0" w:after="0" w:line="360" w:lineRule="auto"/>
        <w:ind w:left="0" w:leftChars="0" w:firstLine="0" w:firstLineChars="0"/>
        <w:rPr>
          <w:rFonts w:hint="default" w:ascii="Times New Roman" w:hAnsi="Times New Roman" w:eastAsia="宋体" w:cs="Times New Roman"/>
          <w:color w:val="auto"/>
          <w:sz w:val="24"/>
          <w:szCs w:val="24"/>
          <w:lang w:eastAsia="zh-CN"/>
        </w:rPr>
      </w:pPr>
      <w:bookmarkStart w:id="555" w:name="_Toc13629"/>
      <w:r>
        <w:rPr>
          <w:rFonts w:hint="default" w:ascii="Times New Roman" w:hAnsi="Times New Roman" w:eastAsia="宋体" w:cs="Times New Roman"/>
          <w:color w:val="auto"/>
          <w:sz w:val="24"/>
          <w:szCs w:val="24"/>
          <w:lang w:val="en-US" w:eastAsia="zh-CN"/>
        </w:rPr>
        <w:t>4.</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 xml:space="preserve"> 生态环境现状调查与评价</w:t>
      </w:r>
      <w:bookmarkEnd w:id="555"/>
    </w:p>
    <w:p w14:paraId="4C13177C">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556" w:name="_Toc521943202"/>
      <w:bookmarkStart w:id="557" w:name="_Toc31675"/>
      <w:bookmarkStart w:id="558" w:name="_Toc10465"/>
      <w:bookmarkStart w:id="559" w:name="_Toc521971283"/>
      <w:bookmarkStart w:id="560" w:name="_Toc2274"/>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.5.1 </w:t>
      </w:r>
      <w:r>
        <w:rPr>
          <w:rFonts w:hint="default" w:ascii="Times New Roman" w:hAnsi="Times New Roman" w:eastAsia="宋体" w:cs="Times New Roman"/>
          <w:color w:val="auto"/>
          <w:sz w:val="24"/>
          <w:szCs w:val="24"/>
          <w:u w:val="none" w:color="auto"/>
        </w:rPr>
        <w:t>生态功能定位</w:t>
      </w:r>
      <w:bookmarkEnd w:id="556"/>
      <w:bookmarkEnd w:id="557"/>
      <w:bookmarkEnd w:id="558"/>
      <w:bookmarkEnd w:id="559"/>
      <w:bookmarkEnd w:id="560"/>
    </w:p>
    <w:p w14:paraId="18B74A08">
      <w:pPr>
        <w:pageBreakBefore w:val="0"/>
        <w:kinsoku/>
        <w:wordWrap/>
        <w:overflowPunct/>
        <w:topLinePunct w:val="0"/>
        <w:bidi w:val="0"/>
        <w:spacing w:before="0" w:after="0" w:line="360" w:lineRule="auto"/>
        <w:outlineLvl w:val="9"/>
        <w:rPr>
          <w:rFonts w:hint="default" w:ascii="Times New Roman" w:hAnsi="Times New Roman" w:eastAsia="宋体" w:cs="Times New Roman"/>
          <w:color w:val="auto"/>
          <w:sz w:val="24"/>
          <w:szCs w:val="24"/>
          <w:u w:val="none" w:color="auto"/>
        </w:rPr>
      </w:pPr>
      <w:bookmarkStart w:id="561" w:name="_Toc3275"/>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生态功能</w:t>
      </w:r>
      <w:bookmarkEnd w:id="561"/>
    </w:p>
    <w:p w14:paraId="417301B7">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全国生态功能区划》（环境保护部公告2015年第61号），湖南东洞庭湖国家级自然保护区属洞庭湖洪水调蓄与生物多样性保护重要区，位于湖南省北部的洞庭湖及其周边湿地分布区，行政区涉及湖南省岳阳、益阳、常德等3个市，面积为8587</w:t>
      </w:r>
      <w:r>
        <w:rPr>
          <w:rFonts w:hint="default" w:ascii="Times New Roman" w:hAnsi="Times New Roman" w:eastAsia="宋体" w:cs="Times New Roman"/>
          <w:color w:val="auto"/>
          <w:sz w:val="24"/>
          <w:szCs w:val="24"/>
          <w:u w:val="none" w:color="auto"/>
          <w:lang w:eastAsia="zh-CN"/>
        </w:rPr>
        <w:t>km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该区内洲滩及湿地植物发育完整，为珍稀水禽动物提供了良好的栖息场所，是长江中游的洪水调蓄库，对湖南省乃至长江流域的生态安全具有十分重要的作用，同时还是我国重要的水产品生产区，湖南省生态功能区划见图4.1-1。</w:t>
      </w:r>
    </w:p>
    <w:p w14:paraId="311C503E">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生物多样性主要生态问题：湖泊围垦和泥沙淤积导致湖泊面积和容积缩小，洪水调蓄能力降低，水禽等重要物种的生境受到一定的威胁。生态保护主要措施有实行平垸行洪、退田还湖、移民建镇，扩大湖泊面积，提高其洪水调蓄的能力。其次，以湿地生物多样性保护为核心，加强区内湿地湖南东洞庭湖国家级自然保护区的建设与管理，处理好湿地生态保护与经济发展关系，控制点源和面源污染。</w:t>
      </w:r>
    </w:p>
    <w:p w14:paraId="0A908812">
      <w:pPr>
        <w:pStyle w:val="21"/>
        <w:pageBreakBefore w:val="0"/>
        <w:kinsoku/>
        <w:wordWrap/>
        <w:overflowPunct/>
        <w:topLinePunct w:val="0"/>
        <w:bidi w:val="0"/>
        <w:spacing w:line="360" w:lineRule="auto"/>
        <w:ind w:firstLine="0" w:firstLineChars="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color w:val="auto"/>
          <w:sz w:val="24"/>
          <w:szCs w:val="24"/>
          <w:u w:val="none" w:color="auto"/>
        </w:rPr>
        <w:drawing>
          <wp:inline distT="0" distB="0" distL="114300" distR="114300">
            <wp:extent cx="5329555" cy="5544185"/>
            <wp:effectExtent l="0" t="0" r="4445" b="18415"/>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pic:cNvPicPr>
                      <a:picLocks noChangeAspect="1"/>
                    </pic:cNvPicPr>
                  </pic:nvPicPr>
                  <pic:blipFill>
                    <a:blip r:embed="rId30"/>
                    <a:stretch>
                      <a:fillRect/>
                    </a:stretch>
                  </pic:blipFill>
                  <pic:spPr>
                    <a:xfrm>
                      <a:off x="0" y="0"/>
                      <a:ext cx="5329555" cy="5544185"/>
                    </a:xfrm>
                    <a:prstGeom prst="rect">
                      <a:avLst/>
                    </a:prstGeom>
                    <a:noFill/>
                    <a:ln>
                      <a:noFill/>
                    </a:ln>
                  </pic:spPr>
                </pic:pic>
              </a:graphicData>
            </a:graphic>
          </wp:inline>
        </w:drawing>
      </w:r>
    </w:p>
    <w:p w14:paraId="7DF76364">
      <w:pPr>
        <w:pStyle w:val="61"/>
        <w:pageBreakBefore w:val="0"/>
        <w:numPr>
          <w:ilvl w:val="5"/>
          <w:numId w:val="0"/>
        </w:numPr>
        <w:kinsoku/>
        <w:wordWrap/>
        <w:overflowPunct/>
        <w:topLinePunct w:val="0"/>
        <w:bidi w:val="0"/>
        <w:spacing w:after="0" w:afterLines="0" w:line="360" w:lineRule="auto"/>
        <w:ind w:leftChars="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图4.5-1 </w:t>
      </w:r>
      <w:r>
        <w:rPr>
          <w:rFonts w:hint="default" w:ascii="Times New Roman" w:hAnsi="Times New Roman" w:eastAsia="宋体" w:cs="Times New Roman"/>
          <w:color w:val="auto"/>
          <w:sz w:val="24"/>
          <w:szCs w:val="24"/>
          <w:u w:val="none" w:color="auto"/>
        </w:rPr>
        <w:t>湖南省生态功能区划</w:t>
      </w:r>
    </w:p>
    <w:p w14:paraId="29FD10BB">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562" w:name="_Toc1522"/>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生态红线</w:t>
      </w:r>
      <w:bookmarkEnd w:id="562"/>
    </w:p>
    <w:p w14:paraId="3E84AC64">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湖南省生态保护红线（湘政发〔2018〕20号）》文件，本区属洞庭湖区生物多样性维护生态保护红线(包括长江岸线)。红线区有东洞庭湖、南洞庭湖、西洞庭湖、横岭湖、黄盖湖、集成长江故道江豚、集成麋鹿等自然保护区，以及太浮山、桃花源风景名胜区等保护地。</w:t>
      </w:r>
    </w:p>
    <w:p w14:paraId="17090B87">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保护重点</w:t>
      </w:r>
      <w:r>
        <w:rPr>
          <w:rFonts w:hint="default" w:ascii="Times New Roman" w:hAnsi="Times New Roman" w:eastAsia="宋体" w:cs="Times New Roman"/>
          <w:color w:val="auto"/>
          <w:sz w:val="24"/>
          <w:szCs w:val="24"/>
          <w:u w:val="none" w:color="auto"/>
          <w:lang w:val="en-US" w:eastAsia="zh-CN"/>
        </w:rPr>
        <w:t>为</w:t>
      </w:r>
      <w:r>
        <w:rPr>
          <w:rFonts w:hint="default" w:ascii="Times New Roman" w:hAnsi="Times New Roman" w:eastAsia="宋体" w:cs="Times New Roman"/>
          <w:color w:val="auto"/>
          <w:sz w:val="24"/>
          <w:szCs w:val="24"/>
          <w:u w:val="none" w:color="auto"/>
        </w:rPr>
        <w:t>以湿地生物多样性保护为核心，加强区内湿地湖南东洞庭湖国家级自然保护区的恢复与管理；平垸行洪、退田还湖，扩大湖泊面积，提高调蓄洪水的能力。</w:t>
      </w:r>
    </w:p>
    <w:p w14:paraId="57C72191">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bookmarkStart w:id="563" w:name="_Toc26502"/>
      <w:bookmarkStart w:id="564" w:name="_Toc521943203"/>
      <w:bookmarkStart w:id="565" w:name="_Toc15388"/>
      <w:bookmarkStart w:id="566" w:name="_Toc1858"/>
      <w:bookmarkStart w:id="567" w:name="_Toc521971284"/>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.5.2  生态现状</w:t>
      </w:r>
      <w:r>
        <w:rPr>
          <w:rFonts w:hint="default" w:ascii="Times New Roman" w:hAnsi="Times New Roman" w:eastAsia="宋体" w:cs="Times New Roman"/>
          <w:color w:val="auto"/>
          <w:sz w:val="24"/>
          <w:szCs w:val="24"/>
          <w:u w:val="none" w:color="auto"/>
        </w:rPr>
        <w:t>调查方法及</w:t>
      </w:r>
      <w:bookmarkStart w:id="568" w:name="_Hlk526346996"/>
      <w:r>
        <w:rPr>
          <w:rFonts w:hint="default" w:ascii="Times New Roman" w:hAnsi="Times New Roman" w:eastAsia="宋体" w:cs="Times New Roman"/>
          <w:color w:val="auto"/>
          <w:sz w:val="24"/>
          <w:szCs w:val="24"/>
          <w:u w:val="none" w:color="auto"/>
        </w:rPr>
        <w:t>样地样线设置</w:t>
      </w:r>
      <w:bookmarkEnd w:id="563"/>
      <w:bookmarkEnd w:id="564"/>
      <w:bookmarkEnd w:id="565"/>
      <w:bookmarkEnd w:id="566"/>
      <w:bookmarkEnd w:id="567"/>
      <w:bookmarkEnd w:id="568"/>
      <w:bookmarkStart w:id="569" w:name="_Toc2215"/>
    </w:p>
    <w:bookmarkEnd w:id="569"/>
    <w:p w14:paraId="076CDAB6">
      <w:pPr>
        <w:pageBreakBefore w:val="0"/>
        <w:kinsoku/>
        <w:wordWrap/>
        <w:overflowPunct/>
        <w:topLinePunct w:val="0"/>
        <w:bidi w:val="0"/>
        <w:spacing w:line="360" w:lineRule="auto"/>
        <w:ind w:firstLine="560"/>
        <w:outlineLvl w:val="9"/>
        <w:rPr>
          <w:rFonts w:hint="default" w:ascii="Times New Roman" w:hAnsi="Times New Roman" w:eastAsia="宋体" w:cs="Times New Roman"/>
          <w:b/>
          <w:bCs/>
          <w:color w:val="auto"/>
          <w:sz w:val="24"/>
          <w:szCs w:val="24"/>
          <w:u w:val="none" w:color="auto"/>
        </w:rPr>
      </w:pPr>
      <w:bookmarkStart w:id="570" w:name="_Toc17451"/>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rPr>
        <w:t>调查方法</w:t>
      </w:r>
    </w:p>
    <w:p w14:paraId="6EA42F8D">
      <w:pPr>
        <w:pageBreakBefore w:val="0"/>
        <w:kinsoku/>
        <w:wordWrap/>
        <w:overflowPunct/>
        <w:topLinePunct w:val="0"/>
        <w:bidi w:val="0"/>
        <w:spacing w:line="360" w:lineRule="auto"/>
        <w:ind w:firstLine="560"/>
        <w:outlineLvl w:val="9"/>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1、植被群落调查</w:t>
      </w:r>
      <w:bookmarkEnd w:id="570"/>
    </w:p>
    <w:p w14:paraId="40F7FA8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采用点线面相结合的方法进行调查与记录，现场踏勘时选取典型</w:t>
      </w:r>
      <w:bookmarkStart w:id="571" w:name="_Hlk526346922"/>
      <w:r>
        <w:rPr>
          <w:rFonts w:hint="default" w:ascii="Times New Roman" w:hAnsi="Times New Roman" w:eastAsia="宋体" w:cs="Times New Roman"/>
          <w:color w:val="auto"/>
          <w:sz w:val="24"/>
          <w:szCs w:val="24"/>
          <w:u w:val="none" w:color="auto"/>
        </w:rPr>
        <w:t>植被</w:t>
      </w:r>
      <w:bookmarkEnd w:id="571"/>
      <w:r>
        <w:rPr>
          <w:rFonts w:hint="default" w:ascii="Times New Roman" w:hAnsi="Times New Roman" w:eastAsia="宋体" w:cs="Times New Roman"/>
          <w:color w:val="auto"/>
          <w:sz w:val="24"/>
          <w:szCs w:val="24"/>
          <w:u w:val="none" w:color="auto"/>
        </w:rPr>
        <w:t>地带采用样方法进行调查。各调查样方面积根据不同的植被类型确定，其中乔木植被样方采用10m×10m，灌木植被样方为5m×5m，草本样方采用1m×1m。</w:t>
      </w:r>
    </w:p>
    <w:p w14:paraId="7574D3B2">
      <w:pPr>
        <w:pageBreakBefore w:val="0"/>
        <w:kinsoku/>
        <w:wordWrap/>
        <w:overflowPunct/>
        <w:topLinePunct w:val="0"/>
        <w:bidi w:val="0"/>
        <w:spacing w:line="360" w:lineRule="auto"/>
        <w:ind w:firstLine="560"/>
        <w:outlineLvl w:val="9"/>
        <w:rPr>
          <w:rFonts w:hint="default" w:ascii="Times New Roman" w:hAnsi="Times New Roman" w:eastAsia="宋体" w:cs="Times New Roman"/>
          <w:bCs/>
          <w:color w:val="auto"/>
          <w:sz w:val="24"/>
          <w:szCs w:val="24"/>
          <w:u w:val="none" w:color="auto"/>
        </w:rPr>
      </w:pPr>
      <w:bookmarkStart w:id="572" w:name="_Toc28613"/>
      <w:r>
        <w:rPr>
          <w:rFonts w:hint="default" w:ascii="Times New Roman" w:hAnsi="Times New Roman" w:eastAsia="宋体" w:cs="Times New Roman"/>
          <w:bCs/>
          <w:color w:val="auto"/>
          <w:sz w:val="24"/>
          <w:szCs w:val="24"/>
          <w:u w:val="none" w:color="auto"/>
        </w:rPr>
        <w:t>2、植物种类调查</w:t>
      </w:r>
      <w:bookmarkEnd w:id="572"/>
    </w:p>
    <w:p w14:paraId="5C221008">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在调查过程中，确定评价范围区域内的植物种类、经济植物的种类及资源状况、珍稀濒危植物的种类及生存状况等。</w:t>
      </w:r>
    </w:p>
    <w:p w14:paraId="6604A04E">
      <w:pPr>
        <w:pageBreakBefore w:val="0"/>
        <w:kinsoku/>
        <w:wordWrap/>
        <w:overflowPunct/>
        <w:topLinePunct w:val="0"/>
        <w:bidi w:val="0"/>
        <w:spacing w:line="360" w:lineRule="auto"/>
        <w:ind w:firstLine="560"/>
        <w:outlineLvl w:val="9"/>
        <w:rPr>
          <w:rFonts w:hint="default" w:ascii="Times New Roman" w:hAnsi="Times New Roman" w:eastAsia="宋体" w:cs="Times New Roman"/>
          <w:bCs/>
          <w:color w:val="auto"/>
          <w:sz w:val="24"/>
          <w:szCs w:val="24"/>
          <w:u w:val="none" w:color="auto"/>
        </w:rPr>
      </w:pPr>
      <w:bookmarkStart w:id="573" w:name="_Toc13620"/>
      <w:r>
        <w:rPr>
          <w:rFonts w:hint="default" w:ascii="Times New Roman" w:hAnsi="Times New Roman" w:eastAsia="宋体" w:cs="Times New Roman"/>
          <w:bCs/>
          <w:color w:val="auto"/>
          <w:sz w:val="24"/>
          <w:szCs w:val="24"/>
          <w:u w:val="none" w:color="auto"/>
        </w:rPr>
        <w:t>3、动物种类调查</w:t>
      </w:r>
      <w:bookmarkEnd w:id="573"/>
    </w:p>
    <w:p w14:paraId="715F8FE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陆生动物调查采用样线法、访问和资料查询，在调查过程中，确定保护区内动物的种类、资源状况及生存状况，尤其是重点保护种类。调查方法主要有样线法、样点法、访问和资料查询。兽类主要采用现场环境调查，野外踪迹调查。</w:t>
      </w:r>
    </w:p>
    <w:p w14:paraId="09F25782">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鸟类主要采用样线法与样点法，根据生境类型及其面积的大小设计样线或样点，抽样强度高于2%。</w:t>
      </w:r>
    </w:p>
    <w:p w14:paraId="61CDC88F">
      <w:pPr>
        <w:pageBreakBefore w:val="0"/>
        <w:kinsoku/>
        <w:wordWrap/>
        <w:overflowPunct/>
        <w:topLinePunct w:val="0"/>
        <w:bidi w:val="0"/>
        <w:spacing w:line="360" w:lineRule="auto"/>
        <w:ind w:firstLine="560"/>
        <w:outlineLvl w:val="9"/>
        <w:rPr>
          <w:rFonts w:hint="default" w:ascii="Times New Roman" w:hAnsi="Times New Roman" w:eastAsia="宋体" w:cs="Times New Roman"/>
          <w:bCs/>
          <w:color w:val="auto"/>
          <w:sz w:val="24"/>
          <w:szCs w:val="24"/>
          <w:u w:val="none" w:color="auto"/>
        </w:rPr>
      </w:pPr>
      <w:bookmarkStart w:id="574" w:name="_Toc19748"/>
      <w:r>
        <w:rPr>
          <w:rFonts w:hint="default" w:ascii="Times New Roman" w:hAnsi="Times New Roman" w:eastAsia="宋体" w:cs="Times New Roman"/>
          <w:bCs/>
          <w:color w:val="auto"/>
          <w:sz w:val="24"/>
          <w:szCs w:val="24"/>
          <w:u w:val="none" w:color="auto"/>
        </w:rPr>
        <w:t>4、水生生物种类调查</w:t>
      </w:r>
      <w:bookmarkEnd w:id="574"/>
    </w:p>
    <w:p w14:paraId="7488862A">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水生生物调查，主要采取走访集贸市场、询问当地渔民、查阅相关资料等方式。本项目水生生态现状调查主要采用现场调查，并结合东洞庭湖区现有的研究成果。</w:t>
      </w:r>
    </w:p>
    <w:p w14:paraId="781EA178">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b/>
          <w:bCs/>
          <w:color w:val="auto"/>
          <w:sz w:val="24"/>
          <w:szCs w:val="24"/>
          <w:u w:val="none" w:color="auto"/>
        </w:rPr>
      </w:pPr>
      <w:bookmarkStart w:id="575" w:name="_Toc3294"/>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rPr>
        <w:t>样地样线设置</w:t>
      </w:r>
      <w:bookmarkEnd w:id="575"/>
    </w:p>
    <w:p w14:paraId="22AE88FD">
      <w:pPr>
        <w:pageBreakBefore w:val="0"/>
        <w:kinsoku/>
        <w:wordWrap/>
        <w:overflowPunct/>
        <w:topLinePunct w:val="0"/>
        <w:bidi w:val="0"/>
        <w:spacing w:line="360" w:lineRule="auto"/>
        <w:ind w:firstLine="560"/>
        <w:outlineLvl w:val="9"/>
        <w:rPr>
          <w:rFonts w:hint="default" w:ascii="Times New Roman" w:hAnsi="Times New Roman" w:eastAsia="宋体" w:cs="Times New Roman"/>
          <w:color w:val="auto"/>
          <w:sz w:val="24"/>
          <w:szCs w:val="24"/>
          <w:u w:val="none" w:color="auto"/>
        </w:rPr>
      </w:pPr>
      <w:bookmarkStart w:id="576" w:name="_Toc18890"/>
      <w:r>
        <w:rPr>
          <w:rFonts w:hint="default" w:ascii="Times New Roman" w:hAnsi="Times New Roman" w:eastAsia="宋体" w:cs="Times New Roman"/>
          <w:color w:val="auto"/>
          <w:sz w:val="24"/>
          <w:szCs w:val="24"/>
          <w:u w:val="none" w:color="auto"/>
        </w:rPr>
        <w:t>1、植物样方</w:t>
      </w:r>
      <w:bookmarkEnd w:id="576"/>
    </w:p>
    <w:p w14:paraId="0CF4AADB">
      <w:pPr>
        <w:ind w:firstLine="560"/>
        <w:jc w:val="left"/>
        <w:rPr>
          <w:rFonts w:hint="default" w:ascii="Times New Roman" w:hAnsi="Times New Roman" w:eastAsia="宋体" w:cs="Times New Roman"/>
          <w:color w:val="auto"/>
          <w:u w:val="none" w:color="auto"/>
        </w:rPr>
      </w:pPr>
      <w:bookmarkStart w:id="577" w:name="_Hlk526347729"/>
      <w:r>
        <w:rPr>
          <w:rFonts w:hint="default" w:ascii="Times New Roman" w:hAnsi="Times New Roman" w:eastAsia="宋体" w:cs="Times New Roman"/>
          <w:color w:val="auto"/>
          <w:u w:val="none" w:color="auto"/>
        </w:rPr>
        <w:t>调查样方设置2</w:t>
      </w:r>
      <w:r>
        <w:rPr>
          <w:rFonts w:hint="default" w:ascii="Times New Roman" w:hAnsi="Times New Roman" w:eastAsia="宋体" w:cs="Times New Roman"/>
          <w:color w:val="auto"/>
          <w:u w:val="none" w:color="auto"/>
          <w:lang w:val="en-US" w:eastAsia="zh-CN"/>
        </w:rPr>
        <w:t>种</w:t>
      </w:r>
      <w:r>
        <w:rPr>
          <w:rFonts w:hint="default" w:ascii="Times New Roman" w:hAnsi="Times New Roman" w:eastAsia="宋体" w:cs="Times New Roman"/>
          <w:color w:val="auto"/>
          <w:u w:val="none" w:color="auto"/>
        </w:rPr>
        <w:t>群落类型点位情况见表</w:t>
      </w:r>
      <w:r>
        <w:rPr>
          <w:rFonts w:hint="default" w:ascii="Times New Roman" w:hAnsi="Times New Roman" w:eastAsia="宋体" w:cs="Times New Roman"/>
          <w:color w:val="auto"/>
          <w:u w:val="none" w:color="auto"/>
          <w:lang w:val="en-US" w:eastAsia="zh-CN"/>
        </w:rPr>
        <w:t>4.5</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rPr>
        <w:t>，评价范围及调查样方位置见图</w:t>
      </w:r>
      <w:r>
        <w:rPr>
          <w:rFonts w:hint="default" w:ascii="Times New Roman" w:hAnsi="Times New Roman" w:eastAsia="宋体" w:cs="Times New Roman"/>
          <w:color w:val="auto"/>
          <w:u w:val="none" w:color="auto"/>
          <w:lang w:val="en-US" w:eastAsia="zh-CN"/>
        </w:rPr>
        <w:t>4.5-2</w:t>
      </w:r>
      <w:r>
        <w:rPr>
          <w:rFonts w:hint="default" w:ascii="Times New Roman" w:hAnsi="Times New Roman" w:eastAsia="宋体" w:cs="Times New Roman"/>
          <w:color w:val="auto"/>
          <w:u w:val="none" w:color="auto"/>
        </w:rPr>
        <w:t>。</w:t>
      </w:r>
    </w:p>
    <w:bookmarkEnd w:id="577"/>
    <w:p w14:paraId="4BE53309">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 xml:space="preserve">表4.5-9 </w:t>
      </w:r>
      <w:r>
        <w:rPr>
          <w:rFonts w:hint="default" w:ascii="Times New Roman" w:hAnsi="Times New Roman" w:eastAsia="宋体" w:cs="Times New Roman"/>
          <w:color w:val="auto"/>
          <w:u w:val="none" w:color="auto"/>
        </w:rPr>
        <w:t>样方设置点位情况表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0" w:type="dxa"/>
          <w:bottom w:w="0" w:type="dxa"/>
          <w:right w:w="0" w:type="dxa"/>
        </w:tblCellMar>
      </w:tblPr>
      <w:tblGrid>
        <w:gridCol w:w="1281"/>
        <w:gridCol w:w="2008"/>
        <w:gridCol w:w="2471"/>
        <w:gridCol w:w="2547"/>
      </w:tblGrid>
      <w:tr w14:paraId="0705B90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285A90DA">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样方号</w:t>
            </w:r>
          </w:p>
        </w:tc>
        <w:tc>
          <w:tcPr>
            <w:tcW w:w="1208" w:type="pct"/>
            <w:noWrap w:val="0"/>
            <w:vAlign w:val="center"/>
          </w:tcPr>
          <w:p w14:paraId="66077C86">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群落类型</w:t>
            </w:r>
          </w:p>
        </w:tc>
        <w:tc>
          <w:tcPr>
            <w:tcW w:w="1487" w:type="pct"/>
            <w:noWrap w:val="0"/>
            <w:vAlign w:val="center"/>
          </w:tcPr>
          <w:p w14:paraId="532FD1B4">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经度</w:t>
            </w:r>
          </w:p>
        </w:tc>
        <w:tc>
          <w:tcPr>
            <w:tcW w:w="1532" w:type="pct"/>
            <w:noWrap w:val="0"/>
            <w:vAlign w:val="center"/>
          </w:tcPr>
          <w:p w14:paraId="5A4F998E">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纬度</w:t>
            </w:r>
          </w:p>
        </w:tc>
      </w:tr>
      <w:tr w14:paraId="5556AC1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537BFA0C">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208" w:type="pct"/>
            <w:noWrap w:val="0"/>
            <w:vAlign w:val="center"/>
          </w:tcPr>
          <w:p w14:paraId="52A07F82">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湖岸群落</w:t>
            </w:r>
          </w:p>
        </w:tc>
        <w:tc>
          <w:tcPr>
            <w:tcW w:w="2472" w:type="dxa"/>
            <w:noWrap w:val="0"/>
            <w:vAlign w:val="center"/>
          </w:tcPr>
          <w:p w14:paraId="1CA8F9D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113.00877</w:t>
            </w:r>
          </w:p>
        </w:tc>
        <w:tc>
          <w:tcPr>
            <w:tcW w:w="2546" w:type="dxa"/>
            <w:noWrap w:val="0"/>
            <w:vAlign w:val="center"/>
          </w:tcPr>
          <w:p w14:paraId="5D8FB7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29.15616</w:t>
            </w:r>
          </w:p>
        </w:tc>
      </w:tr>
      <w:tr w14:paraId="2574E1E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42F0F262">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208" w:type="pct"/>
            <w:noWrap w:val="0"/>
            <w:vAlign w:val="center"/>
          </w:tcPr>
          <w:p w14:paraId="2D166058">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湖岸群落</w:t>
            </w:r>
          </w:p>
        </w:tc>
        <w:tc>
          <w:tcPr>
            <w:tcW w:w="2472" w:type="dxa"/>
            <w:noWrap w:val="0"/>
            <w:vAlign w:val="center"/>
          </w:tcPr>
          <w:p w14:paraId="3B20B7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113.00665</w:t>
            </w:r>
          </w:p>
        </w:tc>
        <w:tc>
          <w:tcPr>
            <w:tcW w:w="2546" w:type="dxa"/>
            <w:noWrap w:val="0"/>
            <w:vAlign w:val="center"/>
          </w:tcPr>
          <w:p w14:paraId="56FBC1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29.15557</w:t>
            </w:r>
          </w:p>
        </w:tc>
      </w:tr>
      <w:tr w14:paraId="5D40BB1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77CD2C0C">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3</w:t>
            </w:r>
          </w:p>
        </w:tc>
        <w:tc>
          <w:tcPr>
            <w:tcW w:w="1208" w:type="pct"/>
            <w:noWrap w:val="0"/>
            <w:vAlign w:val="center"/>
          </w:tcPr>
          <w:p w14:paraId="312BD1E8">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湖岸群落</w:t>
            </w:r>
          </w:p>
        </w:tc>
        <w:tc>
          <w:tcPr>
            <w:tcW w:w="2472" w:type="dxa"/>
            <w:noWrap w:val="0"/>
            <w:vAlign w:val="center"/>
          </w:tcPr>
          <w:p w14:paraId="268705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113.008339</w:t>
            </w:r>
          </w:p>
        </w:tc>
        <w:tc>
          <w:tcPr>
            <w:tcW w:w="2546" w:type="dxa"/>
            <w:noWrap w:val="0"/>
            <w:vAlign w:val="center"/>
          </w:tcPr>
          <w:p w14:paraId="1A51A5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29.162611</w:t>
            </w:r>
          </w:p>
        </w:tc>
      </w:tr>
      <w:tr w14:paraId="67FB5F1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1933A416">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4</w:t>
            </w:r>
          </w:p>
        </w:tc>
        <w:tc>
          <w:tcPr>
            <w:tcW w:w="1208" w:type="pct"/>
            <w:noWrap w:val="0"/>
            <w:vAlign w:val="center"/>
          </w:tcPr>
          <w:p w14:paraId="76BFB6D9">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湖岸群落</w:t>
            </w:r>
          </w:p>
        </w:tc>
        <w:tc>
          <w:tcPr>
            <w:tcW w:w="2472" w:type="dxa"/>
            <w:noWrap w:val="0"/>
            <w:vAlign w:val="center"/>
          </w:tcPr>
          <w:p w14:paraId="2B3370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113.008374</w:t>
            </w:r>
          </w:p>
        </w:tc>
        <w:tc>
          <w:tcPr>
            <w:tcW w:w="2546" w:type="dxa"/>
            <w:noWrap w:val="0"/>
            <w:vAlign w:val="center"/>
          </w:tcPr>
          <w:p w14:paraId="326B7F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color w:val="auto"/>
                <w:sz w:val="21"/>
                <w:szCs w:val="21"/>
                <w:u w:val="none" w:color="auto"/>
              </w:rPr>
              <w:t>29.155151</w:t>
            </w:r>
          </w:p>
        </w:tc>
      </w:tr>
      <w:tr w14:paraId="2CA3CD7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0A8ADFB5">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5</w:t>
            </w:r>
          </w:p>
        </w:tc>
        <w:tc>
          <w:tcPr>
            <w:tcW w:w="1208" w:type="pct"/>
            <w:noWrap w:val="0"/>
            <w:vAlign w:val="center"/>
          </w:tcPr>
          <w:p w14:paraId="53915553">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湖中洲滩</w:t>
            </w:r>
          </w:p>
        </w:tc>
        <w:tc>
          <w:tcPr>
            <w:tcW w:w="2472" w:type="dxa"/>
            <w:noWrap w:val="0"/>
            <w:vAlign w:val="center"/>
          </w:tcPr>
          <w:p w14:paraId="5BA5B45A">
            <w:pPr>
              <w:spacing w:line="240" w:lineRule="auto"/>
              <w:ind w:firstLine="0" w:firstLineChars="0"/>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112.993792</w:t>
            </w:r>
          </w:p>
        </w:tc>
        <w:tc>
          <w:tcPr>
            <w:tcW w:w="2546" w:type="dxa"/>
            <w:noWrap w:val="0"/>
            <w:vAlign w:val="center"/>
          </w:tcPr>
          <w:p w14:paraId="3F14E751">
            <w:pPr>
              <w:spacing w:line="240" w:lineRule="auto"/>
              <w:ind w:firstLine="0" w:firstLineChars="0"/>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29.151439</w:t>
            </w:r>
          </w:p>
        </w:tc>
      </w:tr>
      <w:tr w14:paraId="691981C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771" w:type="pct"/>
            <w:noWrap w:val="0"/>
            <w:vAlign w:val="center"/>
          </w:tcPr>
          <w:p w14:paraId="428AD0FB">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1208" w:type="pct"/>
            <w:noWrap w:val="0"/>
            <w:vAlign w:val="center"/>
          </w:tcPr>
          <w:p w14:paraId="568A0EAF">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湖中洲滩</w:t>
            </w:r>
          </w:p>
        </w:tc>
        <w:tc>
          <w:tcPr>
            <w:tcW w:w="2472" w:type="dxa"/>
            <w:noWrap w:val="0"/>
            <w:vAlign w:val="center"/>
          </w:tcPr>
          <w:p w14:paraId="68C17645">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113.00550</w:t>
            </w:r>
          </w:p>
        </w:tc>
        <w:tc>
          <w:tcPr>
            <w:tcW w:w="2546" w:type="dxa"/>
            <w:noWrap w:val="0"/>
            <w:vAlign w:val="center"/>
          </w:tcPr>
          <w:p w14:paraId="3603EA5E">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29.15538</w:t>
            </w:r>
          </w:p>
        </w:tc>
      </w:tr>
    </w:tbl>
    <w:p w14:paraId="26319328">
      <w:pPr>
        <w:pStyle w:val="61"/>
        <w:pageBreakBefore w:val="0"/>
        <w:numPr>
          <w:ilvl w:val="0"/>
          <w:numId w:val="0"/>
        </w:numPr>
        <w:kinsoku/>
        <w:wordWrap/>
        <w:overflowPunct/>
        <w:topLinePunct w:val="0"/>
        <w:bidi w:val="0"/>
        <w:spacing w:after="0" w:afterLines="0" w:line="360" w:lineRule="auto"/>
        <w:ind w:leftChars="0"/>
        <w:jc w:val="both"/>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drawing>
          <wp:anchor distT="0" distB="0" distL="114300" distR="114300" simplePos="0" relativeHeight="251667456" behindDoc="0" locked="0" layoutInCell="1" allowOverlap="1">
            <wp:simplePos x="0" y="0"/>
            <wp:positionH relativeFrom="column">
              <wp:posOffset>4302125</wp:posOffset>
            </wp:positionH>
            <wp:positionV relativeFrom="paragraph">
              <wp:posOffset>86360</wp:posOffset>
            </wp:positionV>
            <wp:extent cx="864235" cy="1185545"/>
            <wp:effectExtent l="0" t="0" r="12065" b="14605"/>
            <wp:wrapNone/>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31"/>
                    <a:stretch>
                      <a:fillRect/>
                    </a:stretch>
                  </pic:blipFill>
                  <pic:spPr>
                    <a:xfrm>
                      <a:off x="0" y="0"/>
                      <a:ext cx="864235" cy="1185545"/>
                    </a:xfrm>
                    <a:prstGeom prst="rect">
                      <a:avLst/>
                    </a:prstGeom>
                    <a:noFill/>
                    <a:ln>
                      <a:noFill/>
                    </a:ln>
                  </pic:spPr>
                </pic:pic>
              </a:graphicData>
            </a:graphic>
          </wp:anchor>
        </w:drawing>
      </w:r>
      <w:r>
        <w:rPr>
          <w:rFonts w:hint="default" w:ascii="Times New Roman" w:hAnsi="Times New Roman" w:eastAsia="宋体" w:cs="Times New Roman"/>
          <w:color w:val="auto"/>
          <w:sz w:val="24"/>
          <w:szCs w:val="24"/>
          <w:u w:val="none" w:color="auto"/>
          <w:lang w:eastAsia="zh-CN"/>
        </w:rPr>
        <w:drawing>
          <wp:inline distT="0" distB="0" distL="114300" distR="114300">
            <wp:extent cx="5268595" cy="3378835"/>
            <wp:effectExtent l="0" t="0" r="8255" b="12065"/>
            <wp:docPr id="85" name="图片 10"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233"/>
                    <pic:cNvPicPr>
                      <a:picLocks noChangeAspect="1"/>
                    </pic:cNvPicPr>
                  </pic:nvPicPr>
                  <pic:blipFill>
                    <a:blip r:embed="rId32"/>
                    <a:stretch>
                      <a:fillRect/>
                    </a:stretch>
                  </pic:blipFill>
                  <pic:spPr>
                    <a:xfrm>
                      <a:off x="0" y="0"/>
                      <a:ext cx="5268595" cy="3378835"/>
                    </a:xfrm>
                    <a:prstGeom prst="rect">
                      <a:avLst/>
                    </a:prstGeom>
                    <a:noFill/>
                    <a:ln>
                      <a:noFill/>
                    </a:ln>
                  </pic:spPr>
                </pic:pic>
              </a:graphicData>
            </a:graphic>
          </wp:inline>
        </w:drawing>
      </w:r>
    </w:p>
    <w:p w14:paraId="68D1BF9B">
      <w:pPr>
        <w:pStyle w:val="61"/>
        <w:keepNext w:val="0"/>
        <w:keepLines w:val="0"/>
        <w:pageBreakBefore w:val="0"/>
        <w:widowControl w:val="0"/>
        <w:numPr>
          <w:ilvl w:val="5"/>
          <w:numId w:val="0"/>
        </w:numPr>
        <w:kinsoku/>
        <w:wordWrap/>
        <w:overflowPunct/>
        <w:topLinePunct w:val="0"/>
        <w:autoSpaceDE/>
        <w:autoSpaceDN/>
        <w:bidi w:val="0"/>
        <w:adjustRightInd/>
        <w:snapToGrid/>
        <w:spacing w:after="167" w:afterLines="50" w:line="240" w:lineRule="auto"/>
        <w:jc w:val="center"/>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 xml:space="preserve">图4.5-2 </w:t>
      </w:r>
      <w:r>
        <w:rPr>
          <w:rFonts w:hint="default" w:ascii="Times New Roman" w:hAnsi="Times New Roman" w:eastAsia="宋体" w:cs="Times New Roman"/>
          <w:color w:val="auto"/>
          <w:sz w:val="24"/>
          <w:szCs w:val="24"/>
          <w:u w:val="none" w:color="auto"/>
        </w:rPr>
        <w:t>本项目生态环境评价范围及调查样线图</w:t>
      </w:r>
      <w:bookmarkStart w:id="578" w:name="_Toc20195"/>
    </w:p>
    <w:p w14:paraId="0C9B5608">
      <w:pPr>
        <w:pageBreakBefore w:val="0"/>
        <w:kinsoku/>
        <w:wordWrap/>
        <w:overflowPunct/>
        <w:topLinePunct w:val="0"/>
        <w:bidi w:val="0"/>
        <w:spacing w:line="360" w:lineRule="auto"/>
        <w:ind w:firstLine="560"/>
        <w:outlineLvl w:val="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2、调查断面</w:t>
      </w:r>
      <w:bookmarkEnd w:id="578"/>
    </w:p>
    <w:p w14:paraId="782EBFE6">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w:t>
      </w:r>
      <w:r>
        <w:rPr>
          <w:rFonts w:hint="default" w:ascii="Times New Roman" w:hAnsi="Times New Roman" w:eastAsia="宋体" w:cs="Times New Roman"/>
          <w:color w:val="auto"/>
          <w:sz w:val="24"/>
          <w:szCs w:val="24"/>
          <w:u w:val="none" w:color="auto"/>
          <w:lang w:eastAsia="zh-CN"/>
        </w:rPr>
        <w:t>岳阳县鹿角交通渔政综合执法码头项目</w:t>
      </w:r>
      <w:r>
        <w:rPr>
          <w:rFonts w:hint="default" w:ascii="Times New Roman" w:hAnsi="Times New Roman" w:eastAsia="宋体" w:cs="Times New Roman"/>
          <w:color w:val="auto"/>
          <w:sz w:val="24"/>
          <w:szCs w:val="24"/>
          <w:u w:val="none" w:color="auto"/>
        </w:rPr>
        <w:t>水域设置4个断面，每个断面间隔一定的距离采样3次，用多参数水质分析仪（6600V2-01型）测定水温、pH值、溶解氧、叶绿素a等，便携式直读流速仪（FP111型）测定水的流速，透明度盘测定透明度，GPS仪测定地理位置和海拔等。</w:t>
      </w:r>
    </w:p>
    <w:p w14:paraId="535D06EA">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（3）水生生物</w:t>
      </w:r>
    </w:p>
    <w:p w14:paraId="530351B3">
      <w:pPr>
        <w:pStyle w:val="2"/>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2023年5月</w:t>
      </w:r>
      <w:r>
        <w:rPr>
          <w:rFonts w:hint="eastAsia"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rPr>
        <w:t>6月和10月—11月在工程附近水域选取了5个位点开展渔获物现状调查，2023年5—6月开展了鱼类早期资源调查，2023年5月和2023年11月开展了饵料生物资源现状调查，调查地点位于本工程所在水域的上下游 5km范围内，鱼类资源数据来自湖南省水产科学研究所2023年的调查数据。</w:t>
      </w:r>
    </w:p>
    <w:p w14:paraId="7C52E7DF">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表4.5-</w:t>
      </w:r>
      <w:r>
        <w:rPr>
          <w:rFonts w:hint="eastAsia" w:cs="Times New Roman"/>
          <w:color w:val="auto"/>
          <w:u w:val="none" w:color="auto"/>
          <w:lang w:val="en-US" w:eastAsia="zh-CN"/>
        </w:rPr>
        <w:t>10</w:t>
      </w:r>
      <w:r>
        <w:rPr>
          <w:rFonts w:hint="default" w:ascii="Times New Roman" w:hAnsi="Times New Roman" w:eastAsia="宋体" w:cs="Times New Roman"/>
          <w:color w:val="auto"/>
          <w:u w:val="none" w:color="auto"/>
          <w:lang w:val="en-US" w:eastAsia="zh-CN"/>
        </w:rPr>
        <w:t xml:space="preserve"> </w:t>
      </w:r>
      <w:r>
        <w:rPr>
          <w:rFonts w:hint="eastAsia" w:cs="Times New Roman"/>
          <w:color w:val="auto"/>
          <w:u w:val="none" w:color="auto"/>
          <w:lang w:val="en-US" w:eastAsia="zh-CN"/>
        </w:rPr>
        <w:t>水生生物</w:t>
      </w:r>
      <w:r>
        <w:rPr>
          <w:rFonts w:hint="default" w:ascii="Times New Roman" w:hAnsi="Times New Roman" w:eastAsia="宋体" w:cs="Times New Roman"/>
          <w:color w:val="auto"/>
          <w:u w:val="none" w:color="auto"/>
        </w:rPr>
        <w:t>样方设置点位情况表</w:t>
      </w:r>
    </w:p>
    <w:tbl>
      <w:tblPr>
        <w:tblStyle w:val="29"/>
        <w:tblW w:w="5010"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0" w:type="dxa"/>
          <w:bottom w:w="0" w:type="dxa"/>
          <w:right w:w="0" w:type="dxa"/>
        </w:tblCellMar>
      </w:tblPr>
      <w:tblGrid>
        <w:gridCol w:w="1282"/>
        <w:gridCol w:w="1274"/>
        <w:gridCol w:w="2386"/>
        <w:gridCol w:w="3385"/>
      </w:tblGrid>
      <w:tr w14:paraId="34FB753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029A1CAD">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采样点编号</w:t>
            </w:r>
          </w:p>
        </w:tc>
        <w:tc>
          <w:tcPr>
            <w:tcW w:w="1272" w:type="dxa"/>
            <w:noWrap w:val="0"/>
            <w:vAlign w:val="center"/>
          </w:tcPr>
          <w:p w14:paraId="2A44A733">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采样点名称</w:t>
            </w:r>
          </w:p>
        </w:tc>
        <w:tc>
          <w:tcPr>
            <w:tcW w:w="2383" w:type="dxa"/>
            <w:noWrap w:val="0"/>
            <w:vAlign w:val="center"/>
          </w:tcPr>
          <w:p w14:paraId="0B3DBFC4">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地理坐标</w:t>
            </w:r>
          </w:p>
        </w:tc>
        <w:tc>
          <w:tcPr>
            <w:tcW w:w="3381" w:type="dxa"/>
            <w:noWrap w:val="0"/>
            <w:vAlign w:val="center"/>
          </w:tcPr>
          <w:p w14:paraId="203CC96C">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功能区</w:t>
            </w:r>
          </w:p>
        </w:tc>
      </w:tr>
      <w:tr w14:paraId="643B0CB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0711BEE9">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w:t>
            </w:r>
          </w:p>
        </w:tc>
        <w:tc>
          <w:tcPr>
            <w:tcW w:w="1272" w:type="dxa"/>
            <w:noWrap w:val="0"/>
            <w:vAlign w:val="center"/>
          </w:tcPr>
          <w:p w14:paraId="5ECD6978">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鹿角</w:t>
            </w:r>
          </w:p>
        </w:tc>
        <w:tc>
          <w:tcPr>
            <w:tcW w:w="2383" w:type="dxa"/>
            <w:noWrap w:val="0"/>
            <w:vAlign w:val="center"/>
          </w:tcPr>
          <w:p w14:paraId="4D05F115">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112°59'28"E,29°09'06"N</w:t>
            </w:r>
          </w:p>
        </w:tc>
        <w:tc>
          <w:tcPr>
            <w:tcW w:w="3381" w:type="dxa"/>
            <w:noWrap w:val="0"/>
            <w:vAlign w:val="center"/>
          </w:tcPr>
          <w:p w14:paraId="59DC3506">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工程点附近，东洞庭湖鲤鲫黄颡鱼国家级水产种质资源保护区</w:t>
            </w:r>
          </w:p>
        </w:tc>
      </w:tr>
      <w:tr w14:paraId="6DEE842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192BD2EA">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2#</w:t>
            </w:r>
          </w:p>
        </w:tc>
        <w:tc>
          <w:tcPr>
            <w:tcW w:w="1272" w:type="dxa"/>
            <w:noWrap w:val="0"/>
            <w:vAlign w:val="center"/>
          </w:tcPr>
          <w:p w14:paraId="7C42B5D7">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煤炭湾</w:t>
            </w:r>
          </w:p>
        </w:tc>
        <w:tc>
          <w:tcPr>
            <w:tcW w:w="2383" w:type="dxa"/>
            <w:noWrap w:val="0"/>
            <w:vAlign w:val="center"/>
          </w:tcPr>
          <w:p w14:paraId="598DAF4A">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112°59'47"E,29°11'14"N</w:t>
            </w:r>
          </w:p>
        </w:tc>
        <w:tc>
          <w:tcPr>
            <w:tcW w:w="3381" w:type="dxa"/>
            <w:noWrap w:val="0"/>
            <w:vAlign w:val="center"/>
          </w:tcPr>
          <w:p w14:paraId="7FA1B02D">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工程点下游，东洞庭湖鲤鲫黄颡鱼国家级水产种质资源保护区</w:t>
            </w:r>
          </w:p>
        </w:tc>
      </w:tr>
      <w:tr w14:paraId="0B3A193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21323EBF">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3#</w:t>
            </w:r>
          </w:p>
        </w:tc>
        <w:tc>
          <w:tcPr>
            <w:tcW w:w="1272" w:type="dxa"/>
            <w:noWrap w:val="0"/>
            <w:vAlign w:val="center"/>
          </w:tcPr>
          <w:p w14:paraId="22941D20">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燕子洲</w:t>
            </w:r>
          </w:p>
        </w:tc>
        <w:tc>
          <w:tcPr>
            <w:tcW w:w="2383" w:type="dxa"/>
            <w:noWrap w:val="0"/>
            <w:vAlign w:val="center"/>
          </w:tcPr>
          <w:p w14:paraId="29B72131">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112°59'54"E,29°12'50"N</w:t>
            </w:r>
          </w:p>
        </w:tc>
        <w:tc>
          <w:tcPr>
            <w:tcW w:w="3381" w:type="dxa"/>
            <w:noWrap w:val="0"/>
            <w:vAlign w:val="center"/>
          </w:tcPr>
          <w:p w14:paraId="5E5498DD">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工程点下游，东洞庭湖鲤鲫黄颡鱼国家级水产种质资源保护区</w:t>
            </w:r>
          </w:p>
        </w:tc>
      </w:tr>
      <w:tr w14:paraId="3510696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56B0B915">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4#</w:t>
            </w:r>
          </w:p>
        </w:tc>
        <w:tc>
          <w:tcPr>
            <w:tcW w:w="1272" w:type="dxa"/>
            <w:noWrap w:val="0"/>
            <w:vAlign w:val="center"/>
          </w:tcPr>
          <w:p w14:paraId="2EED292A">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六门闸</w:t>
            </w:r>
          </w:p>
        </w:tc>
        <w:tc>
          <w:tcPr>
            <w:tcW w:w="2383" w:type="dxa"/>
            <w:noWrap w:val="0"/>
            <w:vAlign w:val="center"/>
          </w:tcPr>
          <w:p w14:paraId="71DFD7BE">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112°58'35"E,29°07'15"N</w:t>
            </w:r>
          </w:p>
        </w:tc>
        <w:tc>
          <w:tcPr>
            <w:tcW w:w="3381" w:type="dxa"/>
            <w:noWrap w:val="0"/>
            <w:vAlign w:val="center"/>
          </w:tcPr>
          <w:p w14:paraId="32E1ED1D">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工程点上游</w:t>
            </w:r>
          </w:p>
        </w:tc>
      </w:tr>
      <w:tr w14:paraId="4D28014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2ED999D5">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5#</w:t>
            </w:r>
          </w:p>
        </w:tc>
        <w:tc>
          <w:tcPr>
            <w:tcW w:w="1272" w:type="dxa"/>
            <w:noWrap w:val="0"/>
            <w:vAlign w:val="center"/>
          </w:tcPr>
          <w:p w14:paraId="3670D883">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鲇鱼口</w:t>
            </w:r>
          </w:p>
        </w:tc>
        <w:tc>
          <w:tcPr>
            <w:tcW w:w="2383" w:type="dxa"/>
            <w:noWrap w:val="0"/>
            <w:vAlign w:val="center"/>
          </w:tcPr>
          <w:p w14:paraId="5F1B27C5">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112°57'32"E,29°05'57"N</w:t>
            </w:r>
          </w:p>
        </w:tc>
        <w:tc>
          <w:tcPr>
            <w:tcW w:w="3381" w:type="dxa"/>
            <w:noWrap w:val="0"/>
            <w:vAlign w:val="center"/>
          </w:tcPr>
          <w:p w14:paraId="7F3B7C64">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工程点上游</w:t>
            </w:r>
          </w:p>
        </w:tc>
      </w:tr>
      <w:tr w14:paraId="3374A11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281" w:type="dxa"/>
            <w:noWrap w:val="0"/>
            <w:vAlign w:val="center"/>
          </w:tcPr>
          <w:p w14:paraId="0BC6C949">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w:t>
            </w:r>
          </w:p>
        </w:tc>
        <w:tc>
          <w:tcPr>
            <w:tcW w:w="1272" w:type="dxa"/>
            <w:noWrap w:val="0"/>
            <w:vAlign w:val="center"/>
          </w:tcPr>
          <w:p w14:paraId="2F88401B">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鹿角</w:t>
            </w:r>
          </w:p>
        </w:tc>
        <w:tc>
          <w:tcPr>
            <w:tcW w:w="2383" w:type="dxa"/>
            <w:noWrap w:val="0"/>
            <w:vAlign w:val="center"/>
          </w:tcPr>
          <w:p w14:paraId="76CF32B0">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112°59'28"E,29°09'06"N</w:t>
            </w:r>
          </w:p>
        </w:tc>
        <w:tc>
          <w:tcPr>
            <w:tcW w:w="3381" w:type="dxa"/>
            <w:noWrap w:val="0"/>
            <w:vAlign w:val="center"/>
          </w:tcPr>
          <w:p w14:paraId="77250753">
            <w:pPr>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工程点附近，东洞庭湖鲤鲫黄颡鱼国家级水产种质资源保护区</w:t>
            </w:r>
          </w:p>
        </w:tc>
      </w:tr>
    </w:tbl>
    <w:p w14:paraId="6F1904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u w:val="none" w:color="auto"/>
        </w:rPr>
      </w:pPr>
      <w:r>
        <w:rPr>
          <w:color w:val="auto"/>
          <w:position w:val="-139"/>
        </w:rPr>
        <w:drawing>
          <wp:inline distT="0" distB="0" distL="0" distR="0">
            <wp:extent cx="4645660" cy="3715385"/>
            <wp:effectExtent l="0" t="0" r="2540" b="18415"/>
            <wp:docPr id="28" name="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 62"/>
                    <pic:cNvPicPr>
                      <a:picLocks noChangeAspect="1"/>
                    </pic:cNvPicPr>
                  </pic:nvPicPr>
                  <pic:blipFill>
                    <a:blip r:embed="rId33"/>
                    <a:stretch>
                      <a:fillRect/>
                    </a:stretch>
                  </pic:blipFill>
                  <pic:spPr>
                    <a:xfrm>
                      <a:off x="0" y="0"/>
                      <a:ext cx="4646294" cy="3715385"/>
                    </a:xfrm>
                    <a:prstGeom prst="rect">
                      <a:avLst/>
                    </a:prstGeom>
                  </pic:spPr>
                </pic:pic>
              </a:graphicData>
            </a:graphic>
          </wp:inline>
        </w:drawing>
      </w:r>
    </w:p>
    <w:p w14:paraId="37ECD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lang w:val="en-US" w:eastAsia="zh-CN"/>
        </w:rPr>
        <w:t>图4.5-3 本项目水生生物调查点</w:t>
      </w:r>
    </w:p>
    <w:p w14:paraId="6D847ACB">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579" w:name="_Toc521971285"/>
      <w:bookmarkStart w:id="580" w:name="_Toc521943204"/>
      <w:bookmarkStart w:id="581" w:name="_Toc12975"/>
      <w:bookmarkStart w:id="582" w:name="_Toc24025"/>
      <w:bookmarkStart w:id="583" w:name="_Toc29250"/>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.5.3 </w:t>
      </w:r>
      <w:r>
        <w:rPr>
          <w:rFonts w:hint="default" w:ascii="Times New Roman" w:hAnsi="Times New Roman" w:eastAsia="宋体" w:cs="Times New Roman"/>
          <w:color w:val="auto"/>
          <w:sz w:val="24"/>
          <w:szCs w:val="24"/>
          <w:u w:val="none" w:color="auto"/>
        </w:rPr>
        <w:t>生态系统现状调查</w:t>
      </w:r>
      <w:bookmarkEnd w:id="579"/>
      <w:bookmarkEnd w:id="580"/>
      <w:bookmarkEnd w:id="581"/>
      <w:bookmarkEnd w:id="582"/>
      <w:bookmarkEnd w:id="583"/>
    </w:p>
    <w:p w14:paraId="20576ECF">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584" w:name="_Toc21685"/>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生态系统的结构与功能</w:t>
      </w:r>
      <w:bookmarkEnd w:id="584"/>
    </w:p>
    <w:p w14:paraId="7027850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的主要生态系统类型可分为自然生态系统和人工生态系统两2个大类，其中自然生态系统分为水生生态系统、湿地生态系统，主要分布在湖南东洞庭湖国家级自然保护区范围内。人工生态系统主要为农田生态系统以及城市生态系统，主要分布在湖南东洞庭湖国家级自然保护区范围之外，其他生态系统占总面积的2.36%。</w:t>
      </w:r>
    </w:p>
    <w:p w14:paraId="26EF49AB">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585" w:name="_Toc13609"/>
      <w:r>
        <w:rPr>
          <w:rFonts w:hint="default" w:ascii="Times New Roman" w:hAnsi="Times New Roman" w:eastAsia="宋体" w:cs="Times New Roman"/>
          <w:color w:val="auto"/>
          <w:sz w:val="24"/>
          <w:szCs w:val="24"/>
        </w:rPr>
        <w:t>1、土地利用现状</w:t>
      </w:r>
      <w:bookmarkEnd w:id="585"/>
    </w:p>
    <w:p w14:paraId="7710AEAC">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评价区总面积</w:t>
      </w:r>
      <w:r>
        <w:rPr>
          <w:rFonts w:hint="default" w:ascii="Times New Roman" w:hAnsi="Times New Roman" w:eastAsia="宋体" w:cs="Times New Roman"/>
          <w:color w:val="auto"/>
          <w:sz w:val="24"/>
          <w:szCs w:val="24"/>
          <w:lang w:val="en-US" w:eastAsia="zh-CN"/>
        </w:rPr>
        <w:t>380</w:t>
      </w:r>
      <w:r>
        <w:rPr>
          <w:rFonts w:hint="default" w:ascii="Times New Roman" w:hAnsi="Times New Roman" w:eastAsia="宋体" w:cs="Times New Roman"/>
          <w:color w:val="auto"/>
          <w:sz w:val="24"/>
          <w:szCs w:val="24"/>
        </w:rPr>
        <w:t>.34hm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，区域土地利用现状见表</w:t>
      </w:r>
      <w:r>
        <w:rPr>
          <w:rFonts w:hint="default" w:ascii="Times New Roman" w:hAnsi="Times New Roman" w:eastAsia="宋体" w:cs="Times New Roman"/>
          <w:color w:val="auto"/>
          <w:sz w:val="24"/>
          <w:szCs w:val="24"/>
          <w:lang w:val="en-US" w:eastAsia="zh-CN"/>
        </w:rPr>
        <w:t>4.5-11</w:t>
      </w:r>
      <w:r>
        <w:rPr>
          <w:rFonts w:hint="default" w:ascii="Times New Roman" w:hAnsi="Times New Roman" w:eastAsia="宋体" w:cs="Times New Roman"/>
          <w:color w:val="auto"/>
          <w:sz w:val="24"/>
          <w:szCs w:val="24"/>
        </w:rPr>
        <w:t>。</w:t>
      </w:r>
    </w:p>
    <w:p w14:paraId="2E8C75F2">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lang w:val="en-US" w:eastAsia="zh-CN"/>
        </w:rPr>
      </w:pPr>
    </w:p>
    <w:p w14:paraId="5ED5CB79">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表4.5-11 </w:t>
      </w:r>
      <w:r>
        <w:rPr>
          <w:rFonts w:hint="default" w:ascii="Times New Roman" w:hAnsi="Times New Roman" w:eastAsia="宋体" w:cs="Times New Roman"/>
          <w:color w:val="auto"/>
          <w:sz w:val="24"/>
          <w:szCs w:val="24"/>
          <w:u w:val="none" w:color="auto"/>
        </w:rPr>
        <w:t>评价区内土地利用现状</w:t>
      </w:r>
    </w:p>
    <w:tbl>
      <w:tblPr>
        <w:tblStyle w:val="64"/>
        <w:tblW w:w="8286" w:type="dxa"/>
        <w:tblInd w:w="13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184"/>
        <w:gridCol w:w="3310"/>
        <w:gridCol w:w="2792"/>
      </w:tblGrid>
      <w:tr w14:paraId="5FD0488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bottom w:val="single" w:color="000000" w:sz="4" w:space="0"/>
              <w:right w:val="single" w:color="000000" w:sz="4" w:space="0"/>
            </w:tcBorders>
            <w:noWrap w:val="0"/>
            <w:vAlign w:val="center"/>
          </w:tcPr>
          <w:p w14:paraId="19C1A8AD">
            <w:pPr>
              <w:pStyle w:val="63"/>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斑块类型</w:t>
            </w:r>
          </w:p>
        </w:tc>
        <w:tc>
          <w:tcPr>
            <w:tcW w:w="3310" w:type="dxa"/>
            <w:tcBorders>
              <w:left w:val="single" w:color="000000" w:sz="4" w:space="0"/>
              <w:bottom w:val="single" w:color="000000" w:sz="4" w:space="0"/>
              <w:right w:val="single" w:color="000000" w:sz="4" w:space="0"/>
            </w:tcBorders>
            <w:noWrap w:val="0"/>
            <w:vAlign w:val="center"/>
          </w:tcPr>
          <w:p w14:paraId="1E64C306">
            <w:pPr>
              <w:pStyle w:val="63"/>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面积(hm</w:t>
            </w:r>
            <w:r>
              <w:rPr>
                <w:rFonts w:hint="default" w:ascii="Times New Roman" w:hAnsi="Times New Roman" w:eastAsia="宋体" w:cs="Times New Roman"/>
                <w:b/>
                <w:bCs/>
                <w:color w:val="auto"/>
                <w:u w:val="none" w:color="auto"/>
                <w:vertAlign w:val="superscript"/>
                <w:lang w:val="en-US" w:eastAsia="zh-CN"/>
              </w:rPr>
              <w:t>2</w:t>
            </w:r>
            <w:r>
              <w:rPr>
                <w:rFonts w:hint="default" w:ascii="Times New Roman" w:hAnsi="Times New Roman" w:eastAsia="宋体" w:cs="Times New Roman"/>
                <w:b/>
                <w:bCs/>
                <w:color w:val="auto"/>
                <w:u w:val="none" w:color="auto"/>
                <w:lang w:val="en-US" w:eastAsia="zh-CN"/>
              </w:rPr>
              <w:t>)</w:t>
            </w:r>
          </w:p>
        </w:tc>
        <w:tc>
          <w:tcPr>
            <w:tcW w:w="2792" w:type="dxa"/>
            <w:tcBorders>
              <w:left w:val="single" w:color="000000" w:sz="4" w:space="0"/>
              <w:bottom w:val="single" w:color="000000" w:sz="4" w:space="0"/>
            </w:tcBorders>
            <w:noWrap w:val="0"/>
            <w:vAlign w:val="center"/>
          </w:tcPr>
          <w:p w14:paraId="59B8B109">
            <w:pPr>
              <w:pStyle w:val="63"/>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所占比例(%)</w:t>
            </w:r>
          </w:p>
        </w:tc>
      </w:tr>
      <w:tr w14:paraId="0CF3DD2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bottom w:val="single" w:color="000000" w:sz="4" w:space="0"/>
              <w:right w:val="single" w:color="000000" w:sz="4" w:space="0"/>
            </w:tcBorders>
            <w:noWrap w:val="0"/>
            <w:vAlign w:val="center"/>
          </w:tcPr>
          <w:p w14:paraId="4CC09924">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林地</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762F8EDF">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22.29</w:t>
            </w:r>
          </w:p>
        </w:tc>
        <w:tc>
          <w:tcPr>
            <w:tcW w:w="2792" w:type="dxa"/>
            <w:tcBorders>
              <w:top w:val="single" w:color="000000" w:sz="4" w:space="0"/>
              <w:left w:val="single" w:color="000000" w:sz="4" w:space="0"/>
              <w:bottom w:val="single" w:color="000000" w:sz="4" w:space="0"/>
            </w:tcBorders>
            <w:noWrap w:val="0"/>
            <w:vAlign w:val="center"/>
          </w:tcPr>
          <w:p w14:paraId="2FE5EE26">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5.86</w:t>
            </w:r>
          </w:p>
        </w:tc>
      </w:tr>
      <w:tr w14:paraId="46652AA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bottom w:val="single" w:color="000000" w:sz="4" w:space="0"/>
              <w:right w:val="single" w:color="000000" w:sz="4" w:space="0"/>
            </w:tcBorders>
            <w:noWrap w:val="0"/>
            <w:vAlign w:val="center"/>
          </w:tcPr>
          <w:p w14:paraId="1A9BFD8C">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草地</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498022AE">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77.17</w:t>
            </w:r>
          </w:p>
        </w:tc>
        <w:tc>
          <w:tcPr>
            <w:tcW w:w="2792" w:type="dxa"/>
            <w:tcBorders>
              <w:top w:val="single" w:color="000000" w:sz="4" w:space="0"/>
              <w:left w:val="single" w:color="000000" w:sz="4" w:space="0"/>
              <w:bottom w:val="single" w:color="000000" w:sz="4" w:space="0"/>
            </w:tcBorders>
            <w:noWrap w:val="0"/>
            <w:vAlign w:val="center"/>
          </w:tcPr>
          <w:p w14:paraId="7EC3286D">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20.29</w:t>
            </w:r>
          </w:p>
        </w:tc>
      </w:tr>
      <w:tr w14:paraId="1146178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bottom w:val="single" w:color="000000" w:sz="4" w:space="0"/>
              <w:right w:val="single" w:color="000000" w:sz="4" w:space="0"/>
            </w:tcBorders>
            <w:noWrap w:val="0"/>
            <w:vAlign w:val="center"/>
          </w:tcPr>
          <w:p w14:paraId="691D83E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耕地</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4369AF3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18.29</w:t>
            </w:r>
          </w:p>
        </w:tc>
        <w:tc>
          <w:tcPr>
            <w:tcW w:w="2792" w:type="dxa"/>
            <w:tcBorders>
              <w:top w:val="single" w:color="000000" w:sz="4" w:space="0"/>
              <w:left w:val="single" w:color="000000" w:sz="4" w:space="0"/>
              <w:bottom w:val="single" w:color="000000" w:sz="4" w:space="0"/>
            </w:tcBorders>
            <w:noWrap w:val="0"/>
            <w:vAlign w:val="center"/>
          </w:tcPr>
          <w:p w14:paraId="287F3A60">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4.81</w:t>
            </w:r>
          </w:p>
        </w:tc>
      </w:tr>
      <w:tr w14:paraId="72B978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bottom w:val="single" w:color="000000" w:sz="4" w:space="0"/>
              <w:right w:val="single" w:color="000000" w:sz="4" w:space="0"/>
            </w:tcBorders>
            <w:noWrap w:val="0"/>
            <w:vAlign w:val="center"/>
          </w:tcPr>
          <w:p w14:paraId="42FBE52C">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水域</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1C76E005">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201.31</w:t>
            </w:r>
          </w:p>
        </w:tc>
        <w:tc>
          <w:tcPr>
            <w:tcW w:w="2792" w:type="dxa"/>
            <w:tcBorders>
              <w:top w:val="single" w:color="000000" w:sz="4" w:space="0"/>
              <w:left w:val="single" w:color="000000" w:sz="4" w:space="0"/>
              <w:bottom w:val="single" w:color="000000" w:sz="4" w:space="0"/>
            </w:tcBorders>
            <w:noWrap w:val="0"/>
            <w:vAlign w:val="center"/>
          </w:tcPr>
          <w:p w14:paraId="217CA7AE">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52.93</w:t>
            </w:r>
          </w:p>
        </w:tc>
      </w:tr>
      <w:tr w14:paraId="459EECD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bottom w:val="single" w:color="000000" w:sz="4" w:space="0"/>
              <w:right w:val="single" w:color="000000" w:sz="4" w:space="0"/>
            </w:tcBorders>
            <w:noWrap w:val="0"/>
            <w:vAlign w:val="center"/>
          </w:tcPr>
          <w:p w14:paraId="0C27C1A8">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建设用地</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07EADC90">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61.27</w:t>
            </w:r>
          </w:p>
        </w:tc>
        <w:tc>
          <w:tcPr>
            <w:tcW w:w="2792" w:type="dxa"/>
            <w:tcBorders>
              <w:top w:val="single" w:color="000000" w:sz="4" w:space="0"/>
              <w:left w:val="single" w:color="000000" w:sz="4" w:space="0"/>
              <w:bottom w:val="single" w:color="000000" w:sz="4" w:space="0"/>
            </w:tcBorders>
            <w:noWrap w:val="0"/>
            <w:vAlign w:val="center"/>
          </w:tcPr>
          <w:p w14:paraId="3A8D7020">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16.11</w:t>
            </w:r>
          </w:p>
        </w:tc>
      </w:tr>
      <w:tr w14:paraId="2D1B81A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84" w:type="dxa"/>
            <w:tcBorders>
              <w:top w:val="single" w:color="000000" w:sz="4" w:space="0"/>
              <w:right w:val="single" w:color="000000" w:sz="4" w:space="0"/>
            </w:tcBorders>
            <w:noWrap w:val="0"/>
            <w:vAlign w:val="center"/>
          </w:tcPr>
          <w:p w14:paraId="090C7501">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小计</w:t>
            </w:r>
          </w:p>
        </w:tc>
        <w:tc>
          <w:tcPr>
            <w:tcW w:w="3310" w:type="dxa"/>
            <w:tcBorders>
              <w:top w:val="single" w:color="000000" w:sz="4" w:space="0"/>
              <w:left w:val="single" w:color="000000" w:sz="4" w:space="0"/>
              <w:right w:val="single" w:color="000000" w:sz="4" w:space="0"/>
            </w:tcBorders>
            <w:noWrap w:val="0"/>
            <w:vAlign w:val="center"/>
          </w:tcPr>
          <w:p w14:paraId="55A06781">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380.34</w:t>
            </w:r>
          </w:p>
        </w:tc>
        <w:tc>
          <w:tcPr>
            <w:tcW w:w="2792" w:type="dxa"/>
            <w:tcBorders>
              <w:top w:val="single" w:color="000000" w:sz="4" w:space="0"/>
              <w:left w:val="single" w:color="000000" w:sz="4" w:space="0"/>
            </w:tcBorders>
            <w:noWrap w:val="0"/>
            <w:vAlign w:val="center"/>
          </w:tcPr>
          <w:p w14:paraId="1802BB3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100</w:t>
            </w:r>
          </w:p>
        </w:tc>
      </w:tr>
    </w:tbl>
    <w:p w14:paraId="7EF296FC">
      <w:pPr>
        <w:pageBreakBefore w:val="0"/>
        <w:kinsoku/>
        <w:wordWrap/>
        <w:overflowPunct/>
        <w:topLinePunct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由表</w:t>
      </w:r>
      <w:r>
        <w:rPr>
          <w:rFonts w:hint="default" w:ascii="Times New Roman" w:hAnsi="Times New Roman" w:eastAsia="宋体" w:cs="Times New Roman"/>
          <w:color w:val="auto"/>
          <w:sz w:val="24"/>
          <w:szCs w:val="24"/>
          <w:u w:val="none" w:color="auto"/>
          <w:lang w:val="en-US" w:eastAsia="zh-CN"/>
        </w:rPr>
        <w:t>4.5-11</w:t>
      </w:r>
      <w:r>
        <w:rPr>
          <w:rFonts w:hint="default" w:ascii="Times New Roman" w:hAnsi="Times New Roman" w:eastAsia="宋体" w:cs="Times New Roman"/>
          <w:color w:val="auto"/>
          <w:sz w:val="24"/>
          <w:szCs w:val="24"/>
          <w:u w:val="none" w:color="auto"/>
        </w:rPr>
        <w:t>可知，评价区内土地利用类型以水域为主，面积为</w:t>
      </w:r>
      <w:r>
        <w:rPr>
          <w:rFonts w:hint="default" w:ascii="Times New Roman" w:hAnsi="Times New Roman" w:eastAsia="宋体" w:cs="Times New Roman"/>
          <w:color w:val="auto"/>
          <w:sz w:val="24"/>
          <w:szCs w:val="24"/>
          <w:u w:val="none" w:color="auto"/>
          <w:lang w:val="en-US" w:eastAsia="zh-CN"/>
        </w:rPr>
        <w:t>201.31</w:t>
      </w:r>
      <w:r>
        <w:rPr>
          <w:rFonts w:hint="default" w:ascii="Times New Roman" w:hAnsi="Times New Roman" w:eastAsia="宋体" w:cs="Times New Roman"/>
          <w:color w:val="auto"/>
          <w:sz w:val="24"/>
          <w:szCs w:val="24"/>
          <w:u w:val="none" w:color="auto"/>
        </w:rPr>
        <w:t>hm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，占评价区总面积的52.93%；其次为灌草地、建设用地，面积分别为</w:t>
      </w:r>
      <w:r>
        <w:rPr>
          <w:rFonts w:hint="default" w:ascii="Times New Roman" w:hAnsi="Times New Roman" w:eastAsia="宋体" w:cs="Times New Roman"/>
          <w:color w:val="auto"/>
          <w:sz w:val="24"/>
          <w:szCs w:val="24"/>
          <w:u w:val="none" w:color="auto"/>
          <w:lang w:val="en-US" w:eastAsia="zh-CN"/>
        </w:rPr>
        <w:t>77.17</w:t>
      </w:r>
      <w:r>
        <w:rPr>
          <w:rFonts w:hint="default" w:ascii="Times New Roman" w:hAnsi="Times New Roman" w:eastAsia="宋体" w:cs="Times New Roman"/>
          <w:color w:val="auto"/>
          <w:sz w:val="24"/>
          <w:szCs w:val="24"/>
          <w:u w:val="none" w:color="auto"/>
        </w:rPr>
        <w:t>hm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61.27</w:t>
      </w:r>
      <w:r>
        <w:rPr>
          <w:rFonts w:hint="default" w:ascii="Times New Roman" w:hAnsi="Times New Roman" w:eastAsia="宋体" w:cs="Times New Roman"/>
          <w:color w:val="auto"/>
          <w:sz w:val="24"/>
          <w:szCs w:val="24"/>
          <w:u w:val="none" w:color="auto"/>
        </w:rPr>
        <w:t>hm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，占评价区总面积的20.29%、16.11%；评价区林地、耕地面积较小。卫片解译结果与现场调查情况相符。</w:t>
      </w:r>
    </w:p>
    <w:p w14:paraId="7F9201F4">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u w:val="none" w:color="auto"/>
        </w:rPr>
      </w:pPr>
      <w:bookmarkStart w:id="586" w:name="_Toc11665"/>
      <w:r>
        <w:rPr>
          <w:rFonts w:hint="default" w:ascii="Times New Roman" w:hAnsi="Times New Roman" w:eastAsia="宋体" w:cs="Times New Roman"/>
          <w:color w:val="auto"/>
          <w:sz w:val="24"/>
          <w:szCs w:val="24"/>
          <w:u w:val="none" w:color="auto"/>
        </w:rPr>
        <w:t>2、生态系统现状</w:t>
      </w:r>
      <w:bookmarkEnd w:id="586"/>
    </w:p>
    <w:p w14:paraId="0324BB6F">
      <w:pPr>
        <w:pageBreakBefore w:val="0"/>
        <w:kinsoku/>
        <w:wordWrap/>
        <w:overflowPunct/>
        <w:topLinePunct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评价区内生态系统划分为森林生态系统、草地生态系统、湿地生态系统、农业生态系统、城镇生态系统。</w:t>
      </w:r>
    </w:p>
    <w:p w14:paraId="06EB2651">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 xml:space="preserve"> </w:t>
      </w:r>
      <w:r>
        <w:rPr>
          <w:rFonts w:hint="default" w:ascii="Times New Roman" w:hAnsi="Times New Roman" w:eastAsia="宋体" w:cs="Times New Roman"/>
          <w:color w:val="auto"/>
          <w:sz w:val="24"/>
          <w:szCs w:val="24"/>
          <w:u w:val="none" w:color="auto"/>
          <w:lang w:val="en-US" w:eastAsia="zh-CN"/>
        </w:rPr>
        <w:t xml:space="preserve">表4.5-12 </w:t>
      </w:r>
      <w:r>
        <w:rPr>
          <w:rFonts w:hint="default" w:ascii="Times New Roman" w:hAnsi="Times New Roman" w:eastAsia="宋体" w:cs="Times New Roman"/>
          <w:b/>
          <w:color w:val="auto"/>
          <w:sz w:val="24"/>
          <w:szCs w:val="24"/>
          <w:u w:val="none" w:color="auto"/>
        </w:rPr>
        <w:t>评价区生态系统面积统计表</w:t>
      </w:r>
    </w:p>
    <w:tbl>
      <w:tblPr>
        <w:tblStyle w:val="64"/>
        <w:tblW w:w="8220" w:type="dxa"/>
        <w:tblInd w:w="23"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195"/>
        <w:gridCol w:w="2181"/>
        <w:gridCol w:w="2181"/>
        <w:gridCol w:w="1663"/>
      </w:tblGrid>
      <w:tr w14:paraId="0916365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bottom w:val="single" w:color="000000" w:sz="4" w:space="0"/>
              <w:right w:val="single" w:color="000000" w:sz="4" w:space="0"/>
            </w:tcBorders>
            <w:noWrap w:val="0"/>
            <w:vAlign w:val="center"/>
          </w:tcPr>
          <w:p w14:paraId="2A3C83DF">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I级分类</w:t>
            </w:r>
          </w:p>
        </w:tc>
        <w:tc>
          <w:tcPr>
            <w:tcW w:w="2181" w:type="dxa"/>
            <w:tcBorders>
              <w:left w:val="single" w:color="000000" w:sz="4" w:space="0"/>
              <w:bottom w:val="single" w:color="000000" w:sz="4" w:space="0"/>
              <w:right w:val="single" w:color="000000" w:sz="4" w:space="0"/>
            </w:tcBorders>
            <w:noWrap w:val="0"/>
            <w:vAlign w:val="center"/>
          </w:tcPr>
          <w:p w14:paraId="6EA84F62">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II 级分类</w:t>
            </w:r>
          </w:p>
        </w:tc>
        <w:tc>
          <w:tcPr>
            <w:tcW w:w="2181" w:type="dxa"/>
            <w:tcBorders>
              <w:left w:val="single" w:color="000000" w:sz="4" w:space="0"/>
              <w:bottom w:val="single" w:color="000000" w:sz="4" w:space="0"/>
              <w:right w:val="single" w:color="000000" w:sz="4" w:space="0"/>
            </w:tcBorders>
            <w:noWrap w:val="0"/>
            <w:vAlign w:val="center"/>
          </w:tcPr>
          <w:p w14:paraId="41E3730B">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面积(hm</w:t>
            </w:r>
            <w:r>
              <w:rPr>
                <w:rFonts w:hint="default" w:ascii="Times New Roman" w:hAnsi="Times New Roman" w:eastAsia="宋体" w:cs="Times New Roman"/>
                <w:color w:val="auto"/>
                <w:u w:val="none" w:color="auto"/>
                <w:vertAlign w:val="superscript"/>
                <w:lang w:val="en-US" w:eastAsia="zh-CN"/>
              </w:rPr>
              <w:t>2</w:t>
            </w:r>
            <w:r>
              <w:rPr>
                <w:rFonts w:hint="default" w:ascii="Times New Roman" w:hAnsi="Times New Roman" w:eastAsia="宋体" w:cs="Times New Roman"/>
                <w:color w:val="auto"/>
                <w:u w:val="none" w:color="auto"/>
                <w:lang w:val="en-US" w:eastAsia="zh-CN"/>
              </w:rPr>
              <w:t xml:space="preserve"> )</w:t>
            </w:r>
          </w:p>
        </w:tc>
        <w:tc>
          <w:tcPr>
            <w:tcW w:w="1663" w:type="dxa"/>
            <w:tcBorders>
              <w:left w:val="single" w:color="000000" w:sz="4" w:space="0"/>
              <w:bottom w:val="single" w:color="000000" w:sz="4" w:space="0"/>
            </w:tcBorders>
            <w:noWrap w:val="0"/>
            <w:vAlign w:val="center"/>
          </w:tcPr>
          <w:p w14:paraId="2C3CBA16">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比例(%)</w:t>
            </w:r>
          </w:p>
        </w:tc>
      </w:tr>
      <w:tr w14:paraId="3B4A858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bottom w:val="single" w:color="000000" w:sz="4" w:space="0"/>
              <w:right w:val="single" w:color="000000" w:sz="4" w:space="0"/>
            </w:tcBorders>
            <w:noWrap w:val="0"/>
            <w:vAlign w:val="center"/>
          </w:tcPr>
          <w:p w14:paraId="3F4B6DA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森林生态系统</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4C92E9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阔叶林</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9005D34">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22.29</w:t>
            </w:r>
          </w:p>
        </w:tc>
        <w:tc>
          <w:tcPr>
            <w:tcW w:w="1663" w:type="dxa"/>
            <w:tcBorders>
              <w:top w:val="single" w:color="000000" w:sz="4" w:space="0"/>
              <w:left w:val="single" w:color="000000" w:sz="4" w:space="0"/>
              <w:bottom w:val="single" w:color="000000" w:sz="4" w:space="0"/>
            </w:tcBorders>
            <w:noWrap w:val="0"/>
            <w:vAlign w:val="center"/>
          </w:tcPr>
          <w:p w14:paraId="7775996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5.86</w:t>
            </w:r>
          </w:p>
        </w:tc>
      </w:tr>
      <w:tr w14:paraId="453E613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bottom w:val="single" w:color="000000" w:sz="4" w:space="0"/>
              <w:right w:val="single" w:color="000000" w:sz="4" w:space="0"/>
            </w:tcBorders>
            <w:noWrap w:val="0"/>
            <w:vAlign w:val="center"/>
          </w:tcPr>
          <w:p w14:paraId="7DE3490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草地生态系统</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985A385">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草地</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05269DF9">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77.17</w:t>
            </w:r>
          </w:p>
        </w:tc>
        <w:tc>
          <w:tcPr>
            <w:tcW w:w="1663" w:type="dxa"/>
            <w:tcBorders>
              <w:top w:val="single" w:color="000000" w:sz="4" w:space="0"/>
              <w:left w:val="single" w:color="000000" w:sz="4" w:space="0"/>
              <w:bottom w:val="single" w:color="000000" w:sz="4" w:space="0"/>
            </w:tcBorders>
            <w:noWrap w:val="0"/>
            <w:vAlign w:val="center"/>
          </w:tcPr>
          <w:p w14:paraId="1DAF728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20.29</w:t>
            </w:r>
          </w:p>
        </w:tc>
      </w:tr>
      <w:tr w14:paraId="490EAA5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bottom w:val="single" w:color="000000" w:sz="4" w:space="0"/>
              <w:right w:val="single" w:color="000000" w:sz="4" w:space="0"/>
            </w:tcBorders>
            <w:noWrap w:val="0"/>
            <w:vAlign w:val="center"/>
          </w:tcPr>
          <w:p w14:paraId="153A20D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农田生态系统</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1EBE319">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耕地</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4AB7D39">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18.29</w:t>
            </w:r>
          </w:p>
        </w:tc>
        <w:tc>
          <w:tcPr>
            <w:tcW w:w="1663" w:type="dxa"/>
            <w:tcBorders>
              <w:top w:val="single" w:color="000000" w:sz="4" w:space="0"/>
              <w:left w:val="single" w:color="000000" w:sz="4" w:space="0"/>
              <w:bottom w:val="single" w:color="000000" w:sz="4" w:space="0"/>
            </w:tcBorders>
            <w:noWrap w:val="0"/>
            <w:vAlign w:val="center"/>
          </w:tcPr>
          <w:p w14:paraId="0B8CFA7B">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4.81</w:t>
            </w:r>
          </w:p>
        </w:tc>
      </w:tr>
      <w:tr w14:paraId="7AB8175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bottom w:val="single" w:color="000000" w:sz="4" w:space="0"/>
              <w:right w:val="single" w:color="000000" w:sz="4" w:space="0"/>
            </w:tcBorders>
            <w:noWrap w:val="0"/>
            <w:vAlign w:val="center"/>
          </w:tcPr>
          <w:p w14:paraId="12AC6FB5">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湿地生态系统</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5AA2C89D">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河流</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3B925397">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201.31</w:t>
            </w:r>
          </w:p>
        </w:tc>
        <w:tc>
          <w:tcPr>
            <w:tcW w:w="1663" w:type="dxa"/>
            <w:tcBorders>
              <w:top w:val="single" w:color="000000" w:sz="4" w:space="0"/>
              <w:left w:val="single" w:color="000000" w:sz="4" w:space="0"/>
              <w:bottom w:val="single" w:color="000000" w:sz="4" w:space="0"/>
            </w:tcBorders>
            <w:noWrap w:val="0"/>
            <w:vAlign w:val="center"/>
          </w:tcPr>
          <w:p w14:paraId="2B19618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52.93</w:t>
            </w:r>
          </w:p>
        </w:tc>
      </w:tr>
      <w:tr w14:paraId="563C876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bottom w:val="single" w:color="000000" w:sz="4" w:space="0"/>
              <w:right w:val="single" w:color="000000" w:sz="4" w:space="0"/>
            </w:tcBorders>
            <w:noWrap w:val="0"/>
            <w:vAlign w:val="center"/>
          </w:tcPr>
          <w:p w14:paraId="6D97B94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城镇生态系统</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6EF64E24">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住宅、交通用地等</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17A550F">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61.27</w:t>
            </w:r>
          </w:p>
        </w:tc>
        <w:tc>
          <w:tcPr>
            <w:tcW w:w="1663" w:type="dxa"/>
            <w:tcBorders>
              <w:top w:val="single" w:color="000000" w:sz="4" w:space="0"/>
              <w:left w:val="single" w:color="000000" w:sz="4" w:space="0"/>
              <w:bottom w:val="single" w:color="000000" w:sz="4" w:space="0"/>
            </w:tcBorders>
            <w:noWrap w:val="0"/>
            <w:vAlign w:val="center"/>
          </w:tcPr>
          <w:p w14:paraId="4B197AE3">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16.11</w:t>
            </w:r>
          </w:p>
        </w:tc>
      </w:tr>
      <w:tr w14:paraId="09093B4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95" w:type="dxa"/>
            <w:tcBorders>
              <w:top w:val="single" w:color="000000" w:sz="4" w:space="0"/>
              <w:right w:val="single" w:color="000000" w:sz="4" w:space="0"/>
            </w:tcBorders>
            <w:noWrap w:val="0"/>
            <w:vAlign w:val="center"/>
          </w:tcPr>
          <w:p w14:paraId="0504F60C">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合计</w:t>
            </w:r>
          </w:p>
        </w:tc>
        <w:tc>
          <w:tcPr>
            <w:tcW w:w="2181" w:type="dxa"/>
            <w:tcBorders>
              <w:top w:val="single" w:color="000000" w:sz="4" w:space="0"/>
              <w:left w:val="single" w:color="000000" w:sz="4" w:space="0"/>
              <w:right w:val="single" w:color="000000" w:sz="4" w:space="0"/>
            </w:tcBorders>
            <w:noWrap w:val="0"/>
            <w:vAlign w:val="center"/>
          </w:tcPr>
          <w:p w14:paraId="472B077F">
            <w:pPr>
              <w:pStyle w:val="63"/>
              <w:jc w:val="center"/>
              <w:rPr>
                <w:rFonts w:hint="default" w:ascii="Times New Roman" w:hAnsi="Times New Roman" w:eastAsia="宋体" w:cs="Times New Roman"/>
                <w:color w:val="auto"/>
                <w:u w:val="none" w:color="auto"/>
                <w:lang w:val="en-US" w:eastAsia="zh-CN"/>
              </w:rPr>
            </w:pPr>
          </w:p>
        </w:tc>
        <w:tc>
          <w:tcPr>
            <w:tcW w:w="2181" w:type="dxa"/>
            <w:tcBorders>
              <w:top w:val="single" w:color="000000" w:sz="4" w:space="0"/>
              <w:left w:val="single" w:color="000000" w:sz="4" w:space="0"/>
              <w:right w:val="single" w:color="000000" w:sz="4" w:space="0"/>
            </w:tcBorders>
            <w:noWrap w:val="0"/>
            <w:vAlign w:val="center"/>
          </w:tcPr>
          <w:p w14:paraId="61A5FA02">
            <w:pPr>
              <w:pStyle w:val="63"/>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380.34</w:t>
            </w:r>
          </w:p>
        </w:tc>
        <w:tc>
          <w:tcPr>
            <w:tcW w:w="1663" w:type="dxa"/>
            <w:tcBorders>
              <w:top w:val="single" w:color="000000" w:sz="4" w:space="0"/>
              <w:left w:val="single" w:color="000000" w:sz="4" w:space="0"/>
            </w:tcBorders>
            <w:noWrap w:val="0"/>
            <w:vAlign w:val="center"/>
          </w:tcPr>
          <w:p w14:paraId="71CE3E82">
            <w:pPr>
              <w:pStyle w:val="63"/>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100</w:t>
            </w:r>
          </w:p>
        </w:tc>
      </w:tr>
    </w:tbl>
    <w:p w14:paraId="3C3FC142">
      <w:pPr>
        <w:pStyle w:val="36"/>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mc:AlternateContent>
          <mc:Choice Requires="wps">
            <w:drawing>
              <wp:anchor distT="0" distB="0" distL="114300" distR="114300" simplePos="0" relativeHeight="251668480" behindDoc="0" locked="0" layoutInCell="1" allowOverlap="1">
                <wp:simplePos x="0" y="0"/>
                <wp:positionH relativeFrom="column">
                  <wp:posOffset>3308985</wp:posOffset>
                </wp:positionH>
                <wp:positionV relativeFrom="paragraph">
                  <wp:posOffset>4839335</wp:posOffset>
                </wp:positionV>
                <wp:extent cx="1035685" cy="268605"/>
                <wp:effectExtent l="523240" t="51435" r="22225" b="22860"/>
                <wp:wrapNone/>
                <wp:docPr id="87" name="矩形标注 87"/>
                <wp:cNvGraphicFramePr/>
                <a:graphic xmlns:a="http://schemas.openxmlformats.org/drawingml/2006/main">
                  <a:graphicData uri="http://schemas.microsoft.com/office/word/2010/wordprocessingShape">
                    <wps:wsp>
                      <wps:cNvSpPr/>
                      <wps:spPr>
                        <a:xfrm>
                          <a:off x="0" y="0"/>
                          <a:ext cx="1035685" cy="268605"/>
                        </a:xfrm>
                        <a:prstGeom prst="wedgeRectCallout">
                          <a:avLst>
                            <a:gd name="adj1" fmla="val -96898"/>
                            <a:gd name="adj2" fmla="val -64889"/>
                          </a:avLst>
                        </a:prstGeom>
                        <a:noFill/>
                        <a:ln w="9525" cap="flat" cmpd="sng">
                          <a:solidFill>
                            <a:srgbClr val="C00000"/>
                          </a:solidFill>
                          <a:prstDash val="solid"/>
                          <a:miter/>
                          <a:headEnd type="none" w="med" len="med"/>
                          <a:tailEnd type="none" w="med" len="med"/>
                        </a:ln>
                      </wps:spPr>
                      <wps:txbx>
                        <w:txbxContent>
                          <w:p w14:paraId="0F20EAC3">
                            <w:pPr>
                              <w:spacing w:line="240" w:lineRule="auto"/>
                              <w:ind w:firstLine="0" w:firstLineChars="0"/>
                              <w:rPr>
                                <w:b/>
                                <w:bCs/>
                                <w:color w:val="000000"/>
                                <w:sz w:val="21"/>
                                <w:szCs w:val="21"/>
                              </w:rPr>
                            </w:pPr>
                            <w:r>
                              <w:rPr>
                                <w:rFonts w:hint="eastAsia"/>
                                <w:b/>
                                <w:bCs/>
                                <w:color w:val="000000"/>
                                <w:sz w:val="21"/>
                                <w:szCs w:val="21"/>
                              </w:rPr>
                              <w:t>项目所在区域</w:t>
                            </w:r>
                          </w:p>
                        </w:txbxContent>
                      </wps:txbx>
                      <wps:bodyPr upright="1"/>
                    </wps:wsp>
                  </a:graphicData>
                </a:graphic>
              </wp:anchor>
            </w:drawing>
          </mc:Choice>
          <mc:Fallback>
            <w:pict>
              <v:shape id="_x0000_s1026" o:spid="_x0000_s1026" o:spt="61" type="#_x0000_t61" style="position:absolute;left:0pt;margin-left:260.55pt;margin-top:381.05pt;height:21.15pt;width:81.55pt;z-index:251668480;mso-width-relative:page;mso-height-relative:page;" filled="f" stroked="t" coordsize="21600,21600" o:gfxdata="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DeKE/YAAAACwEAAA8AAAAAAAAAAQAgAAAAIgAAAGRycy9kb3ducmV2&#10;LnhtbFBLAQIUABQAAAAIAIdO4kDgHd5CNQIAAGcEAAAOAAAAAAAAAAEAIAAAACcBAABkcnMvZTJv&#10;RG9jLnhtbFBLBQYAAAAABgAGAFkBAADOBQAAAAA=&#10;" adj="-10130,-3216">
                <v:fill on="f" focussize="0,0"/>
                <v:stroke color="#C00000" joinstyle="miter"/>
                <v:imagedata o:title=""/>
                <o:lock v:ext="edit" aspectratio="f"/>
                <v:textbox>
                  <w:txbxContent>
                    <w:p w14:paraId="0F20EAC3">
                      <w:pPr>
                        <w:spacing w:line="240" w:lineRule="auto"/>
                        <w:ind w:firstLine="0" w:firstLineChars="0"/>
                        <w:rPr>
                          <w:b/>
                          <w:bCs/>
                          <w:color w:val="000000"/>
                          <w:sz w:val="21"/>
                          <w:szCs w:val="21"/>
                        </w:rPr>
                      </w:pPr>
                      <w:r>
                        <w:rPr>
                          <w:rFonts w:hint="eastAsia"/>
                          <w:b/>
                          <w:bCs/>
                          <w:color w:val="000000"/>
                          <w:sz w:val="21"/>
                          <w:szCs w:val="21"/>
                        </w:rPr>
                        <w:t>项目所在区域</w:t>
                      </w:r>
                    </w:p>
                  </w:txbxContent>
                </v:textbox>
              </v:shape>
            </w:pict>
          </mc:Fallback>
        </mc:AlternateContent>
      </w:r>
      <w:r>
        <w:rPr>
          <w:rFonts w:hint="default" w:ascii="Times New Roman" w:hAnsi="Times New Roman" w:eastAsia="宋体" w:cs="Times New Roman"/>
          <w:color w:val="auto"/>
          <w:sz w:val="24"/>
          <w:szCs w:val="24"/>
          <w:u w:val="none" w:color="auto"/>
        </w:rPr>
        <w:drawing>
          <wp:inline distT="0" distB="0" distL="114300" distR="114300">
            <wp:extent cx="5272405" cy="6977380"/>
            <wp:effectExtent l="0" t="0" r="0" b="0"/>
            <wp:docPr id="90" name="图片 12" descr="zongtiguihu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 descr="zongtiguihua_03"/>
                    <pic:cNvPicPr>
                      <a:picLocks noChangeAspect="1"/>
                    </pic:cNvPicPr>
                  </pic:nvPicPr>
                  <pic:blipFill>
                    <a:blip r:embed="rId34"/>
                    <a:srcRect t="5113" r="586" b="1871"/>
                    <a:stretch>
                      <a:fillRect/>
                    </a:stretch>
                  </pic:blipFill>
                  <pic:spPr>
                    <a:xfrm>
                      <a:off x="0" y="0"/>
                      <a:ext cx="5272405" cy="6977380"/>
                    </a:xfrm>
                    <a:prstGeom prst="rect">
                      <a:avLst/>
                    </a:prstGeom>
                    <a:noFill/>
                    <a:ln>
                      <a:noFill/>
                    </a:ln>
                  </pic:spPr>
                </pic:pic>
              </a:graphicData>
            </a:graphic>
          </wp:inline>
        </w:drawing>
      </w:r>
    </w:p>
    <w:p w14:paraId="0E570558">
      <w:pPr>
        <w:pStyle w:val="61"/>
        <w:pageBreakBefore w:val="0"/>
        <w:numPr>
          <w:ilvl w:val="5"/>
          <w:numId w:val="0"/>
        </w:numPr>
        <w:kinsoku/>
        <w:wordWrap/>
        <w:overflowPunct/>
        <w:topLinePunct w:val="0"/>
        <w:bidi w:val="0"/>
        <w:spacing w:after="0" w:afterLines="0" w:line="360" w:lineRule="auto"/>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图4.5-5 </w:t>
      </w:r>
      <w:r>
        <w:rPr>
          <w:rFonts w:hint="default" w:ascii="Times New Roman" w:hAnsi="Times New Roman" w:eastAsia="宋体" w:cs="Times New Roman"/>
          <w:color w:val="auto"/>
          <w:sz w:val="24"/>
          <w:szCs w:val="24"/>
          <w:u w:val="none" w:color="auto"/>
        </w:rPr>
        <w:t>湖南东洞庭湖国家级自然保护区土地利用现状图</w:t>
      </w:r>
    </w:p>
    <w:p w14:paraId="738BF1B8">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b/>
          <w:color w:val="auto"/>
          <w:sz w:val="24"/>
          <w:szCs w:val="24"/>
          <w:u w:val="none" w:color="auto"/>
        </w:rPr>
      </w:pPr>
      <w:bookmarkStart w:id="587" w:name="_Toc27306"/>
      <w:r>
        <w:rPr>
          <w:rFonts w:hint="default" w:ascii="Times New Roman" w:hAnsi="Times New Roman" w:eastAsia="宋体" w:cs="Times New Roman"/>
          <w:b/>
          <w:color w:val="auto"/>
          <w:sz w:val="24"/>
          <w:szCs w:val="24"/>
          <w:u w:val="none" w:color="auto"/>
          <w:lang w:eastAsia="zh-CN"/>
        </w:rPr>
        <w:t>（</w:t>
      </w:r>
      <w:r>
        <w:rPr>
          <w:rFonts w:hint="default" w:ascii="Times New Roman" w:hAnsi="Times New Roman" w:eastAsia="宋体" w:cs="Times New Roman"/>
          <w:b/>
          <w:color w:val="auto"/>
          <w:sz w:val="24"/>
          <w:szCs w:val="24"/>
          <w:u w:val="none" w:color="auto"/>
          <w:lang w:val="en-US" w:eastAsia="zh-CN"/>
        </w:rPr>
        <w:t>2）</w:t>
      </w:r>
      <w:r>
        <w:rPr>
          <w:rFonts w:hint="default" w:ascii="Times New Roman" w:hAnsi="Times New Roman" w:eastAsia="宋体" w:cs="Times New Roman"/>
          <w:b/>
          <w:color w:val="auto"/>
          <w:sz w:val="24"/>
          <w:szCs w:val="24"/>
          <w:u w:val="none" w:color="auto"/>
        </w:rPr>
        <w:t>陆生生态</w:t>
      </w:r>
      <w:r>
        <w:rPr>
          <w:rFonts w:hint="default" w:ascii="Times New Roman" w:hAnsi="Times New Roman" w:eastAsia="宋体" w:cs="Times New Roman"/>
          <w:b/>
          <w:color w:val="auto"/>
          <w:sz w:val="24"/>
          <w:szCs w:val="24"/>
          <w:u w:val="none" w:color="auto"/>
          <w:lang w:val="en-US" w:eastAsia="zh-CN"/>
        </w:rPr>
        <w:t>环境</w:t>
      </w:r>
      <w:r>
        <w:rPr>
          <w:rFonts w:hint="default" w:ascii="Times New Roman" w:hAnsi="Times New Roman" w:eastAsia="宋体" w:cs="Times New Roman"/>
          <w:b/>
          <w:color w:val="auto"/>
          <w:sz w:val="24"/>
          <w:szCs w:val="24"/>
          <w:u w:val="none" w:color="auto"/>
        </w:rPr>
        <w:t>现状调查</w:t>
      </w:r>
      <w:bookmarkEnd w:id="587"/>
    </w:p>
    <w:p w14:paraId="19852AB4">
      <w:pPr>
        <w:bidi w:val="0"/>
        <w:rPr>
          <w:rFonts w:hint="default" w:ascii="Times New Roman" w:hAnsi="Times New Roman" w:eastAsia="宋体" w:cs="Times New Roman"/>
          <w:color w:val="auto"/>
          <w:u w:val="none" w:color="auto"/>
        </w:rPr>
      </w:pPr>
      <w:bookmarkStart w:id="588" w:name="_Toc20832"/>
      <w:bookmarkStart w:id="589" w:name="_Toc2667"/>
      <w:bookmarkStart w:id="590" w:name="_Toc521943205"/>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rPr>
        <w:t>森林生态系统</w:t>
      </w:r>
    </w:p>
    <w:p w14:paraId="01C92B21">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评价区内地带性原生植被几乎人工植被所替代，森林生态系统主要为防护林，面积为</w:t>
      </w:r>
      <w:r>
        <w:rPr>
          <w:rFonts w:hint="default" w:ascii="Times New Roman" w:hAnsi="Times New Roman" w:eastAsia="宋体" w:cs="Times New Roman"/>
          <w:color w:val="auto"/>
          <w:u w:val="none" w:color="auto"/>
          <w:lang w:val="en-US" w:eastAsia="zh-CN"/>
        </w:rPr>
        <w:t>22.29</w:t>
      </w:r>
      <w:r>
        <w:rPr>
          <w:rFonts w:hint="default" w:ascii="Times New Roman" w:hAnsi="Times New Roman" w:eastAsia="宋体" w:cs="Times New Roman"/>
          <w:color w:val="auto"/>
          <w:u w:val="none" w:color="auto"/>
        </w:rPr>
        <w:t>hm</w:t>
      </w:r>
      <w:r>
        <w:rPr>
          <w:rFonts w:hint="default" w:ascii="Times New Roman" w:hAnsi="Times New Roman" w:eastAsia="宋体" w:cs="Times New Roman"/>
          <w:color w:val="auto"/>
          <w:u w:val="none" w:color="auto"/>
          <w:vertAlign w:val="superscript"/>
        </w:rPr>
        <w:t>2</w:t>
      </w:r>
      <w:r>
        <w:rPr>
          <w:rFonts w:hint="default" w:ascii="Times New Roman" w:hAnsi="Times New Roman" w:eastAsia="宋体" w:cs="Times New Roman"/>
          <w:color w:val="auto"/>
          <w:u w:val="none" w:color="auto"/>
        </w:rPr>
        <w:t>，占评价区生态系统总面积的5.86%。评价区森林生态系统主要由人工植被组成，主要包括旱柳、加杨林等。评价区内森林生态系统两栖类主要有陆栖型两栖动物(如：中华蟾蜍、泽陆蛙等)；灌丛石隙型的爬行动物(如：中国石龙子、北草蜥等)，林栖傍水型的爬行动物(如：赤链蛇等)；鸟类主要有陆禽(如：环颈雉、山斑鸠、珠颈斑鸠等)，猛禽(如黑鸢等)，攀禽(如：戴胜、斑鱼狗等)以及大多数鸣禽，部分游禽或者涉禽夜晚也栖息在森林中；兽类主要有半地下生活型种类(如：黄鼬、黑线姬鼠等)等。</w:t>
      </w:r>
    </w:p>
    <w:p w14:paraId="416916E4">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rPr>
        <w:t>草地生态系统</w:t>
      </w:r>
    </w:p>
    <w:p w14:paraId="239E6602">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评价区草地生态系统面积为</w:t>
      </w:r>
      <w:r>
        <w:rPr>
          <w:rFonts w:hint="default" w:ascii="Times New Roman" w:hAnsi="Times New Roman" w:eastAsia="宋体" w:cs="Times New Roman"/>
          <w:color w:val="auto"/>
          <w:u w:val="none" w:color="auto"/>
          <w:lang w:val="en-US" w:eastAsia="zh-CN"/>
        </w:rPr>
        <w:t>77.17</w:t>
      </w:r>
      <w:r>
        <w:rPr>
          <w:rFonts w:hint="default" w:ascii="Times New Roman" w:hAnsi="Times New Roman" w:eastAsia="宋体" w:cs="Times New Roman"/>
          <w:color w:val="auto"/>
          <w:u w:val="none" w:color="auto"/>
        </w:rPr>
        <w:t>hm</w:t>
      </w:r>
      <w:r>
        <w:rPr>
          <w:rFonts w:hint="default" w:ascii="Times New Roman" w:hAnsi="Times New Roman" w:eastAsia="宋体" w:cs="Times New Roman"/>
          <w:color w:val="auto"/>
          <w:u w:val="none" w:color="auto"/>
          <w:vertAlign w:val="superscript"/>
        </w:rPr>
        <w:t>2</w:t>
      </w:r>
      <w:r>
        <w:rPr>
          <w:rFonts w:hint="default" w:ascii="Times New Roman" w:hAnsi="Times New Roman" w:eastAsia="宋体" w:cs="Times New Roman"/>
          <w:color w:val="auto"/>
          <w:u w:val="none" w:color="auto"/>
        </w:rPr>
        <w:t>，占评价区生态系统总面积的20.29%，根据现场调查，评价区草地生态系统在评价区内主要分布在林缘、河堤等处旁主要由白茅群系、狗牙根群系、苍耳群系组成。草地生态系统中的动物主要有陆栖型的两栖动物(如：中华蟾蜍、饰泽陆蛙等)；灌丛石隙型的爬行动物(如：北草蜥等)，林栖傍水型的爬行动物(如：赤链蛇、乌梢蛇等)；鸟类(如：棕头鸦雀、白鹡鸰、大山雀、麻雀等)。</w:t>
      </w:r>
    </w:p>
    <w:p w14:paraId="68D0994F">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rPr>
        <w:t>农田生态系统</w:t>
      </w:r>
    </w:p>
    <w:p w14:paraId="48DE5862">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评价区位于淮北平原，境内景观类型比较单一，主要为耕地或农田，农田生态系统面积较大，面积为</w:t>
      </w:r>
      <w:r>
        <w:rPr>
          <w:rFonts w:hint="default" w:ascii="Times New Roman" w:hAnsi="Times New Roman" w:eastAsia="宋体" w:cs="Times New Roman"/>
          <w:color w:val="auto"/>
          <w:u w:val="none" w:color="auto"/>
          <w:lang w:val="en-US" w:eastAsia="zh-CN"/>
        </w:rPr>
        <w:t>18.29</w:t>
      </w:r>
      <w:r>
        <w:rPr>
          <w:rFonts w:hint="default" w:ascii="Times New Roman" w:hAnsi="Times New Roman" w:eastAsia="宋体" w:cs="Times New Roman"/>
          <w:color w:val="auto"/>
          <w:u w:val="none" w:color="auto"/>
        </w:rPr>
        <w:t>hm</w:t>
      </w:r>
      <w:r>
        <w:rPr>
          <w:rFonts w:hint="default" w:ascii="Times New Roman" w:hAnsi="Times New Roman" w:eastAsia="宋体" w:cs="Times New Roman"/>
          <w:color w:val="auto"/>
          <w:u w:val="none" w:color="auto"/>
          <w:vertAlign w:val="superscript"/>
        </w:rPr>
        <w:t>2</w:t>
      </w:r>
      <w:r>
        <w:rPr>
          <w:rFonts w:hint="default" w:ascii="Times New Roman" w:hAnsi="Times New Roman" w:eastAsia="宋体" w:cs="Times New Roman"/>
          <w:color w:val="auto"/>
          <w:u w:val="none" w:color="auto"/>
        </w:rPr>
        <w:t>，占评价区总面积的4.81%。评价区农田生态系统内植被以农作物、经济作物为主，常见的农作物有水稻、薯类等，常见的经济作物有花生、油茶、芝麻、苎麻等。常见的田间杂草有猪殃殃(</w:t>
      </w:r>
      <w:r>
        <w:rPr>
          <w:rFonts w:hint="default" w:ascii="Times New Roman" w:hAnsi="Times New Roman" w:eastAsia="宋体" w:cs="Times New Roman"/>
          <w:i/>
          <w:iCs/>
          <w:color w:val="auto"/>
          <w:u w:val="none" w:color="auto"/>
        </w:rPr>
        <w:t>Galium aparine var.tenerum</w:t>
      </w:r>
      <w:r>
        <w:rPr>
          <w:rFonts w:hint="default" w:ascii="Times New Roman" w:hAnsi="Times New Roman" w:eastAsia="宋体" w:cs="Times New Roman"/>
          <w:color w:val="auto"/>
          <w:u w:val="none" w:color="auto"/>
        </w:rPr>
        <w:t>)、稗、狗牙根(</w:t>
      </w:r>
      <w:r>
        <w:rPr>
          <w:rFonts w:hint="default" w:ascii="Times New Roman" w:hAnsi="Times New Roman" w:eastAsia="宋体" w:cs="Times New Roman"/>
          <w:i/>
          <w:iCs/>
          <w:color w:val="auto"/>
          <w:u w:val="none" w:color="auto"/>
        </w:rPr>
        <w:t>Cynodon dactylon</w:t>
      </w:r>
      <w:r>
        <w:rPr>
          <w:rFonts w:hint="default" w:ascii="Times New Roman" w:hAnsi="Times New Roman" w:eastAsia="宋体" w:cs="Times New Roman"/>
          <w:color w:val="auto"/>
          <w:u w:val="none" w:color="auto"/>
        </w:rPr>
        <w:t>)、牛筋草(</w:t>
      </w:r>
      <w:r>
        <w:rPr>
          <w:rFonts w:hint="default" w:ascii="Times New Roman" w:hAnsi="Times New Roman" w:eastAsia="宋体" w:cs="Times New Roman"/>
          <w:i/>
          <w:iCs/>
          <w:color w:val="auto"/>
          <w:u w:val="none" w:color="auto"/>
        </w:rPr>
        <w:t>Eleusine indica</w:t>
      </w:r>
      <w:r>
        <w:rPr>
          <w:rFonts w:hint="default" w:ascii="Times New Roman" w:hAnsi="Times New Roman" w:eastAsia="宋体" w:cs="Times New Roman"/>
          <w:color w:val="auto"/>
          <w:u w:val="none" w:color="auto"/>
        </w:rPr>
        <w:t>)、看麦娘(</w:t>
      </w:r>
      <w:r>
        <w:rPr>
          <w:rFonts w:hint="default" w:ascii="Times New Roman" w:hAnsi="Times New Roman" w:eastAsia="宋体" w:cs="Times New Roman"/>
          <w:i/>
          <w:iCs/>
          <w:color w:val="auto"/>
          <w:u w:val="none" w:color="auto"/>
        </w:rPr>
        <w:t>Alopecurus aequalis</w:t>
      </w:r>
      <w:r>
        <w:rPr>
          <w:rFonts w:hint="default" w:ascii="Times New Roman" w:hAnsi="Times New Roman" w:eastAsia="宋体" w:cs="Times New Roman"/>
          <w:color w:val="auto"/>
          <w:u w:val="none" w:color="auto"/>
        </w:rPr>
        <w:t>)等。</w:t>
      </w:r>
    </w:p>
    <w:p w14:paraId="0AB65747">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由于农田生态系统中植被类型较为单一，距离居民区较近，受人为干扰较为严重，因此农田生态系统中动物种类不甚丰富。农田生态系统中常见的有静水型两栖动物(如：黑斑侧褶蛙等)、陆栖型的两栖动物(如：泽陆蛙、中华蟾蜍等)，林栖傍水型爬行动物(如：赤链蛇等)；鸟类中的涉禽(如：白鹭、灰头麦鸡等)，陆禽(如：山斑鸠、珠颈斑鸠等)，鸣禽(如：麻雀、八哥、乌鸫、丝光椋鸟、白鹡鸰、喜鹊等)；兽类中的半地下生活型种类(如：东北刺猬、褐家鼠、黄胸鼠等)。</w:t>
      </w:r>
    </w:p>
    <w:p w14:paraId="752BE63E">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rPr>
        <w:t>城镇生态系统</w:t>
      </w:r>
    </w:p>
    <w:p w14:paraId="376268CD">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评价区内城镇生态系统面积为</w:t>
      </w:r>
      <w:r>
        <w:rPr>
          <w:rFonts w:hint="default" w:ascii="Times New Roman" w:hAnsi="Times New Roman" w:eastAsia="宋体" w:cs="Times New Roman"/>
          <w:color w:val="auto"/>
          <w:u w:val="none" w:color="auto"/>
          <w:lang w:val="en-US" w:eastAsia="zh-CN"/>
        </w:rPr>
        <w:t>61.27</w:t>
      </w:r>
      <w:r>
        <w:rPr>
          <w:rFonts w:hint="default" w:ascii="Times New Roman" w:hAnsi="Times New Roman" w:eastAsia="宋体" w:cs="Times New Roman"/>
          <w:color w:val="auto"/>
          <w:u w:val="none" w:color="auto"/>
        </w:rPr>
        <w:t>hm</w:t>
      </w:r>
      <w:r>
        <w:rPr>
          <w:rFonts w:hint="default" w:ascii="Times New Roman" w:hAnsi="Times New Roman" w:eastAsia="宋体" w:cs="Times New Roman"/>
          <w:color w:val="auto"/>
          <w:u w:val="none" w:color="auto"/>
          <w:vertAlign w:val="superscript"/>
        </w:rPr>
        <w:t>2</w:t>
      </w:r>
      <w:r>
        <w:rPr>
          <w:rFonts w:hint="default" w:ascii="Times New Roman" w:hAnsi="Times New Roman" w:eastAsia="宋体" w:cs="Times New Roman"/>
          <w:color w:val="auto"/>
          <w:u w:val="none" w:color="auto"/>
        </w:rPr>
        <w:t>，占评价区总面积的16.11%。评价区城镇生态系统内植物多分布在路旁住宅旁，以绿化树种和经济果木为主，常见的绿化树种有樟(Cinnamomum camphora)、银杏(Ginkgo biloba)、加杨等。城镇生态系统中虽自然植被较少，人为干扰程度最强，但其中生活着一些适应与人类伴居的动物，如爬行类中的住宅型种类(如：多疣壁虎)和某些蛇类(如：短尾蝮、王锦蛇等)；鸟类中的一些种类，主要是鸣禽(如：家燕、金腰燕、白头鹎、棕背伯劳、八哥、鹊鸲、麻雀等)；兽类中的一些鼠科(如黄胸鼠、褐家鼠、黄鼬等)，鼬科(如：黄鼬)。</w:t>
      </w:r>
    </w:p>
    <w:p w14:paraId="198CCF24">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lang w:val="en-US" w:eastAsia="zh-CN"/>
        </w:rPr>
        <w:t>（3）湿地</w:t>
      </w:r>
      <w:r>
        <w:rPr>
          <w:rFonts w:hint="default" w:ascii="Times New Roman" w:hAnsi="Times New Roman" w:eastAsia="宋体" w:cs="Times New Roman"/>
          <w:b/>
          <w:bCs/>
          <w:color w:val="auto"/>
          <w:sz w:val="24"/>
          <w:szCs w:val="24"/>
          <w:u w:val="none" w:color="auto"/>
        </w:rPr>
        <w:t>生态环境现状调查</w:t>
      </w:r>
      <w:bookmarkEnd w:id="588"/>
    </w:p>
    <w:p w14:paraId="69742A66">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评价区内湿地生态系统主要为湘江，湿地生态系统总面积为933.40hm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占评价区总面积的52.93%，主要群系包括芦苇群系、喜旱莲子草群系、浮萍群系等。湿地生态系统是多种两栖类和爬行类的栖息地，也是游禽和涉禽的重要栖息场所。分布的动物主要有静水型的两栖动物(如：黑斑侧褶蛙、湖北侧褶蛙等)；水栖型的爬行动物(如：中华鳖、乌龟)，林栖傍水型的爬行动物(如：红纹滞卵蛇、虎斑劲槽蛇)；鸟类主要有涉禽(如：黑水鸡、白胸苦恶鸟、灰头麦鸡等)，游禽(如：斑嘴鸭、绿头鸭、绿翅鸭、小䴙䴘等)及一些喜傍水型鸟类(如：普通翠鸟、斑鱼狗、白鹡鸰、北红尾鸲等)；兽类中的优势种则是一些常见的啮齿类动物(如：小家鼠、黄胸鼠等)。</w:t>
      </w:r>
    </w:p>
    <w:p w14:paraId="06BE1FFF">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591" w:name="_Toc6889"/>
      <w:bookmarkStart w:id="592" w:name="_Toc15967"/>
      <w:bookmarkStart w:id="593" w:name="_Toc521971286"/>
      <w:r>
        <w:rPr>
          <w:rFonts w:hint="default" w:ascii="Times New Roman" w:hAnsi="Times New Roman" w:eastAsia="宋体" w:cs="Times New Roman"/>
          <w:color w:val="auto"/>
          <w:sz w:val="24"/>
          <w:szCs w:val="24"/>
          <w:u w:val="none" w:color="auto"/>
          <w:lang w:val="en-US" w:eastAsia="zh-CN"/>
        </w:rPr>
        <w:t xml:space="preserve">4.5.5.4 </w:t>
      </w:r>
      <w:r>
        <w:rPr>
          <w:rFonts w:hint="default" w:ascii="Times New Roman" w:hAnsi="Times New Roman" w:eastAsia="宋体" w:cs="Times New Roman"/>
          <w:color w:val="auto"/>
          <w:sz w:val="24"/>
          <w:szCs w:val="24"/>
          <w:u w:val="none" w:color="auto"/>
        </w:rPr>
        <w:t>陆生植被及植物多样性调查</w:t>
      </w:r>
      <w:bookmarkEnd w:id="589"/>
      <w:bookmarkEnd w:id="590"/>
      <w:bookmarkEnd w:id="591"/>
      <w:bookmarkEnd w:id="592"/>
      <w:bookmarkEnd w:id="593"/>
    </w:p>
    <w:p w14:paraId="4B1E0C80">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594" w:name="_Toc7936"/>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调查区植物种类</w:t>
      </w:r>
      <w:bookmarkEnd w:id="594"/>
    </w:p>
    <w:p w14:paraId="6A9667B7">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环境影响评价技术导则-生态影响》，生态现状调查范围应不小于评价工作的范围。湖南东洞庭湖国家级自然保护区内有维管束植物169科、541属、865种，其中国家重点保护野生植物，仅有樟树、金荞麦、野大豆、中华结缕草4种，都为Ⅱ级。区域约有蕨类植物9科11属13种、祼子植物2科3属4种、被子植物86科302属372种。禾本科、蔷薇科、菊科、唇形科、莎草科的植物种类在湖南东洞庭湖国家级自然保护区的数量占优，其余各科均仅含少数物种。</w:t>
      </w:r>
    </w:p>
    <w:p w14:paraId="6A963827">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u w:val="none" w:color="auto"/>
        </w:rPr>
        <w:t>据调查，洞庭湖湿地共有植物265种，其中草本植物比例高达97%。洞庭湖湿地植被主要包括水生植被、草甸和沼泽植被。</w:t>
      </w:r>
      <w:bookmarkStart w:id="595" w:name="_Hlk526348194"/>
      <w:r>
        <w:rPr>
          <w:rFonts w:hint="default" w:ascii="Times New Roman" w:hAnsi="Times New Roman" w:eastAsia="宋体" w:cs="Times New Roman"/>
          <w:color w:val="auto"/>
          <w:sz w:val="24"/>
          <w:szCs w:val="24"/>
          <w:u w:val="none" w:color="auto"/>
        </w:rPr>
        <w:t>调查区内，沿线滩涂主要优势乔木为杨树，评价范围内人类活动很较少，</w:t>
      </w:r>
      <w:r>
        <w:rPr>
          <w:rFonts w:hint="default" w:ascii="Times New Roman" w:hAnsi="Times New Roman" w:eastAsia="宋体" w:cs="Times New Roman"/>
          <w:color w:val="auto"/>
          <w:sz w:val="24"/>
          <w:szCs w:val="24"/>
          <w:highlight w:val="none"/>
          <w:u w:val="none" w:color="auto"/>
        </w:rPr>
        <w:t>未发现列入中国珍稀濒危植物。</w:t>
      </w:r>
    </w:p>
    <w:p w14:paraId="6E88424C">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596" w:name="_Toc25701"/>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植被分布特征</w:t>
      </w:r>
      <w:bookmarkEnd w:id="596"/>
    </w:p>
    <w:p w14:paraId="644E569B">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处于湘江河段及两岸区域，居民区、堤防附近有区域常见陆生植被，河道及其两岸有湿地植被分布。评价区堤防等区域植被以人工林为主，主要为防护林，常见的防护林树种有加杨等；滩涂近岸区湿地植被以森林及灌丛沼泽型植被为主，常见的群系有构树群系等；滩地区湿地植被以草丛沼泽型植被为主，常见的群系有牛筋草群系、白茅群系等；滩地沼泽区植被以草丛沼泽型植被为主，常见的群系有芦苇群系等；浅水区湿地植被以浮叶植物型植被为主，常见的群系有浮萍群系等。</w:t>
      </w:r>
    </w:p>
    <w:p w14:paraId="5EC099B2">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597" w:name="_Toc9858"/>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特有植物</w:t>
      </w:r>
      <w:bookmarkEnd w:id="597"/>
    </w:p>
    <w:p w14:paraId="283374A6">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考《中国植物志》、《中国生物多样性红色名录》、《湖南植物志》、《华中植物区的特有种子植物名录》、《湖南珍稀濒危保护植物的地理分布及其区系特征》等资料，根据现场调查，在评价区调查到特有植物1种，分别为节节草，均属我国特有种，均属无危种类，区域无湖南省、洞庭湖区特有植物。根据现场调查，评价区节节草主要位于</w:t>
      </w:r>
      <w:r>
        <w:rPr>
          <w:rFonts w:hint="default" w:ascii="Times New Roman" w:hAnsi="Times New Roman" w:eastAsia="宋体" w:cs="Times New Roman"/>
          <w:color w:val="auto"/>
          <w:sz w:val="24"/>
          <w:szCs w:val="24"/>
          <w:lang w:val="en-US" w:eastAsia="zh-CN"/>
        </w:rPr>
        <w:t>鹿角</w:t>
      </w:r>
      <w:r>
        <w:rPr>
          <w:rFonts w:hint="default" w:ascii="Times New Roman" w:hAnsi="Times New Roman" w:eastAsia="宋体" w:cs="Times New Roman"/>
          <w:color w:val="auto"/>
          <w:sz w:val="24"/>
          <w:szCs w:val="24"/>
        </w:rPr>
        <w:t>镇段地区。</w:t>
      </w:r>
    </w:p>
    <w:p w14:paraId="338DA406">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598" w:name="_Toc15997"/>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重点保护野生植物</w:t>
      </w:r>
      <w:bookmarkEnd w:id="598"/>
    </w:p>
    <w:p w14:paraId="26857731">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依据《国家重点保护野生植物名录》(第二批)(</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HYPERLINK"https://baike.baidu.com/item/%E5%9B%BD%E5%AE%B6%E6%9E%97%E4%B8%9A%E5%92%8C%E8%8D%89%E5%8E%9F%E5%B1%80/22428896"</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林业和草原局</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HYPERLINK"https://baike.baidu.com/item/%E5%86%9C%E4%B8%9A%E5%86%9C%E6%9D%91%E9%83%A8/22429516"</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农业农村部</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公告，2021年第15号)、《湖南省地方重点保护野生植物名录》(湖南省人民政府，2002年9月)，参考《横岭湖省级自然保护区综合科学考察报告》、及保护区内其它关于国家及湖南省重点保护野生植物的本底调查资料，并结合本次调查，评价区内未发现保护植物分布。</w:t>
      </w:r>
    </w:p>
    <w:p w14:paraId="7B5646E4">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599" w:name="_Toc19842"/>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古树名木</w:t>
      </w:r>
      <w:bookmarkEnd w:id="599"/>
    </w:p>
    <w:p w14:paraId="64632793">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古树名木根据《湖南省人民政府关于修订湖南省地方重点保护野生植物名录的通知》(湘政函，[2002]172号)、《湖南省林业条例》(湖南省人大常委会2012年修订)、(全绿委关于开展古树名木普查建档工作的通知)(全国绿化委员会、国家林业局，全绿字〔2001〕15号)确定。参考《湖南古树名木》(邓三龙等，2011年)、《</w:t>
      </w:r>
      <w:r>
        <w:rPr>
          <w:rFonts w:hint="default" w:ascii="Times New Roman" w:hAnsi="Times New Roman" w:eastAsia="宋体" w:cs="Times New Roman"/>
          <w:color w:val="auto"/>
          <w:sz w:val="24"/>
          <w:szCs w:val="24"/>
          <w:lang w:val="en-US" w:eastAsia="zh-CN"/>
        </w:rPr>
        <w:t>东洞庭</w:t>
      </w:r>
      <w:r>
        <w:rPr>
          <w:rFonts w:hint="default" w:ascii="Times New Roman" w:hAnsi="Times New Roman" w:eastAsia="宋体" w:cs="Times New Roman"/>
          <w:color w:val="auto"/>
          <w:sz w:val="24"/>
          <w:szCs w:val="24"/>
        </w:rPr>
        <w:t>湖省级自然保护区综合科学考察报告》及保护区内其它关于古树名木的相关资料，本项目评价区保护区内有古银杏(人工栽培种)分布，并结合本次调查，评价区内未发现古树名木分布。</w:t>
      </w:r>
    </w:p>
    <w:p w14:paraId="6CC154FB">
      <w:pPr>
        <w:pageBreakBefore w:val="0"/>
        <w:kinsoku/>
        <w:wordWrap/>
        <w:overflowPunct/>
        <w:topLinePunct w:val="0"/>
        <w:bidi w:val="0"/>
        <w:spacing w:line="360" w:lineRule="auto"/>
        <w:outlineLvl w:val="9"/>
        <w:rPr>
          <w:rFonts w:hint="default" w:ascii="Times New Roman" w:hAnsi="Times New Roman" w:eastAsia="宋体" w:cs="Times New Roman"/>
          <w:color w:val="auto"/>
          <w:sz w:val="24"/>
          <w:szCs w:val="24"/>
        </w:rPr>
      </w:pPr>
      <w:bookmarkStart w:id="600" w:name="_Toc1478"/>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外来入侵种</w:t>
      </w:r>
      <w:bookmarkEnd w:id="600"/>
    </w:p>
    <w:p w14:paraId="79475FF0">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外来入侵种依据《中国外来入侵物种名单》(第一批，2003年)、《中国外来入侵物种名单》(第二批，2010年)、《中国外来入侵物种名单》(第三批，2014年)、《中国自然生态系统外来入侵物种名单》(第四批，2016年)确定。通过现场实地调查，在评价区调查到有垂序商陆(</w:t>
      </w:r>
      <w:r>
        <w:rPr>
          <w:rFonts w:hint="default" w:ascii="Times New Roman" w:hAnsi="Times New Roman" w:eastAsia="宋体" w:cs="Times New Roman"/>
          <w:i/>
          <w:iCs/>
          <w:color w:val="auto"/>
          <w:sz w:val="24"/>
          <w:szCs w:val="24"/>
        </w:rPr>
        <w:t>Phytolacca americana</w:t>
      </w:r>
      <w:r>
        <w:rPr>
          <w:rFonts w:hint="default" w:ascii="Times New Roman" w:hAnsi="Times New Roman" w:eastAsia="宋体" w:cs="Times New Roman"/>
          <w:color w:val="auto"/>
          <w:sz w:val="24"/>
          <w:szCs w:val="24"/>
        </w:rPr>
        <w:t>)、野燕麦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Avenafatua</w:t>
      </w:r>
      <w:r>
        <w:rPr>
          <w:rFonts w:hint="default" w:ascii="Times New Roman" w:hAnsi="Times New Roman" w:eastAsia="宋体" w:cs="Times New Roman"/>
          <w:color w:val="auto"/>
          <w:sz w:val="24"/>
          <w:szCs w:val="24"/>
        </w:rPr>
        <w:t>)、一年蓬(</w:t>
      </w:r>
      <w:r>
        <w:rPr>
          <w:rFonts w:hint="default" w:ascii="Times New Roman" w:hAnsi="Times New Roman" w:eastAsia="宋体" w:cs="Times New Roman"/>
          <w:i/>
          <w:iCs/>
          <w:color w:val="auto"/>
          <w:sz w:val="24"/>
          <w:szCs w:val="24"/>
        </w:rPr>
        <w:t>Erigeron annuus</w:t>
      </w:r>
      <w:r>
        <w:rPr>
          <w:rFonts w:hint="default" w:ascii="Times New Roman" w:hAnsi="Times New Roman" w:eastAsia="宋体" w:cs="Times New Roman"/>
          <w:color w:val="auto"/>
          <w:sz w:val="24"/>
          <w:szCs w:val="24"/>
        </w:rPr>
        <w:t>)、小蓬草(</w:t>
      </w:r>
      <w:r>
        <w:rPr>
          <w:rFonts w:hint="default" w:ascii="Times New Roman" w:hAnsi="Times New Roman" w:eastAsia="宋体" w:cs="Times New Roman"/>
          <w:i/>
          <w:iCs/>
          <w:color w:val="auto"/>
          <w:sz w:val="24"/>
          <w:szCs w:val="24"/>
        </w:rPr>
        <w:t>Conyza canadensis</w:t>
      </w:r>
      <w:r>
        <w:rPr>
          <w:rFonts w:hint="default" w:ascii="Times New Roman" w:hAnsi="Times New Roman" w:eastAsia="宋体" w:cs="Times New Roman"/>
          <w:color w:val="auto"/>
          <w:sz w:val="24"/>
          <w:szCs w:val="24"/>
        </w:rPr>
        <w:t>)、喜旱莲子草(</w:t>
      </w:r>
      <w:r>
        <w:rPr>
          <w:rFonts w:hint="default" w:ascii="Times New Roman" w:hAnsi="Times New Roman" w:eastAsia="宋体" w:cs="Times New Roman"/>
          <w:i/>
          <w:iCs/>
          <w:color w:val="auto"/>
          <w:sz w:val="24"/>
          <w:szCs w:val="24"/>
        </w:rPr>
        <w:t>Alternanthera philoxeroides</w:t>
      </w:r>
      <w:r>
        <w:rPr>
          <w:rFonts w:hint="default" w:ascii="Times New Roman" w:hAnsi="Times New Roman" w:eastAsia="宋体" w:cs="Times New Roman"/>
          <w:color w:val="auto"/>
          <w:sz w:val="24"/>
          <w:szCs w:val="24"/>
        </w:rPr>
        <w:t>)、凤眼莲(</w:t>
      </w:r>
      <w:r>
        <w:rPr>
          <w:rFonts w:hint="default" w:ascii="Times New Roman" w:hAnsi="Times New Roman" w:eastAsia="宋体" w:cs="Times New Roman"/>
          <w:i/>
          <w:iCs/>
          <w:color w:val="auto"/>
          <w:sz w:val="24"/>
          <w:szCs w:val="24"/>
        </w:rPr>
        <w:t>chhorina crassipes</w:t>
      </w:r>
      <w:r>
        <w:rPr>
          <w:rFonts w:hint="default" w:ascii="Times New Roman" w:hAnsi="Times New Roman" w:eastAsia="宋体" w:cs="Times New Roman"/>
          <w:color w:val="auto"/>
          <w:sz w:val="24"/>
          <w:szCs w:val="24"/>
        </w:rPr>
        <w:t>)等外来入侵种分布，其中喜旱莲子草分布较广泛，其常呈小片状或斑块状分布于河流、湖泊、沟渠、坑塘周边水湿地，凤眼莲在周边湖泊有斑块状分布，野燕麦、一年蓬、小蓬草、垂序商陆多零散分布于村落附近，路旁。评价区外来入侵植物见图</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14:paraId="41C342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611630" cy="1274445"/>
            <wp:effectExtent l="0" t="0" r="7620" b="1905"/>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35"/>
                    <a:stretch>
                      <a:fillRect/>
                    </a:stretch>
                  </pic:blipFill>
                  <pic:spPr>
                    <a:xfrm>
                      <a:off x="0" y="0"/>
                      <a:ext cx="1611630" cy="127444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drawing>
          <wp:inline distT="0" distB="0" distL="114300" distR="114300">
            <wp:extent cx="1606550" cy="1267460"/>
            <wp:effectExtent l="0" t="0" r="12700" b="8890"/>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6"/>
                    <a:stretch>
                      <a:fillRect/>
                    </a:stretch>
                  </pic:blipFill>
                  <pic:spPr>
                    <a:xfrm>
                      <a:off x="0" y="0"/>
                      <a:ext cx="1606550" cy="126746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drawing>
          <wp:inline distT="0" distB="0" distL="114300" distR="114300">
            <wp:extent cx="1421765" cy="1267460"/>
            <wp:effectExtent l="0" t="0" r="6985" b="889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37"/>
                    <a:stretch>
                      <a:fillRect/>
                    </a:stretch>
                  </pic:blipFill>
                  <pic:spPr>
                    <a:xfrm>
                      <a:off x="0" y="0"/>
                      <a:ext cx="1421765" cy="1267460"/>
                    </a:xfrm>
                    <a:prstGeom prst="rect">
                      <a:avLst/>
                    </a:prstGeom>
                    <a:noFill/>
                    <a:ln>
                      <a:noFill/>
                    </a:ln>
                  </pic:spPr>
                </pic:pic>
              </a:graphicData>
            </a:graphic>
          </wp:inline>
        </w:drawing>
      </w:r>
    </w:p>
    <w:p w14:paraId="48E49631">
      <w:pPr>
        <w:keepNext w:val="0"/>
        <w:keepLines w:val="0"/>
        <w:pageBreakBefore w:val="0"/>
        <w:widowControl w:val="0"/>
        <w:kinsoku/>
        <w:wordWrap/>
        <w:overflowPunct/>
        <w:topLinePunct w:val="0"/>
        <w:autoSpaceDE/>
        <w:autoSpaceDN/>
        <w:bidi w:val="0"/>
        <w:adjustRightInd/>
        <w:snapToGrid/>
        <w:spacing w:line="240" w:lineRule="exact"/>
        <w:ind w:left="0" w:leftChars="0" w:firstLine="1260" w:firstLineChars="6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垂序商陆</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一年蓬</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野燕麦</w:t>
      </w:r>
    </w:p>
    <w:p w14:paraId="1A72F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425575" cy="1267460"/>
            <wp:effectExtent l="0" t="0" r="3175" b="889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38"/>
                    <a:stretch>
                      <a:fillRect/>
                    </a:stretch>
                  </pic:blipFill>
                  <pic:spPr>
                    <a:xfrm>
                      <a:off x="0" y="0"/>
                      <a:ext cx="1425575" cy="126746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drawing>
          <wp:inline distT="0" distB="0" distL="114300" distR="114300">
            <wp:extent cx="1725930" cy="1267460"/>
            <wp:effectExtent l="0" t="0" r="7620" b="8890"/>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7"/>
                    <pic:cNvPicPr>
                      <a:picLocks noChangeAspect="1"/>
                    </pic:cNvPicPr>
                  </pic:nvPicPr>
                  <pic:blipFill>
                    <a:blip r:embed="rId39"/>
                    <a:stretch>
                      <a:fillRect/>
                    </a:stretch>
                  </pic:blipFill>
                  <pic:spPr>
                    <a:xfrm>
                      <a:off x="0" y="0"/>
                      <a:ext cx="1725930" cy="126746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drawing>
          <wp:inline distT="0" distB="0" distL="114300" distR="114300">
            <wp:extent cx="1726565" cy="1267460"/>
            <wp:effectExtent l="0" t="0" r="6985" b="8890"/>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40"/>
                    <a:stretch>
                      <a:fillRect/>
                    </a:stretch>
                  </pic:blipFill>
                  <pic:spPr>
                    <a:xfrm>
                      <a:off x="0" y="0"/>
                      <a:ext cx="1726565" cy="1267460"/>
                    </a:xfrm>
                    <a:prstGeom prst="rect">
                      <a:avLst/>
                    </a:prstGeom>
                    <a:noFill/>
                    <a:ln>
                      <a:noFill/>
                    </a:ln>
                  </pic:spPr>
                </pic:pic>
              </a:graphicData>
            </a:graphic>
          </wp:inline>
        </w:drawing>
      </w:r>
    </w:p>
    <w:p w14:paraId="2B9B2D8A">
      <w:pPr>
        <w:keepNext w:val="0"/>
        <w:keepLines w:val="0"/>
        <w:pageBreakBefore w:val="0"/>
        <w:widowControl w:val="0"/>
        <w:kinsoku/>
        <w:wordWrap/>
        <w:overflowPunct/>
        <w:topLinePunct w:val="0"/>
        <w:autoSpaceDE/>
        <w:autoSpaceDN/>
        <w:bidi w:val="0"/>
        <w:adjustRightInd/>
        <w:snapToGrid/>
        <w:spacing w:line="240" w:lineRule="exact"/>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小蓬草                 喜旱莲子草        </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凤眼莲</w:t>
      </w:r>
    </w:p>
    <w:p w14:paraId="13C4B5A3">
      <w:pPr>
        <w:pStyle w:val="61"/>
        <w:keepNext w:val="0"/>
        <w:keepLines w:val="0"/>
        <w:pageBreakBefore w:val="0"/>
        <w:widowControl w:val="0"/>
        <w:numPr>
          <w:ilvl w:val="5"/>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u w:val="none" w:color="auto"/>
          <w:lang w:val="en-US" w:eastAsia="zh-CN"/>
        </w:rPr>
        <w:t>图4.5-6  评价区外来入侵植物</w:t>
      </w:r>
    </w:p>
    <w:bookmarkEnd w:id="595"/>
    <w:p w14:paraId="4B8B6C2B">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67" w:beforeLines="50" w:after="0" w:afterLines="0" w:line="240" w:lineRule="auto"/>
        <w:jc w:val="center"/>
        <w:textAlignment w:val="auto"/>
        <w:rPr>
          <w:rFonts w:hint="default" w:ascii="Times New Roman" w:hAnsi="Times New Roman" w:eastAsia="宋体" w:cs="Times New Roman"/>
          <w:color w:val="auto"/>
          <w:u w:val="none" w:color="auto"/>
          <w:lang w:val="en-US" w:eastAsia="zh-CN"/>
        </w:rPr>
      </w:pPr>
      <w:bookmarkStart w:id="601" w:name="_Toc9113"/>
      <w:r>
        <w:rPr>
          <w:rFonts w:hint="default" w:ascii="Times New Roman" w:hAnsi="Times New Roman" w:eastAsia="宋体" w:cs="Times New Roman"/>
          <w:color w:val="auto"/>
          <w:u w:val="none" w:color="auto"/>
          <w:lang w:val="en-US" w:eastAsia="zh-CN"/>
        </w:rPr>
        <w:t>表4.5-</w:t>
      </w:r>
      <w:r>
        <w:rPr>
          <w:rFonts w:hint="eastAsia" w:cs="Times New Roman"/>
          <w:color w:val="auto"/>
          <w:u w:val="none" w:color="auto"/>
          <w:lang w:val="en-US" w:eastAsia="zh-CN"/>
        </w:rPr>
        <w:t>13</w:t>
      </w:r>
      <w:r>
        <w:rPr>
          <w:rFonts w:hint="eastAsia" w:ascii="Times New Roman" w:hAnsi="Times New Roman" w:eastAsia="宋体" w:cs="Times New Roman"/>
          <w:color w:val="auto"/>
          <w:u w:val="none" w:color="auto"/>
          <w:lang w:val="en-US" w:eastAsia="zh-CN"/>
        </w:rPr>
        <w:t xml:space="preserve">  </w:t>
      </w:r>
      <w:r>
        <w:rPr>
          <w:rFonts w:hint="default" w:ascii="Times New Roman" w:hAnsi="Times New Roman" w:eastAsia="宋体" w:cs="Times New Roman"/>
          <w:color w:val="auto"/>
          <w:u w:val="none" w:color="auto"/>
          <w:lang w:val="en-US" w:eastAsia="zh-CN"/>
        </w:rPr>
        <w:t>项目区主要植物名录表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3879"/>
        <w:gridCol w:w="1935"/>
      </w:tblGrid>
      <w:tr w14:paraId="380E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27210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Ⅰ、蕨类植物门</w:t>
            </w:r>
          </w:p>
        </w:tc>
        <w:tc>
          <w:tcPr>
            <w:tcW w:w="3969" w:type="dxa"/>
            <w:noWrap w:val="0"/>
            <w:vAlign w:val="center"/>
          </w:tcPr>
          <w:p w14:paraId="6DFD12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学名</w:t>
            </w:r>
          </w:p>
        </w:tc>
        <w:tc>
          <w:tcPr>
            <w:tcW w:w="1977" w:type="dxa"/>
            <w:noWrap w:val="0"/>
            <w:vAlign w:val="center"/>
          </w:tcPr>
          <w:p w14:paraId="6D2F72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保护级别</w:t>
            </w:r>
          </w:p>
        </w:tc>
      </w:tr>
      <w:tr w14:paraId="7BFB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7D09D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一、木贼科</w:t>
            </w:r>
          </w:p>
        </w:tc>
        <w:tc>
          <w:tcPr>
            <w:tcW w:w="3969" w:type="dxa"/>
            <w:noWrap w:val="0"/>
            <w:vAlign w:val="center"/>
          </w:tcPr>
          <w:p w14:paraId="03F78C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Equisetaceae</w:t>
            </w:r>
          </w:p>
        </w:tc>
        <w:tc>
          <w:tcPr>
            <w:tcW w:w="1977" w:type="dxa"/>
            <w:noWrap w:val="0"/>
            <w:vAlign w:val="center"/>
          </w:tcPr>
          <w:p w14:paraId="18056F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60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1C4D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1.木贼属</w:t>
            </w:r>
          </w:p>
        </w:tc>
        <w:tc>
          <w:tcPr>
            <w:tcW w:w="3969" w:type="dxa"/>
            <w:noWrap w:val="0"/>
            <w:vAlign w:val="center"/>
          </w:tcPr>
          <w:p w14:paraId="1841FE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Equisetum</w:t>
            </w:r>
          </w:p>
        </w:tc>
        <w:tc>
          <w:tcPr>
            <w:tcW w:w="1977" w:type="dxa"/>
            <w:noWrap w:val="0"/>
            <w:vAlign w:val="center"/>
          </w:tcPr>
          <w:p w14:paraId="7A16DF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84C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02E4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（1）问荆</w:t>
            </w:r>
          </w:p>
        </w:tc>
        <w:tc>
          <w:tcPr>
            <w:tcW w:w="3969" w:type="dxa"/>
            <w:noWrap w:val="0"/>
            <w:vAlign w:val="center"/>
          </w:tcPr>
          <w:p w14:paraId="31C870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Equisetum arvense</w:t>
            </w:r>
          </w:p>
        </w:tc>
        <w:tc>
          <w:tcPr>
            <w:tcW w:w="1977" w:type="dxa"/>
            <w:noWrap w:val="0"/>
            <w:vAlign w:val="center"/>
          </w:tcPr>
          <w:p w14:paraId="188022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244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1486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（2）节节草</w:t>
            </w:r>
          </w:p>
        </w:tc>
        <w:tc>
          <w:tcPr>
            <w:tcW w:w="3969" w:type="dxa"/>
            <w:noWrap w:val="0"/>
            <w:vAlign w:val="center"/>
          </w:tcPr>
          <w:p w14:paraId="0E8E24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Equisetumram osissimum</w:t>
            </w:r>
          </w:p>
        </w:tc>
        <w:tc>
          <w:tcPr>
            <w:tcW w:w="1977" w:type="dxa"/>
            <w:noWrap w:val="0"/>
            <w:vAlign w:val="center"/>
          </w:tcPr>
          <w:p w14:paraId="7F0CB3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4F8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E38C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二、海金沙科</w:t>
            </w:r>
          </w:p>
        </w:tc>
        <w:tc>
          <w:tcPr>
            <w:tcW w:w="3969" w:type="dxa"/>
            <w:noWrap w:val="0"/>
            <w:vAlign w:val="center"/>
          </w:tcPr>
          <w:p w14:paraId="50D9B8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Lygodiaceae</w:t>
            </w:r>
          </w:p>
        </w:tc>
        <w:tc>
          <w:tcPr>
            <w:tcW w:w="1977" w:type="dxa"/>
            <w:noWrap w:val="0"/>
            <w:vAlign w:val="center"/>
          </w:tcPr>
          <w:p w14:paraId="3EDC30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FD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0992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2.海金沙属</w:t>
            </w:r>
          </w:p>
        </w:tc>
        <w:tc>
          <w:tcPr>
            <w:tcW w:w="3969" w:type="dxa"/>
            <w:noWrap w:val="0"/>
            <w:vAlign w:val="center"/>
          </w:tcPr>
          <w:p w14:paraId="750521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Lygodium</w:t>
            </w:r>
          </w:p>
        </w:tc>
        <w:tc>
          <w:tcPr>
            <w:tcW w:w="1977" w:type="dxa"/>
            <w:noWrap w:val="0"/>
            <w:vAlign w:val="center"/>
          </w:tcPr>
          <w:p w14:paraId="6A76EF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53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0147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（3）海金沙</w:t>
            </w:r>
          </w:p>
        </w:tc>
        <w:tc>
          <w:tcPr>
            <w:tcW w:w="3969" w:type="dxa"/>
            <w:noWrap w:val="0"/>
            <w:vAlign w:val="center"/>
          </w:tcPr>
          <w:p w14:paraId="69CA9A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Lygodium japonicum</w:t>
            </w:r>
          </w:p>
        </w:tc>
        <w:tc>
          <w:tcPr>
            <w:tcW w:w="1977" w:type="dxa"/>
            <w:noWrap w:val="0"/>
            <w:vAlign w:val="center"/>
          </w:tcPr>
          <w:p w14:paraId="1C0496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EF0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2E3941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三、里白科</w:t>
            </w:r>
          </w:p>
        </w:tc>
        <w:tc>
          <w:tcPr>
            <w:tcW w:w="3969" w:type="dxa"/>
            <w:noWrap w:val="0"/>
            <w:vAlign w:val="center"/>
          </w:tcPr>
          <w:p w14:paraId="334001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Gleicheniaceae</w:t>
            </w:r>
          </w:p>
        </w:tc>
        <w:tc>
          <w:tcPr>
            <w:tcW w:w="1977" w:type="dxa"/>
            <w:noWrap w:val="0"/>
            <w:vAlign w:val="center"/>
          </w:tcPr>
          <w:p w14:paraId="460CF1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10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865B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3.芒萁属</w:t>
            </w:r>
          </w:p>
        </w:tc>
        <w:tc>
          <w:tcPr>
            <w:tcW w:w="3969" w:type="dxa"/>
            <w:noWrap w:val="0"/>
            <w:vAlign w:val="center"/>
          </w:tcPr>
          <w:p w14:paraId="045D37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Dicranopteris</w:t>
            </w:r>
          </w:p>
        </w:tc>
        <w:tc>
          <w:tcPr>
            <w:tcW w:w="1977" w:type="dxa"/>
            <w:noWrap w:val="0"/>
            <w:vAlign w:val="center"/>
          </w:tcPr>
          <w:p w14:paraId="3BA980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7EF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C43B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（4）芒萁</w:t>
            </w:r>
          </w:p>
        </w:tc>
        <w:tc>
          <w:tcPr>
            <w:tcW w:w="3969" w:type="dxa"/>
            <w:noWrap w:val="0"/>
            <w:vAlign w:val="center"/>
          </w:tcPr>
          <w:p w14:paraId="13038E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Dicranopteris pedata</w:t>
            </w:r>
          </w:p>
        </w:tc>
        <w:tc>
          <w:tcPr>
            <w:tcW w:w="1977" w:type="dxa"/>
            <w:noWrap w:val="0"/>
            <w:vAlign w:val="center"/>
          </w:tcPr>
          <w:p w14:paraId="2DEB03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30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6263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4.里白属</w:t>
            </w:r>
          </w:p>
        </w:tc>
        <w:tc>
          <w:tcPr>
            <w:tcW w:w="3969" w:type="dxa"/>
            <w:noWrap w:val="0"/>
            <w:vAlign w:val="center"/>
          </w:tcPr>
          <w:p w14:paraId="4C4270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Hicriopteris</w:t>
            </w:r>
          </w:p>
        </w:tc>
        <w:tc>
          <w:tcPr>
            <w:tcW w:w="1977" w:type="dxa"/>
            <w:noWrap w:val="0"/>
            <w:vAlign w:val="center"/>
          </w:tcPr>
          <w:p w14:paraId="60BE76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81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64806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（5）里白</w:t>
            </w:r>
          </w:p>
        </w:tc>
        <w:tc>
          <w:tcPr>
            <w:tcW w:w="3969" w:type="dxa"/>
            <w:noWrap w:val="0"/>
            <w:vAlign w:val="center"/>
          </w:tcPr>
          <w:p w14:paraId="725B59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Hicriopteris glaucum</w:t>
            </w:r>
          </w:p>
        </w:tc>
        <w:tc>
          <w:tcPr>
            <w:tcW w:w="1977" w:type="dxa"/>
            <w:noWrap w:val="0"/>
            <w:vAlign w:val="center"/>
          </w:tcPr>
          <w:p w14:paraId="587BB9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8B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250D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四、凤尾蕨科</w:t>
            </w:r>
          </w:p>
        </w:tc>
        <w:tc>
          <w:tcPr>
            <w:tcW w:w="3969" w:type="dxa"/>
            <w:noWrap w:val="0"/>
            <w:vAlign w:val="center"/>
          </w:tcPr>
          <w:p w14:paraId="2DBAC56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Pteridaceae</w:t>
            </w:r>
          </w:p>
        </w:tc>
        <w:tc>
          <w:tcPr>
            <w:tcW w:w="1977" w:type="dxa"/>
            <w:noWrap w:val="0"/>
            <w:vAlign w:val="center"/>
          </w:tcPr>
          <w:p w14:paraId="066FE3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6B1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5861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5.蕨属</w:t>
            </w:r>
          </w:p>
        </w:tc>
        <w:tc>
          <w:tcPr>
            <w:tcW w:w="3969" w:type="dxa"/>
            <w:noWrap w:val="0"/>
            <w:vAlign w:val="center"/>
          </w:tcPr>
          <w:p w14:paraId="43C87F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Pteridium</w:t>
            </w:r>
          </w:p>
        </w:tc>
        <w:tc>
          <w:tcPr>
            <w:tcW w:w="1977" w:type="dxa"/>
            <w:noWrap w:val="0"/>
            <w:vAlign w:val="center"/>
          </w:tcPr>
          <w:p w14:paraId="4DFAF5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FB6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DFC5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（6）蕨</w:t>
            </w:r>
          </w:p>
        </w:tc>
        <w:tc>
          <w:tcPr>
            <w:tcW w:w="3969" w:type="dxa"/>
            <w:noWrap w:val="0"/>
            <w:vAlign w:val="center"/>
          </w:tcPr>
          <w:p w14:paraId="355B57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Pteridium aquilinum</w:t>
            </w:r>
          </w:p>
        </w:tc>
        <w:tc>
          <w:tcPr>
            <w:tcW w:w="1977" w:type="dxa"/>
            <w:noWrap w:val="0"/>
            <w:vAlign w:val="center"/>
          </w:tcPr>
          <w:p w14:paraId="394DC9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BE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9972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6.凤尾蕨属</w:t>
            </w:r>
          </w:p>
        </w:tc>
        <w:tc>
          <w:tcPr>
            <w:tcW w:w="3969" w:type="dxa"/>
            <w:noWrap w:val="0"/>
            <w:vAlign w:val="center"/>
          </w:tcPr>
          <w:p w14:paraId="744FF2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Pteris</w:t>
            </w:r>
          </w:p>
        </w:tc>
        <w:tc>
          <w:tcPr>
            <w:tcW w:w="1977" w:type="dxa"/>
            <w:noWrap w:val="0"/>
            <w:vAlign w:val="center"/>
          </w:tcPr>
          <w:p w14:paraId="5C5BA7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66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BD3D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（7）井栏边草</w:t>
            </w:r>
          </w:p>
        </w:tc>
        <w:tc>
          <w:tcPr>
            <w:tcW w:w="3969" w:type="dxa"/>
            <w:noWrap w:val="0"/>
            <w:vAlign w:val="center"/>
          </w:tcPr>
          <w:p w14:paraId="2BFE34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Pteris multifida</w:t>
            </w:r>
          </w:p>
        </w:tc>
        <w:tc>
          <w:tcPr>
            <w:tcW w:w="1977" w:type="dxa"/>
            <w:noWrap w:val="0"/>
            <w:vAlign w:val="center"/>
          </w:tcPr>
          <w:p w14:paraId="2CA6CF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FB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731B4D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五、乌毛蕨科</w:t>
            </w:r>
          </w:p>
        </w:tc>
        <w:tc>
          <w:tcPr>
            <w:tcW w:w="3969" w:type="dxa"/>
            <w:noWrap w:val="0"/>
            <w:vAlign w:val="center"/>
          </w:tcPr>
          <w:p w14:paraId="598250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Blechnaceae</w:t>
            </w:r>
          </w:p>
        </w:tc>
        <w:tc>
          <w:tcPr>
            <w:tcW w:w="1977" w:type="dxa"/>
            <w:noWrap w:val="0"/>
            <w:vAlign w:val="center"/>
          </w:tcPr>
          <w:p w14:paraId="63AAA0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46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CA60A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7.狗脊蕨属</w:t>
            </w:r>
          </w:p>
        </w:tc>
        <w:tc>
          <w:tcPr>
            <w:tcW w:w="3969" w:type="dxa"/>
            <w:noWrap w:val="0"/>
            <w:vAlign w:val="center"/>
          </w:tcPr>
          <w:p w14:paraId="2268E3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Woodwardia</w:t>
            </w:r>
          </w:p>
        </w:tc>
        <w:tc>
          <w:tcPr>
            <w:tcW w:w="1977" w:type="dxa"/>
            <w:noWrap w:val="0"/>
            <w:vAlign w:val="center"/>
          </w:tcPr>
          <w:p w14:paraId="54CE4B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A4F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ED690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（8）狗脊蕨</w:t>
            </w:r>
          </w:p>
        </w:tc>
        <w:tc>
          <w:tcPr>
            <w:tcW w:w="3969" w:type="dxa"/>
            <w:noWrap w:val="0"/>
            <w:vAlign w:val="center"/>
          </w:tcPr>
          <w:p w14:paraId="015FB5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Woodwardia japonica</w:t>
            </w:r>
          </w:p>
        </w:tc>
        <w:tc>
          <w:tcPr>
            <w:tcW w:w="1977" w:type="dxa"/>
            <w:noWrap w:val="0"/>
            <w:vAlign w:val="center"/>
          </w:tcPr>
          <w:p w14:paraId="231537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09D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2115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六、鳞毛蕨科</w:t>
            </w:r>
          </w:p>
        </w:tc>
        <w:tc>
          <w:tcPr>
            <w:tcW w:w="3969" w:type="dxa"/>
            <w:noWrap w:val="0"/>
            <w:vAlign w:val="center"/>
          </w:tcPr>
          <w:p w14:paraId="7FBD26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Dryopteridaceae</w:t>
            </w:r>
          </w:p>
        </w:tc>
        <w:tc>
          <w:tcPr>
            <w:tcW w:w="1977" w:type="dxa"/>
            <w:noWrap w:val="0"/>
            <w:vAlign w:val="center"/>
          </w:tcPr>
          <w:p w14:paraId="7FFD1C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70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FA19C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8.鳞毛蕨属</w:t>
            </w:r>
          </w:p>
        </w:tc>
        <w:tc>
          <w:tcPr>
            <w:tcW w:w="3969" w:type="dxa"/>
            <w:noWrap w:val="0"/>
            <w:vAlign w:val="center"/>
          </w:tcPr>
          <w:p w14:paraId="2CE71E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Dryopteris</w:t>
            </w:r>
          </w:p>
        </w:tc>
        <w:tc>
          <w:tcPr>
            <w:tcW w:w="1977" w:type="dxa"/>
            <w:noWrap w:val="0"/>
            <w:vAlign w:val="center"/>
          </w:tcPr>
          <w:p w14:paraId="00588E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DA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0E68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（9）中华鳞毛蕨</w:t>
            </w:r>
          </w:p>
        </w:tc>
        <w:tc>
          <w:tcPr>
            <w:tcW w:w="3969" w:type="dxa"/>
            <w:noWrap w:val="0"/>
            <w:vAlign w:val="center"/>
          </w:tcPr>
          <w:p w14:paraId="29D09D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Dryopteris chinensis</w:t>
            </w:r>
          </w:p>
        </w:tc>
        <w:tc>
          <w:tcPr>
            <w:tcW w:w="1977" w:type="dxa"/>
            <w:noWrap w:val="0"/>
            <w:vAlign w:val="center"/>
          </w:tcPr>
          <w:p w14:paraId="47B82C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30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99A43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（10）暗鳞鳞毛蕨</w:t>
            </w:r>
          </w:p>
        </w:tc>
        <w:tc>
          <w:tcPr>
            <w:tcW w:w="3969" w:type="dxa"/>
            <w:noWrap w:val="0"/>
            <w:vAlign w:val="center"/>
          </w:tcPr>
          <w:p w14:paraId="4635CD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Dryopteris atrata</w:t>
            </w:r>
          </w:p>
        </w:tc>
        <w:tc>
          <w:tcPr>
            <w:tcW w:w="1977" w:type="dxa"/>
            <w:noWrap w:val="0"/>
            <w:vAlign w:val="center"/>
          </w:tcPr>
          <w:p w14:paraId="75B1D9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49D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BDB2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七、苹科</w:t>
            </w:r>
          </w:p>
        </w:tc>
        <w:tc>
          <w:tcPr>
            <w:tcW w:w="3969" w:type="dxa"/>
            <w:noWrap w:val="0"/>
            <w:vAlign w:val="center"/>
          </w:tcPr>
          <w:p w14:paraId="595B24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Marsileaceae</w:t>
            </w:r>
          </w:p>
        </w:tc>
        <w:tc>
          <w:tcPr>
            <w:tcW w:w="1977" w:type="dxa"/>
            <w:noWrap w:val="0"/>
            <w:vAlign w:val="center"/>
          </w:tcPr>
          <w:p w14:paraId="7CE76F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EF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B7420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9.苹属</w:t>
            </w:r>
          </w:p>
        </w:tc>
        <w:tc>
          <w:tcPr>
            <w:tcW w:w="3969" w:type="dxa"/>
            <w:noWrap w:val="0"/>
            <w:vAlign w:val="center"/>
          </w:tcPr>
          <w:p w14:paraId="3943B3F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Marsilea</w:t>
            </w:r>
          </w:p>
        </w:tc>
        <w:tc>
          <w:tcPr>
            <w:tcW w:w="1977" w:type="dxa"/>
            <w:noWrap w:val="0"/>
            <w:vAlign w:val="center"/>
          </w:tcPr>
          <w:p w14:paraId="0297D5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01B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2C5B9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（11）苹</w:t>
            </w:r>
          </w:p>
        </w:tc>
        <w:tc>
          <w:tcPr>
            <w:tcW w:w="3969" w:type="dxa"/>
            <w:noWrap w:val="0"/>
            <w:vAlign w:val="center"/>
          </w:tcPr>
          <w:p w14:paraId="465986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Marsilea quadrifolia</w:t>
            </w:r>
          </w:p>
        </w:tc>
        <w:tc>
          <w:tcPr>
            <w:tcW w:w="1977" w:type="dxa"/>
            <w:noWrap w:val="0"/>
            <w:vAlign w:val="center"/>
          </w:tcPr>
          <w:p w14:paraId="780BA0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58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5AAA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八、槐叶苹科</w:t>
            </w:r>
          </w:p>
        </w:tc>
        <w:tc>
          <w:tcPr>
            <w:tcW w:w="3969" w:type="dxa"/>
            <w:noWrap w:val="0"/>
            <w:vAlign w:val="center"/>
          </w:tcPr>
          <w:p w14:paraId="3AA1F8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Salviniacae</w:t>
            </w:r>
          </w:p>
        </w:tc>
        <w:tc>
          <w:tcPr>
            <w:tcW w:w="1977" w:type="dxa"/>
            <w:noWrap w:val="0"/>
            <w:vAlign w:val="center"/>
          </w:tcPr>
          <w:p w14:paraId="5BDA8A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80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79426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10.槐叶苹属</w:t>
            </w:r>
          </w:p>
        </w:tc>
        <w:tc>
          <w:tcPr>
            <w:tcW w:w="3969" w:type="dxa"/>
            <w:noWrap w:val="0"/>
            <w:vAlign w:val="center"/>
          </w:tcPr>
          <w:p w14:paraId="218C23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Salvinia</w:t>
            </w:r>
          </w:p>
        </w:tc>
        <w:tc>
          <w:tcPr>
            <w:tcW w:w="1977" w:type="dxa"/>
            <w:noWrap w:val="0"/>
            <w:vAlign w:val="center"/>
          </w:tcPr>
          <w:p w14:paraId="59BF78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0A0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5B05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（12）槐叶苹</w:t>
            </w:r>
          </w:p>
        </w:tc>
        <w:tc>
          <w:tcPr>
            <w:tcW w:w="3969" w:type="dxa"/>
            <w:noWrap w:val="0"/>
            <w:vAlign w:val="center"/>
          </w:tcPr>
          <w:p w14:paraId="6465A2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Salvinia natans</w:t>
            </w:r>
          </w:p>
        </w:tc>
        <w:tc>
          <w:tcPr>
            <w:tcW w:w="1977" w:type="dxa"/>
            <w:noWrap w:val="0"/>
            <w:vAlign w:val="center"/>
          </w:tcPr>
          <w:p w14:paraId="150D79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AE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66274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九、满江红科</w:t>
            </w:r>
          </w:p>
        </w:tc>
        <w:tc>
          <w:tcPr>
            <w:tcW w:w="3969" w:type="dxa"/>
            <w:noWrap w:val="0"/>
            <w:vAlign w:val="center"/>
          </w:tcPr>
          <w:p w14:paraId="79BD8A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Azollaceae</w:t>
            </w:r>
          </w:p>
        </w:tc>
        <w:tc>
          <w:tcPr>
            <w:tcW w:w="1977" w:type="dxa"/>
            <w:noWrap w:val="0"/>
            <w:vAlign w:val="center"/>
          </w:tcPr>
          <w:p w14:paraId="053204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93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65759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11.满江红属</w:t>
            </w:r>
          </w:p>
        </w:tc>
        <w:tc>
          <w:tcPr>
            <w:tcW w:w="3969" w:type="dxa"/>
            <w:noWrap w:val="0"/>
            <w:vAlign w:val="center"/>
          </w:tcPr>
          <w:p w14:paraId="4F033F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Azolla</w:t>
            </w:r>
          </w:p>
        </w:tc>
        <w:tc>
          <w:tcPr>
            <w:tcW w:w="1977" w:type="dxa"/>
            <w:noWrap w:val="0"/>
            <w:vAlign w:val="center"/>
          </w:tcPr>
          <w:p w14:paraId="624676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72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F877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（13）满江红</w:t>
            </w:r>
          </w:p>
        </w:tc>
        <w:tc>
          <w:tcPr>
            <w:tcW w:w="3969" w:type="dxa"/>
            <w:noWrap w:val="0"/>
            <w:vAlign w:val="center"/>
          </w:tcPr>
          <w:p w14:paraId="0A748B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Azolla imbricata</w:t>
            </w:r>
          </w:p>
        </w:tc>
        <w:tc>
          <w:tcPr>
            <w:tcW w:w="1977" w:type="dxa"/>
            <w:noWrap w:val="0"/>
            <w:vAlign w:val="center"/>
          </w:tcPr>
          <w:p w14:paraId="354FF3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22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F992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Ⅱ、祼子植物门</w:t>
            </w:r>
          </w:p>
        </w:tc>
        <w:tc>
          <w:tcPr>
            <w:tcW w:w="3969" w:type="dxa"/>
            <w:noWrap w:val="0"/>
            <w:vAlign w:val="center"/>
          </w:tcPr>
          <w:p w14:paraId="6D9A5D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c>
          <w:tcPr>
            <w:tcW w:w="1977" w:type="dxa"/>
            <w:noWrap w:val="0"/>
            <w:vAlign w:val="center"/>
          </w:tcPr>
          <w:p w14:paraId="6BDD50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BA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37DA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一、.松科</w:t>
            </w:r>
          </w:p>
        </w:tc>
        <w:tc>
          <w:tcPr>
            <w:tcW w:w="3969" w:type="dxa"/>
            <w:noWrap w:val="0"/>
            <w:vAlign w:val="center"/>
          </w:tcPr>
          <w:p w14:paraId="3A01D8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Pinaceae</w:t>
            </w:r>
          </w:p>
        </w:tc>
        <w:tc>
          <w:tcPr>
            <w:tcW w:w="1977" w:type="dxa"/>
            <w:noWrap w:val="0"/>
            <w:vAlign w:val="center"/>
          </w:tcPr>
          <w:p w14:paraId="387FB2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84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E66D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1.松属</w:t>
            </w:r>
          </w:p>
        </w:tc>
        <w:tc>
          <w:tcPr>
            <w:tcW w:w="3969" w:type="dxa"/>
            <w:noWrap w:val="0"/>
            <w:vAlign w:val="center"/>
          </w:tcPr>
          <w:p w14:paraId="7CADB8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Pinus</w:t>
            </w:r>
          </w:p>
        </w:tc>
        <w:tc>
          <w:tcPr>
            <w:tcW w:w="1977" w:type="dxa"/>
            <w:noWrap w:val="0"/>
            <w:vAlign w:val="center"/>
          </w:tcPr>
          <w:p w14:paraId="4C4AAF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DC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00BD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（1）马尾松</w:t>
            </w:r>
          </w:p>
        </w:tc>
        <w:tc>
          <w:tcPr>
            <w:tcW w:w="3969" w:type="dxa"/>
            <w:noWrap w:val="0"/>
            <w:vAlign w:val="center"/>
          </w:tcPr>
          <w:p w14:paraId="136F24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Pinus massoniana</w:t>
            </w:r>
          </w:p>
        </w:tc>
        <w:tc>
          <w:tcPr>
            <w:tcW w:w="1977" w:type="dxa"/>
            <w:noWrap w:val="0"/>
            <w:vAlign w:val="center"/>
          </w:tcPr>
          <w:p w14:paraId="48AF6D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87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BB21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（2）湿地松</w:t>
            </w:r>
          </w:p>
        </w:tc>
        <w:tc>
          <w:tcPr>
            <w:tcW w:w="3969" w:type="dxa"/>
            <w:noWrap w:val="0"/>
            <w:vAlign w:val="center"/>
          </w:tcPr>
          <w:p w14:paraId="36F459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Pinu selliottii</w:t>
            </w:r>
          </w:p>
        </w:tc>
        <w:tc>
          <w:tcPr>
            <w:tcW w:w="1977" w:type="dxa"/>
            <w:noWrap w:val="0"/>
            <w:vAlign w:val="center"/>
          </w:tcPr>
          <w:p w14:paraId="14BCD3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74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4065E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二、杉科</w:t>
            </w:r>
          </w:p>
        </w:tc>
        <w:tc>
          <w:tcPr>
            <w:tcW w:w="3969" w:type="dxa"/>
            <w:noWrap w:val="0"/>
            <w:vAlign w:val="center"/>
          </w:tcPr>
          <w:p w14:paraId="62B9F6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Taxodiacea</w:t>
            </w:r>
          </w:p>
        </w:tc>
        <w:tc>
          <w:tcPr>
            <w:tcW w:w="1977" w:type="dxa"/>
            <w:noWrap w:val="0"/>
            <w:vAlign w:val="center"/>
          </w:tcPr>
          <w:p w14:paraId="729FCB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D7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934A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2.杉木属</w:t>
            </w:r>
          </w:p>
        </w:tc>
        <w:tc>
          <w:tcPr>
            <w:tcW w:w="3969" w:type="dxa"/>
            <w:noWrap w:val="0"/>
            <w:vAlign w:val="center"/>
          </w:tcPr>
          <w:p w14:paraId="21FB00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Cunninghamia</w:t>
            </w:r>
          </w:p>
        </w:tc>
        <w:tc>
          <w:tcPr>
            <w:tcW w:w="1977" w:type="dxa"/>
            <w:noWrap w:val="0"/>
            <w:vAlign w:val="center"/>
          </w:tcPr>
          <w:p w14:paraId="2D1238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083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C18E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（3）杉木</w:t>
            </w:r>
          </w:p>
        </w:tc>
        <w:tc>
          <w:tcPr>
            <w:tcW w:w="3969" w:type="dxa"/>
            <w:noWrap w:val="0"/>
            <w:vAlign w:val="center"/>
          </w:tcPr>
          <w:p w14:paraId="65880D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Cunningha mialanceolata</w:t>
            </w:r>
          </w:p>
        </w:tc>
        <w:tc>
          <w:tcPr>
            <w:tcW w:w="1977" w:type="dxa"/>
            <w:noWrap w:val="0"/>
            <w:vAlign w:val="center"/>
          </w:tcPr>
          <w:p w14:paraId="654A7D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CC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6922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3.落羽杉属</w:t>
            </w:r>
          </w:p>
        </w:tc>
        <w:tc>
          <w:tcPr>
            <w:tcW w:w="3969" w:type="dxa"/>
            <w:noWrap w:val="0"/>
            <w:vAlign w:val="center"/>
          </w:tcPr>
          <w:p w14:paraId="562DD8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Taxodium</w:t>
            </w:r>
          </w:p>
        </w:tc>
        <w:tc>
          <w:tcPr>
            <w:tcW w:w="1977" w:type="dxa"/>
            <w:noWrap w:val="0"/>
            <w:vAlign w:val="center"/>
          </w:tcPr>
          <w:p w14:paraId="14A834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54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F96E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（4）池杉</w:t>
            </w:r>
          </w:p>
        </w:tc>
        <w:tc>
          <w:tcPr>
            <w:tcW w:w="3969" w:type="dxa"/>
            <w:noWrap w:val="0"/>
            <w:vAlign w:val="center"/>
          </w:tcPr>
          <w:p w14:paraId="234624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Taxodium ascendens</w:t>
            </w:r>
          </w:p>
        </w:tc>
        <w:tc>
          <w:tcPr>
            <w:tcW w:w="1977" w:type="dxa"/>
            <w:noWrap w:val="0"/>
            <w:vAlign w:val="center"/>
          </w:tcPr>
          <w:p w14:paraId="0442B27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48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130D8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Ⅲ、被子植物门</w:t>
            </w:r>
          </w:p>
        </w:tc>
        <w:tc>
          <w:tcPr>
            <w:tcW w:w="3969" w:type="dxa"/>
            <w:noWrap w:val="0"/>
            <w:vAlign w:val="center"/>
          </w:tcPr>
          <w:p w14:paraId="40355E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c>
          <w:tcPr>
            <w:tcW w:w="1977" w:type="dxa"/>
            <w:noWrap w:val="0"/>
            <w:vAlign w:val="center"/>
          </w:tcPr>
          <w:p w14:paraId="148AC67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EC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3FE8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(Ⅰ)双子叶植物纲</w:t>
            </w:r>
          </w:p>
        </w:tc>
        <w:tc>
          <w:tcPr>
            <w:tcW w:w="3969" w:type="dxa"/>
            <w:noWrap w:val="0"/>
            <w:vAlign w:val="center"/>
          </w:tcPr>
          <w:p w14:paraId="47C8A5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Dicotyledoneae</w:t>
            </w:r>
          </w:p>
        </w:tc>
        <w:tc>
          <w:tcPr>
            <w:tcW w:w="1977" w:type="dxa"/>
            <w:noWrap w:val="0"/>
            <w:vAlign w:val="center"/>
          </w:tcPr>
          <w:p w14:paraId="2AB512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4D3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8B5A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一、三白草科</w:t>
            </w:r>
          </w:p>
        </w:tc>
        <w:tc>
          <w:tcPr>
            <w:tcW w:w="3969" w:type="dxa"/>
            <w:noWrap w:val="0"/>
            <w:vAlign w:val="center"/>
          </w:tcPr>
          <w:p w14:paraId="2DDE46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Saururaceae</w:t>
            </w:r>
          </w:p>
        </w:tc>
        <w:tc>
          <w:tcPr>
            <w:tcW w:w="1977" w:type="dxa"/>
            <w:noWrap w:val="0"/>
            <w:vAlign w:val="center"/>
          </w:tcPr>
          <w:p w14:paraId="164F1A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5BD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94A2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1、蕺菜属</w:t>
            </w:r>
          </w:p>
        </w:tc>
        <w:tc>
          <w:tcPr>
            <w:tcW w:w="3969" w:type="dxa"/>
            <w:noWrap w:val="0"/>
            <w:vAlign w:val="center"/>
          </w:tcPr>
          <w:p w14:paraId="752C88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Houttuynia</w:t>
            </w:r>
          </w:p>
        </w:tc>
        <w:tc>
          <w:tcPr>
            <w:tcW w:w="1977" w:type="dxa"/>
            <w:noWrap w:val="0"/>
            <w:vAlign w:val="center"/>
          </w:tcPr>
          <w:p w14:paraId="4056DF1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097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AABAD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（1）蕺菜(鱼腥草)</w:t>
            </w:r>
          </w:p>
        </w:tc>
        <w:tc>
          <w:tcPr>
            <w:tcW w:w="3969" w:type="dxa"/>
            <w:noWrap w:val="0"/>
            <w:vAlign w:val="center"/>
          </w:tcPr>
          <w:p w14:paraId="4BE0A2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Houttuynia cordata</w:t>
            </w:r>
          </w:p>
        </w:tc>
        <w:tc>
          <w:tcPr>
            <w:tcW w:w="1977" w:type="dxa"/>
            <w:noWrap w:val="0"/>
            <w:vAlign w:val="center"/>
          </w:tcPr>
          <w:p w14:paraId="1D0269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373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FB78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二、杨柳科</w:t>
            </w:r>
          </w:p>
        </w:tc>
        <w:tc>
          <w:tcPr>
            <w:tcW w:w="3969" w:type="dxa"/>
            <w:noWrap w:val="0"/>
            <w:vAlign w:val="center"/>
          </w:tcPr>
          <w:p w14:paraId="573509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Salicaceae</w:t>
            </w:r>
          </w:p>
        </w:tc>
        <w:tc>
          <w:tcPr>
            <w:tcW w:w="1977" w:type="dxa"/>
            <w:noWrap w:val="0"/>
            <w:vAlign w:val="center"/>
          </w:tcPr>
          <w:p w14:paraId="2E0FCA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82E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AE331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2.杨属</w:t>
            </w:r>
          </w:p>
        </w:tc>
        <w:tc>
          <w:tcPr>
            <w:tcW w:w="3969" w:type="dxa"/>
            <w:noWrap w:val="0"/>
            <w:vAlign w:val="center"/>
          </w:tcPr>
          <w:p w14:paraId="5AEA72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Populus</w:t>
            </w:r>
          </w:p>
        </w:tc>
        <w:tc>
          <w:tcPr>
            <w:tcW w:w="1977" w:type="dxa"/>
            <w:noWrap w:val="0"/>
            <w:vAlign w:val="center"/>
          </w:tcPr>
          <w:p w14:paraId="68875E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C5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41EBF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（2）意杨</w:t>
            </w:r>
          </w:p>
        </w:tc>
        <w:tc>
          <w:tcPr>
            <w:tcW w:w="3969" w:type="dxa"/>
            <w:noWrap w:val="0"/>
            <w:vAlign w:val="center"/>
          </w:tcPr>
          <w:p w14:paraId="6C52DA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Populus nigra</w:t>
            </w:r>
          </w:p>
        </w:tc>
        <w:tc>
          <w:tcPr>
            <w:tcW w:w="1977" w:type="dxa"/>
            <w:noWrap w:val="0"/>
            <w:vAlign w:val="center"/>
          </w:tcPr>
          <w:p w14:paraId="1C3967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56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5F3C7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3.柳属</w:t>
            </w:r>
          </w:p>
        </w:tc>
        <w:tc>
          <w:tcPr>
            <w:tcW w:w="3969" w:type="dxa"/>
            <w:noWrap w:val="0"/>
            <w:vAlign w:val="center"/>
          </w:tcPr>
          <w:p w14:paraId="5A3836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Salix</w:t>
            </w:r>
          </w:p>
        </w:tc>
        <w:tc>
          <w:tcPr>
            <w:tcW w:w="1977" w:type="dxa"/>
            <w:noWrap w:val="0"/>
            <w:vAlign w:val="center"/>
          </w:tcPr>
          <w:p w14:paraId="5C7A3C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2E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3DE8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（3）旱柳</w:t>
            </w:r>
          </w:p>
        </w:tc>
        <w:tc>
          <w:tcPr>
            <w:tcW w:w="3969" w:type="dxa"/>
            <w:noWrap w:val="0"/>
            <w:vAlign w:val="center"/>
          </w:tcPr>
          <w:p w14:paraId="477B78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Salix matsudana</w:t>
            </w:r>
          </w:p>
        </w:tc>
        <w:tc>
          <w:tcPr>
            <w:tcW w:w="1977" w:type="dxa"/>
            <w:noWrap w:val="0"/>
            <w:vAlign w:val="center"/>
          </w:tcPr>
          <w:p w14:paraId="454BA8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0AA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ABDF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（4）垂柳</w:t>
            </w:r>
          </w:p>
        </w:tc>
        <w:tc>
          <w:tcPr>
            <w:tcW w:w="3969" w:type="dxa"/>
            <w:noWrap w:val="0"/>
            <w:vAlign w:val="center"/>
          </w:tcPr>
          <w:p w14:paraId="0A018F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Salix babylonica</w:t>
            </w:r>
          </w:p>
        </w:tc>
        <w:tc>
          <w:tcPr>
            <w:tcW w:w="1977" w:type="dxa"/>
            <w:noWrap w:val="0"/>
            <w:vAlign w:val="center"/>
          </w:tcPr>
          <w:p w14:paraId="7B2CCB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7C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55A29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三、胡桃科</w:t>
            </w:r>
          </w:p>
        </w:tc>
        <w:tc>
          <w:tcPr>
            <w:tcW w:w="3969" w:type="dxa"/>
            <w:noWrap w:val="0"/>
            <w:vAlign w:val="center"/>
          </w:tcPr>
          <w:p w14:paraId="020B44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Juglandaceae</w:t>
            </w:r>
          </w:p>
        </w:tc>
        <w:tc>
          <w:tcPr>
            <w:tcW w:w="1977" w:type="dxa"/>
            <w:noWrap w:val="0"/>
            <w:vAlign w:val="center"/>
          </w:tcPr>
          <w:p w14:paraId="4CA5257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4B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DAEB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4.化香树属</w:t>
            </w:r>
          </w:p>
        </w:tc>
        <w:tc>
          <w:tcPr>
            <w:tcW w:w="3969" w:type="dxa"/>
            <w:noWrap w:val="0"/>
            <w:vAlign w:val="center"/>
          </w:tcPr>
          <w:p w14:paraId="266C10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Platycarya</w:t>
            </w:r>
          </w:p>
        </w:tc>
        <w:tc>
          <w:tcPr>
            <w:tcW w:w="1977" w:type="dxa"/>
            <w:noWrap w:val="0"/>
            <w:vAlign w:val="center"/>
          </w:tcPr>
          <w:p w14:paraId="3FC470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3E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9DD4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（5）化香树</w:t>
            </w:r>
          </w:p>
        </w:tc>
        <w:tc>
          <w:tcPr>
            <w:tcW w:w="3969" w:type="dxa"/>
            <w:noWrap w:val="0"/>
            <w:vAlign w:val="center"/>
          </w:tcPr>
          <w:p w14:paraId="5DC263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Platycarya strobilacea</w:t>
            </w:r>
          </w:p>
        </w:tc>
        <w:tc>
          <w:tcPr>
            <w:tcW w:w="1977" w:type="dxa"/>
            <w:noWrap w:val="0"/>
            <w:vAlign w:val="center"/>
          </w:tcPr>
          <w:p w14:paraId="26DAA0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87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CF92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5.枫杨属</w:t>
            </w:r>
          </w:p>
        </w:tc>
        <w:tc>
          <w:tcPr>
            <w:tcW w:w="3969" w:type="dxa"/>
            <w:noWrap w:val="0"/>
            <w:vAlign w:val="center"/>
          </w:tcPr>
          <w:p w14:paraId="4A6F04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Pterocarya</w:t>
            </w:r>
          </w:p>
        </w:tc>
        <w:tc>
          <w:tcPr>
            <w:tcW w:w="1977" w:type="dxa"/>
            <w:noWrap w:val="0"/>
            <w:vAlign w:val="center"/>
          </w:tcPr>
          <w:p w14:paraId="2DCAA0D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CE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1059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（6）枫杨</w:t>
            </w:r>
          </w:p>
        </w:tc>
        <w:tc>
          <w:tcPr>
            <w:tcW w:w="3969" w:type="dxa"/>
            <w:noWrap w:val="0"/>
            <w:vAlign w:val="center"/>
          </w:tcPr>
          <w:p w14:paraId="5889443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Pterocarya stenoptera</w:t>
            </w:r>
          </w:p>
        </w:tc>
        <w:tc>
          <w:tcPr>
            <w:tcW w:w="1977" w:type="dxa"/>
            <w:noWrap w:val="0"/>
            <w:vAlign w:val="center"/>
          </w:tcPr>
          <w:p w14:paraId="22AE8C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B0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9414E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四、壳斗科</w:t>
            </w:r>
          </w:p>
        </w:tc>
        <w:tc>
          <w:tcPr>
            <w:tcW w:w="3969" w:type="dxa"/>
            <w:noWrap w:val="0"/>
            <w:vAlign w:val="center"/>
          </w:tcPr>
          <w:p w14:paraId="2DA147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Fagaceae</w:t>
            </w:r>
          </w:p>
        </w:tc>
        <w:tc>
          <w:tcPr>
            <w:tcW w:w="1977" w:type="dxa"/>
            <w:noWrap w:val="0"/>
            <w:vAlign w:val="center"/>
          </w:tcPr>
          <w:p w14:paraId="08F40A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C33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D737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6.栎属</w:t>
            </w:r>
          </w:p>
        </w:tc>
        <w:tc>
          <w:tcPr>
            <w:tcW w:w="3969" w:type="dxa"/>
            <w:noWrap w:val="0"/>
            <w:vAlign w:val="center"/>
          </w:tcPr>
          <w:p w14:paraId="6C5374F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Quercus</w:t>
            </w:r>
          </w:p>
        </w:tc>
        <w:tc>
          <w:tcPr>
            <w:tcW w:w="1977" w:type="dxa"/>
            <w:noWrap w:val="0"/>
            <w:vAlign w:val="center"/>
          </w:tcPr>
          <w:p w14:paraId="6D8B72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F0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1D596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（7）大叶青冈栎</w:t>
            </w:r>
          </w:p>
        </w:tc>
        <w:tc>
          <w:tcPr>
            <w:tcW w:w="3969" w:type="dxa"/>
            <w:noWrap w:val="0"/>
            <w:vAlign w:val="center"/>
          </w:tcPr>
          <w:p w14:paraId="38C063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Quercus jenseniana</w:t>
            </w:r>
          </w:p>
        </w:tc>
        <w:tc>
          <w:tcPr>
            <w:tcW w:w="1977" w:type="dxa"/>
            <w:noWrap w:val="0"/>
            <w:vAlign w:val="center"/>
          </w:tcPr>
          <w:p w14:paraId="2A217CD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4F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8909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（8）苦槠</w:t>
            </w:r>
          </w:p>
        </w:tc>
        <w:tc>
          <w:tcPr>
            <w:tcW w:w="3969" w:type="dxa"/>
            <w:noWrap w:val="0"/>
            <w:vAlign w:val="center"/>
          </w:tcPr>
          <w:p w14:paraId="0F7830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Quercus myrsinaefolia</w:t>
            </w:r>
          </w:p>
        </w:tc>
        <w:tc>
          <w:tcPr>
            <w:tcW w:w="1977" w:type="dxa"/>
            <w:noWrap w:val="0"/>
            <w:vAlign w:val="center"/>
          </w:tcPr>
          <w:p w14:paraId="24B5C7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26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266C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7.栗锥属</w:t>
            </w:r>
          </w:p>
        </w:tc>
        <w:tc>
          <w:tcPr>
            <w:tcW w:w="3969" w:type="dxa"/>
            <w:noWrap w:val="0"/>
            <w:vAlign w:val="center"/>
          </w:tcPr>
          <w:p w14:paraId="4A2E32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Castanopsis</w:t>
            </w:r>
          </w:p>
        </w:tc>
        <w:tc>
          <w:tcPr>
            <w:tcW w:w="1977" w:type="dxa"/>
            <w:noWrap w:val="0"/>
            <w:vAlign w:val="center"/>
          </w:tcPr>
          <w:p w14:paraId="4F8019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18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5333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（9）罗浮栲</w:t>
            </w:r>
          </w:p>
        </w:tc>
        <w:tc>
          <w:tcPr>
            <w:tcW w:w="3969" w:type="dxa"/>
            <w:noWrap w:val="0"/>
            <w:vAlign w:val="center"/>
          </w:tcPr>
          <w:p w14:paraId="589016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Castanopsis fabri</w:t>
            </w:r>
          </w:p>
        </w:tc>
        <w:tc>
          <w:tcPr>
            <w:tcW w:w="1977" w:type="dxa"/>
            <w:noWrap w:val="0"/>
            <w:vAlign w:val="center"/>
          </w:tcPr>
          <w:p w14:paraId="44FE7E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97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6FDE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（10）甜槠</w:t>
            </w:r>
          </w:p>
        </w:tc>
        <w:tc>
          <w:tcPr>
            <w:tcW w:w="3969" w:type="dxa"/>
            <w:noWrap w:val="0"/>
            <w:vAlign w:val="center"/>
          </w:tcPr>
          <w:p w14:paraId="0033F2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Castanopsis eyrei</w:t>
            </w:r>
          </w:p>
        </w:tc>
        <w:tc>
          <w:tcPr>
            <w:tcW w:w="1977" w:type="dxa"/>
            <w:noWrap w:val="0"/>
            <w:vAlign w:val="center"/>
          </w:tcPr>
          <w:p w14:paraId="3472C9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00C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5BF8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五、桑科</w:t>
            </w:r>
          </w:p>
        </w:tc>
        <w:tc>
          <w:tcPr>
            <w:tcW w:w="3969" w:type="dxa"/>
            <w:noWrap w:val="0"/>
            <w:vAlign w:val="center"/>
          </w:tcPr>
          <w:p w14:paraId="3E9D20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Moraceae</w:t>
            </w:r>
          </w:p>
        </w:tc>
        <w:tc>
          <w:tcPr>
            <w:tcW w:w="1977" w:type="dxa"/>
            <w:noWrap w:val="0"/>
            <w:vAlign w:val="center"/>
          </w:tcPr>
          <w:p w14:paraId="6D8DC2A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801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1289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8.构树属</w:t>
            </w:r>
          </w:p>
        </w:tc>
        <w:tc>
          <w:tcPr>
            <w:tcW w:w="3969" w:type="dxa"/>
            <w:noWrap w:val="0"/>
            <w:vAlign w:val="center"/>
          </w:tcPr>
          <w:p w14:paraId="10FA91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Broussonetia</w:t>
            </w:r>
          </w:p>
        </w:tc>
        <w:tc>
          <w:tcPr>
            <w:tcW w:w="1977" w:type="dxa"/>
            <w:noWrap w:val="0"/>
            <w:vAlign w:val="center"/>
          </w:tcPr>
          <w:p w14:paraId="636B03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2B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5D7C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（11）构树</w:t>
            </w:r>
          </w:p>
        </w:tc>
        <w:tc>
          <w:tcPr>
            <w:tcW w:w="3969" w:type="dxa"/>
            <w:noWrap w:val="0"/>
            <w:vAlign w:val="center"/>
          </w:tcPr>
          <w:p w14:paraId="13F67E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Broussonetia papyrifera</w:t>
            </w:r>
          </w:p>
        </w:tc>
        <w:tc>
          <w:tcPr>
            <w:tcW w:w="1977" w:type="dxa"/>
            <w:noWrap w:val="0"/>
            <w:vAlign w:val="center"/>
          </w:tcPr>
          <w:p w14:paraId="5EBE76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3B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2C3D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（12）小构树</w:t>
            </w:r>
          </w:p>
        </w:tc>
        <w:tc>
          <w:tcPr>
            <w:tcW w:w="3969" w:type="dxa"/>
            <w:noWrap w:val="0"/>
            <w:vAlign w:val="center"/>
          </w:tcPr>
          <w:p w14:paraId="0D7EEE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Broussonetia kazinoki</w:t>
            </w:r>
          </w:p>
        </w:tc>
        <w:tc>
          <w:tcPr>
            <w:tcW w:w="1977" w:type="dxa"/>
            <w:noWrap w:val="0"/>
            <w:vAlign w:val="center"/>
          </w:tcPr>
          <w:p w14:paraId="608D48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B20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12D2A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9.桑属</w:t>
            </w:r>
          </w:p>
        </w:tc>
        <w:tc>
          <w:tcPr>
            <w:tcW w:w="3969" w:type="dxa"/>
            <w:noWrap w:val="0"/>
            <w:vAlign w:val="center"/>
          </w:tcPr>
          <w:p w14:paraId="702789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Morus</w:t>
            </w:r>
          </w:p>
        </w:tc>
        <w:tc>
          <w:tcPr>
            <w:tcW w:w="1977" w:type="dxa"/>
            <w:noWrap w:val="0"/>
            <w:vAlign w:val="center"/>
          </w:tcPr>
          <w:p w14:paraId="4ECD480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CA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5A75D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（13）桑</w:t>
            </w:r>
          </w:p>
        </w:tc>
        <w:tc>
          <w:tcPr>
            <w:tcW w:w="3969" w:type="dxa"/>
            <w:noWrap w:val="0"/>
            <w:vAlign w:val="center"/>
          </w:tcPr>
          <w:p w14:paraId="73970E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Morus alba</w:t>
            </w:r>
          </w:p>
        </w:tc>
        <w:tc>
          <w:tcPr>
            <w:tcW w:w="1977" w:type="dxa"/>
            <w:noWrap w:val="0"/>
            <w:vAlign w:val="center"/>
          </w:tcPr>
          <w:p w14:paraId="559D15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D9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589D1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10.葎草属</w:t>
            </w:r>
          </w:p>
        </w:tc>
        <w:tc>
          <w:tcPr>
            <w:tcW w:w="3969" w:type="dxa"/>
            <w:noWrap w:val="0"/>
            <w:vAlign w:val="center"/>
          </w:tcPr>
          <w:p w14:paraId="237494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Humulus</w:t>
            </w:r>
          </w:p>
        </w:tc>
        <w:tc>
          <w:tcPr>
            <w:tcW w:w="1977" w:type="dxa"/>
            <w:noWrap w:val="0"/>
            <w:vAlign w:val="center"/>
          </w:tcPr>
          <w:p w14:paraId="7F3BBF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FDF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9030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（14）葎草</w:t>
            </w:r>
          </w:p>
        </w:tc>
        <w:tc>
          <w:tcPr>
            <w:tcW w:w="3969" w:type="dxa"/>
            <w:noWrap w:val="0"/>
            <w:vAlign w:val="center"/>
          </w:tcPr>
          <w:p w14:paraId="515F34C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Humulus scanden</w:t>
            </w:r>
          </w:p>
        </w:tc>
        <w:tc>
          <w:tcPr>
            <w:tcW w:w="1977" w:type="dxa"/>
            <w:noWrap w:val="0"/>
            <w:vAlign w:val="center"/>
          </w:tcPr>
          <w:p w14:paraId="50374A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DA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5E6E2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六、荨麻科</w:t>
            </w:r>
          </w:p>
        </w:tc>
        <w:tc>
          <w:tcPr>
            <w:tcW w:w="3969" w:type="dxa"/>
            <w:noWrap w:val="0"/>
            <w:vAlign w:val="center"/>
          </w:tcPr>
          <w:p w14:paraId="6E39CA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Urticaceae</w:t>
            </w:r>
          </w:p>
        </w:tc>
        <w:tc>
          <w:tcPr>
            <w:tcW w:w="1977" w:type="dxa"/>
            <w:noWrap w:val="0"/>
            <w:vAlign w:val="center"/>
          </w:tcPr>
          <w:p w14:paraId="0602CE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A8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09F9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11.苎麻属</w:t>
            </w:r>
          </w:p>
        </w:tc>
        <w:tc>
          <w:tcPr>
            <w:tcW w:w="3969" w:type="dxa"/>
            <w:noWrap w:val="0"/>
            <w:vAlign w:val="center"/>
          </w:tcPr>
          <w:p w14:paraId="47AAF3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Boehmeria</w:t>
            </w:r>
          </w:p>
        </w:tc>
        <w:tc>
          <w:tcPr>
            <w:tcW w:w="1977" w:type="dxa"/>
            <w:noWrap w:val="0"/>
            <w:vAlign w:val="center"/>
          </w:tcPr>
          <w:p w14:paraId="0EA2D4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23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BB34A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（15）苎麻</w:t>
            </w:r>
          </w:p>
        </w:tc>
        <w:tc>
          <w:tcPr>
            <w:tcW w:w="3969" w:type="dxa"/>
            <w:noWrap w:val="0"/>
            <w:vAlign w:val="center"/>
          </w:tcPr>
          <w:p w14:paraId="66B677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Boehmeria nivea</w:t>
            </w:r>
          </w:p>
        </w:tc>
        <w:tc>
          <w:tcPr>
            <w:tcW w:w="1977" w:type="dxa"/>
            <w:noWrap w:val="0"/>
            <w:vAlign w:val="center"/>
          </w:tcPr>
          <w:p w14:paraId="695B18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012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4AFD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（16）悬铃叶苎麻</w:t>
            </w:r>
          </w:p>
        </w:tc>
        <w:tc>
          <w:tcPr>
            <w:tcW w:w="3969" w:type="dxa"/>
            <w:noWrap w:val="0"/>
            <w:vAlign w:val="center"/>
          </w:tcPr>
          <w:p w14:paraId="159092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Boehmeria tricuspis</w:t>
            </w:r>
          </w:p>
        </w:tc>
        <w:tc>
          <w:tcPr>
            <w:tcW w:w="1977" w:type="dxa"/>
            <w:noWrap w:val="0"/>
            <w:vAlign w:val="center"/>
          </w:tcPr>
          <w:p w14:paraId="666052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BF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ABD39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（17）大叶苎麻</w:t>
            </w:r>
          </w:p>
        </w:tc>
        <w:tc>
          <w:tcPr>
            <w:tcW w:w="3969" w:type="dxa"/>
            <w:noWrap w:val="0"/>
            <w:vAlign w:val="center"/>
          </w:tcPr>
          <w:p w14:paraId="15632B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Boehmeria longispica</w:t>
            </w:r>
          </w:p>
        </w:tc>
        <w:tc>
          <w:tcPr>
            <w:tcW w:w="1977" w:type="dxa"/>
            <w:noWrap w:val="0"/>
            <w:vAlign w:val="center"/>
          </w:tcPr>
          <w:p w14:paraId="787FFD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8E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7C3FD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12.水麻属</w:t>
            </w:r>
          </w:p>
        </w:tc>
        <w:tc>
          <w:tcPr>
            <w:tcW w:w="3969" w:type="dxa"/>
            <w:noWrap w:val="0"/>
            <w:vAlign w:val="center"/>
          </w:tcPr>
          <w:p w14:paraId="5818C2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Debregeasia</w:t>
            </w:r>
          </w:p>
        </w:tc>
        <w:tc>
          <w:tcPr>
            <w:tcW w:w="1977" w:type="dxa"/>
            <w:noWrap w:val="0"/>
            <w:vAlign w:val="center"/>
          </w:tcPr>
          <w:p w14:paraId="7B87BB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33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96DF5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（18）水麻</w:t>
            </w:r>
          </w:p>
        </w:tc>
        <w:tc>
          <w:tcPr>
            <w:tcW w:w="3969" w:type="dxa"/>
            <w:noWrap w:val="0"/>
            <w:vAlign w:val="center"/>
          </w:tcPr>
          <w:p w14:paraId="77225E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Debregeasia orientalis</w:t>
            </w:r>
          </w:p>
        </w:tc>
        <w:tc>
          <w:tcPr>
            <w:tcW w:w="1977" w:type="dxa"/>
            <w:noWrap w:val="0"/>
            <w:vAlign w:val="center"/>
          </w:tcPr>
          <w:p w14:paraId="3FD14A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42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DECB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七、蓼科</w:t>
            </w:r>
          </w:p>
        </w:tc>
        <w:tc>
          <w:tcPr>
            <w:tcW w:w="3969" w:type="dxa"/>
            <w:noWrap w:val="0"/>
            <w:vAlign w:val="center"/>
          </w:tcPr>
          <w:p w14:paraId="0E3A54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Polygonaceae</w:t>
            </w:r>
          </w:p>
        </w:tc>
        <w:tc>
          <w:tcPr>
            <w:tcW w:w="1977" w:type="dxa"/>
            <w:noWrap w:val="0"/>
            <w:vAlign w:val="center"/>
          </w:tcPr>
          <w:p w14:paraId="19EF19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AC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8318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13.蓼属</w:t>
            </w:r>
          </w:p>
        </w:tc>
        <w:tc>
          <w:tcPr>
            <w:tcW w:w="3969" w:type="dxa"/>
            <w:noWrap w:val="0"/>
            <w:vAlign w:val="center"/>
          </w:tcPr>
          <w:p w14:paraId="56E6D7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w:t>
            </w:r>
          </w:p>
        </w:tc>
        <w:tc>
          <w:tcPr>
            <w:tcW w:w="1977" w:type="dxa"/>
            <w:noWrap w:val="0"/>
            <w:vAlign w:val="center"/>
          </w:tcPr>
          <w:p w14:paraId="06426C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CB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055C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（19）萹蓄</w:t>
            </w:r>
          </w:p>
        </w:tc>
        <w:tc>
          <w:tcPr>
            <w:tcW w:w="3969" w:type="dxa"/>
            <w:noWrap w:val="0"/>
            <w:vAlign w:val="center"/>
          </w:tcPr>
          <w:p w14:paraId="178DF8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aviculare</w:t>
            </w:r>
          </w:p>
        </w:tc>
        <w:tc>
          <w:tcPr>
            <w:tcW w:w="1977" w:type="dxa"/>
            <w:noWrap w:val="0"/>
            <w:vAlign w:val="center"/>
          </w:tcPr>
          <w:p w14:paraId="2219B6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81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3803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（20）毛蓼</w:t>
            </w:r>
          </w:p>
        </w:tc>
        <w:tc>
          <w:tcPr>
            <w:tcW w:w="3969" w:type="dxa"/>
            <w:noWrap w:val="0"/>
            <w:vAlign w:val="center"/>
          </w:tcPr>
          <w:p w14:paraId="101776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barbatum</w:t>
            </w:r>
          </w:p>
        </w:tc>
        <w:tc>
          <w:tcPr>
            <w:tcW w:w="1977" w:type="dxa"/>
            <w:noWrap w:val="0"/>
            <w:vAlign w:val="center"/>
          </w:tcPr>
          <w:p w14:paraId="6A438BC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863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18327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（21）头花蓼</w:t>
            </w:r>
          </w:p>
        </w:tc>
        <w:tc>
          <w:tcPr>
            <w:tcW w:w="3969" w:type="dxa"/>
            <w:noWrap w:val="0"/>
            <w:vAlign w:val="center"/>
          </w:tcPr>
          <w:p w14:paraId="7F7E41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capitatum</w:t>
            </w:r>
          </w:p>
        </w:tc>
        <w:tc>
          <w:tcPr>
            <w:tcW w:w="1977" w:type="dxa"/>
            <w:noWrap w:val="0"/>
            <w:vAlign w:val="center"/>
          </w:tcPr>
          <w:p w14:paraId="237F6B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A7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B4E67F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（22）水蓼</w:t>
            </w:r>
          </w:p>
        </w:tc>
        <w:tc>
          <w:tcPr>
            <w:tcW w:w="3969" w:type="dxa"/>
            <w:noWrap w:val="0"/>
            <w:vAlign w:val="center"/>
          </w:tcPr>
          <w:p w14:paraId="36D5F2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hydropiper</w:t>
            </w:r>
          </w:p>
        </w:tc>
        <w:tc>
          <w:tcPr>
            <w:tcW w:w="1977" w:type="dxa"/>
            <w:noWrap w:val="0"/>
            <w:vAlign w:val="center"/>
          </w:tcPr>
          <w:p w14:paraId="173B44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54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3B3FE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（23）二栖蓼</w:t>
            </w:r>
          </w:p>
        </w:tc>
        <w:tc>
          <w:tcPr>
            <w:tcW w:w="3969" w:type="dxa"/>
            <w:noWrap w:val="0"/>
            <w:vAlign w:val="center"/>
          </w:tcPr>
          <w:p w14:paraId="4FC8BB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caespitosum</w:t>
            </w:r>
          </w:p>
        </w:tc>
        <w:tc>
          <w:tcPr>
            <w:tcW w:w="1977" w:type="dxa"/>
            <w:noWrap w:val="0"/>
            <w:vAlign w:val="center"/>
          </w:tcPr>
          <w:p w14:paraId="34B238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D7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B8C7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（24）酸模叶蓼</w:t>
            </w:r>
          </w:p>
        </w:tc>
        <w:tc>
          <w:tcPr>
            <w:tcW w:w="3969" w:type="dxa"/>
            <w:noWrap w:val="0"/>
            <w:vAlign w:val="center"/>
          </w:tcPr>
          <w:p w14:paraId="7CA1DC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lapathifolium</w:t>
            </w:r>
          </w:p>
        </w:tc>
        <w:tc>
          <w:tcPr>
            <w:tcW w:w="1977" w:type="dxa"/>
            <w:noWrap w:val="0"/>
            <w:vAlign w:val="center"/>
          </w:tcPr>
          <w:p w14:paraId="427F09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57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B368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（25）杠板归</w:t>
            </w:r>
          </w:p>
        </w:tc>
        <w:tc>
          <w:tcPr>
            <w:tcW w:w="3969" w:type="dxa"/>
            <w:noWrap w:val="0"/>
            <w:vAlign w:val="center"/>
          </w:tcPr>
          <w:p w14:paraId="04E446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perfoliatum</w:t>
            </w:r>
          </w:p>
        </w:tc>
        <w:tc>
          <w:tcPr>
            <w:tcW w:w="1977" w:type="dxa"/>
            <w:noWrap w:val="0"/>
            <w:vAlign w:val="center"/>
          </w:tcPr>
          <w:p w14:paraId="49D02A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6E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FD331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（26）红蓼</w:t>
            </w:r>
          </w:p>
        </w:tc>
        <w:tc>
          <w:tcPr>
            <w:tcW w:w="3969" w:type="dxa"/>
            <w:noWrap w:val="0"/>
            <w:vAlign w:val="center"/>
          </w:tcPr>
          <w:p w14:paraId="791510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Polygonum orientale</w:t>
            </w:r>
          </w:p>
        </w:tc>
        <w:tc>
          <w:tcPr>
            <w:tcW w:w="1977" w:type="dxa"/>
            <w:noWrap w:val="0"/>
            <w:vAlign w:val="center"/>
          </w:tcPr>
          <w:p w14:paraId="27A7FA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E7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A60C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14.酸模属</w:t>
            </w:r>
          </w:p>
        </w:tc>
        <w:tc>
          <w:tcPr>
            <w:tcW w:w="3969" w:type="dxa"/>
            <w:noWrap w:val="0"/>
            <w:vAlign w:val="center"/>
          </w:tcPr>
          <w:p w14:paraId="2B3675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Rumex</w:t>
            </w:r>
          </w:p>
        </w:tc>
        <w:tc>
          <w:tcPr>
            <w:tcW w:w="1977" w:type="dxa"/>
            <w:noWrap w:val="0"/>
            <w:vAlign w:val="center"/>
          </w:tcPr>
          <w:p w14:paraId="0CD99B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87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AD11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（27）酸模</w:t>
            </w:r>
          </w:p>
        </w:tc>
        <w:tc>
          <w:tcPr>
            <w:tcW w:w="3969" w:type="dxa"/>
            <w:noWrap w:val="0"/>
            <w:vAlign w:val="center"/>
          </w:tcPr>
          <w:p w14:paraId="5FE430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Rumex acetosa</w:t>
            </w:r>
          </w:p>
        </w:tc>
        <w:tc>
          <w:tcPr>
            <w:tcW w:w="1977" w:type="dxa"/>
            <w:noWrap w:val="0"/>
            <w:vAlign w:val="center"/>
          </w:tcPr>
          <w:p w14:paraId="23021D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2F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48082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（28）齿果酸模</w:t>
            </w:r>
          </w:p>
        </w:tc>
        <w:tc>
          <w:tcPr>
            <w:tcW w:w="3969" w:type="dxa"/>
            <w:noWrap w:val="0"/>
            <w:vAlign w:val="center"/>
          </w:tcPr>
          <w:p w14:paraId="280E02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Rumex dentatus</w:t>
            </w:r>
          </w:p>
        </w:tc>
        <w:tc>
          <w:tcPr>
            <w:tcW w:w="1977" w:type="dxa"/>
            <w:noWrap w:val="0"/>
            <w:vAlign w:val="center"/>
          </w:tcPr>
          <w:p w14:paraId="380AF11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F0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6627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（29）羊蹄</w:t>
            </w:r>
          </w:p>
        </w:tc>
        <w:tc>
          <w:tcPr>
            <w:tcW w:w="3969" w:type="dxa"/>
            <w:noWrap w:val="0"/>
            <w:vAlign w:val="center"/>
          </w:tcPr>
          <w:p w14:paraId="43DF74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Rumex japonicus</w:t>
            </w:r>
          </w:p>
        </w:tc>
        <w:tc>
          <w:tcPr>
            <w:tcW w:w="1977" w:type="dxa"/>
            <w:noWrap w:val="0"/>
            <w:vAlign w:val="center"/>
          </w:tcPr>
          <w:p w14:paraId="58A8DB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07C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FCB3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（30）皱叶酸模</w:t>
            </w:r>
          </w:p>
        </w:tc>
        <w:tc>
          <w:tcPr>
            <w:tcW w:w="3969" w:type="dxa"/>
            <w:noWrap w:val="0"/>
            <w:vAlign w:val="center"/>
          </w:tcPr>
          <w:p w14:paraId="63AE99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Rume xcrispus</w:t>
            </w:r>
          </w:p>
        </w:tc>
        <w:tc>
          <w:tcPr>
            <w:tcW w:w="1977" w:type="dxa"/>
            <w:noWrap w:val="0"/>
            <w:vAlign w:val="center"/>
          </w:tcPr>
          <w:p w14:paraId="0B2B16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D95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28F0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八、藜科</w:t>
            </w:r>
          </w:p>
        </w:tc>
        <w:tc>
          <w:tcPr>
            <w:tcW w:w="3969" w:type="dxa"/>
            <w:noWrap w:val="0"/>
            <w:vAlign w:val="center"/>
          </w:tcPr>
          <w:p w14:paraId="30AAEB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Chenopodiaceae</w:t>
            </w:r>
          </w:p>
        </w:tc>
        <w:tc>
          <w:tcPr>
            <w:tcW w:w="1977" w:type="dxa"/>
            <w:noWrap w:val="0"/>
            <w:vAlign w:val="center"/>
          </w:tcPr>
          <w:p w14:paraId="21CA56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4AF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295ED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15.藜属</w:t>
            </w:r>
          </w:p>
        </w:tc>
        <w:tc>
          <w:tcPr>
            <w:tcW w:w="3969" w:type="dxa"/>
            <w:noWrap w:val="0"/>
            <w:vAlign w:val="center"/>
          </w:tcPr>
          <w:p w14:paraId="68467A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Chenopodium</w:t>
            </w:r>
          </w:p>
        </w:tc>
        <w:tc>
          <w:tcPr>
            <w:tcW w:w="1977" w:type="dxa"/>
            <w:noWrap w:val="0"/>
            <w:vAlign w:val="center"/>
          </w:tcPr>
          <w:p w14:paraId="4F7989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DA6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20BE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（31）藜</w:t>
            </w:r>
          </w:p>
        </w:tc>
        <w:tc>
          <w:tcPr>
            <w:tcW w:w="3969" w:type="dxa"/>
            <w:noWrap w:val="0"/>
            <w:vAlign w:val="center"/>
          </w:tcPr>
          <w:p w14:paraId="1FC0D8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Chenopodium album</w:t>
            </w:r>
          </w:p>
        </w:tc>
        <w:tc>
          <w:tcPr>
            <w:tcW w:w="1977" w:type="dxa"/>
            <w:noWrap w:val="0"/>
            <w:vAlign w:val="center"/>
          </w:tcPr>
          <w:p w14:paraId="3B5FBF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92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D347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（32）土荆芥</w:t>
            </w:r>
          </w:p>
        </w:tc>
        <w:tc>
          <w:tcPr>
            <w:tcW w:w="3969" w:type="dxa"/>
            <w:noWrap w:val="0"/>
            <w:vAlign w:val="center"/>
          </w:tcPr>
          <w:p w14:paraId="37985D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Chenopodium ambrosioides</w:t>
            </w:r>
          </w:p>
        </w:tc>
        <w:tc>
          <w:tcPr>
            <w:tcW w:w="1977" w:type="dxa"/>
            <w:noWrap w:val="0"/>
            <w:vAlign w:val="center"/>
          </w:tcPr>
          <w:p w14:paraId="5F9DC0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CAC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5274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（33）小藜</w:t>
            </w:r>
          </w:p>
        </w:tc>
        <w:tc>
          <w:tcPr>
            <w:tcW w:w="3969" w:type="dxa"/>
            <w:noWrap w:val="0"/>
            <w:vAlign w:val="center"/>
          </w:tcPr>
          <w:p w14:paraId="15005E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Chenopodium serotinum</w:t>
            </w:r>
          </w:p>
        </w:tc>
        <w:tc>
          <w:tcPr>
            <w:tcW w:w="1977" w:type="dxa"/>
            <w:noWrap w:val="0"/>
            <w:vAlign w:val="center"/>
          </w:tcPr>
          <w:p w14:paraId="37ECBB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66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8B94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16.地肤属</w:t>
            </w:r>
          </w:p>
        </w:tc>
        <w:tc>
          <w:tcPr>
            <w:tcW w:w="3969" w:type="dxa"/>
            <w:noWrap w:val="0"/>
            <w:vAlign w:val="center"/>
          </w:tcPr>
          <w:p w14:paraId="61DAE6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Kochia</w:t>
            </w:r>
          </w:p>
        </w:tc>
        <w:tc>
          <w:tcPr>
            <w:tcW w:w="1977" w:type="dxa"/>
            <w:noWrap w:val="0"/>
            <w:vAlign w:val="center"/>
          </w:tcPr>
          <w:p w14:paraId="6F152B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98B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ED2B9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（34）地肤</w:t>
            </w:r>
          </w:p>
        </w:tc>
        <w:tc>
          <w:tcPr>
            <w:tcW w:w="3969" w:type="dxa"/>
            <w:noWrap w:val="0"/>
            <w:vAlign w:val="center"/>
          </w:tcPr>
          <w:p w14:paraId="0E5450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Kochia scoparia</w:t>
            </w:r>
          </w:p>
        </w:tc>
        <w:tc>
          <w:tcPr>
            <w:tcW w:w="1977" w:type="dxa"/>
            <w:noWrap w:val="0"/>
            <w:vAlign w:val="center"/>
          </w:tcPr>
          <w:p w14:paraId="79B355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0D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A6A25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17.菠菜属</w:t>
            </w:r>
          </w:p>
        </w:tc>
        <w:tc>
          <w:tcPr>
            <w:tcW w:w="3969" w:type="dxa"/>
            <w:noWrap w:val="0"/>
            <w:vAlign w:val="center"/>
          </w:tcPr>
          <w:p w14:paraId="420953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Spinacia</w:t>
            </w:r>
          </w:p>
        </w:tc>
        <w:tc>
          <w:tcPr>
            <w:tcW w:w="1977" w:type="dxa"/>
            <w:noWrap w:val="0"/>
            <w:vAlign w:val="center"/>
          </w:tcPr>
          <w:p w14:paraId="0B5A4E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F2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4CD7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（35）菠菜</w:t>
            </w:r>
          </w:p>
        </w:tc>
        <w:tc>
          <w:tcPr>
            <w:tcW w:w="3969" w:type="dxa"/>
            <w:noWrap w:val="0"/>
            <w:vAlign w:val="center"/>
          </w:tcPr>
          <w:p w14:paraId="2390AA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Spinacia oleracea</w:t>
            </w:r>
          </w:p>
        </w:tc>
        <w:tc>
          <w:tcPr>
            <w:tcW w:w="1977" w:type="dxa"/>
            <w:noWrap w:val="0"/>
            <w:vAlign w:val="center"/>
          </w:tcPr>
          <w:p w14:paraId="5575FD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7EE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DC78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九、苋科</w:t>
            </w:r>
          </w:p>
        </w:tc>
        <w:tc>
          <w:tcPr>
            <w:tcW w:w="3969" w:type="dxa"/>
            <w:noWrap w:val="0"/>
            <w:vAlign w:val="center"/>
          </w:tcPr>
          <w:p w14:paraId="7485ED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Amaranthaceae</w:t>
            </w:r>
          </w:p>
        </w:tc>
        <w:tc>
          <w:tcPr>
            <w:tcW w:w="1977" w:type="dxa"/>
            <w:noWrap w:val="0"/>
            <w:vAlign w:val="center"/>
          </w:tcPr>
          <w:p w14:paraId="41A111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A14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9F82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18.牛膝属</w:t>
            </w:r>
          </w:p>
        </w:tc>
        <w:tc>
          <w:tcPr>
            <w:tcW w:w="3969" w:type="dxa"/>
            <w:noWrap w:val="0"/>
            <w:vAlign w:val="center"/>
          </w:tcPr>
          <w:p w14:paraId="74ECFD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Achyranthes</w:t>
            </w:r>
          </w:p>
        </w:tc>
        <w:tc>
          <w:tcPr>
            <w:tcW w:w="1977" w:type="dxa"/>
            <w:noWrap w:val="0"/>
            <w:vAlign w:val="center"/>
          </w:tcPr>
          <w:p w14:paraId="7B5D35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A8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9928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（36）土牛膝</w:t>
            </w:r>
          </w:p>
        </w:tc>
        <w:tc>
          <w:tcPr>
            <w:tcW w:w="3969" w:type="dxa"/>
            <w:noWrap w:val="0"/>
            <w:vAlign w:val="center"/>
          </w:tcPr>
          <w:p w14:paraId="7C1F4E6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Achyranthes aspera</w:t>
            </w:r>
          </w:p>
        </w:tc>
        <w:tc>
          <w:tcPr>
            <w:tcW w:w="1977" w:type="dxa"/>
            <w:noWrap w:val="0"/>
            <w:vAlign w:val="center"/>
          </w:tcPr>
          <w:p w14:paraId="323F8D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4C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76F6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（37）牛膝</w:t>
            </w:r>
          </w:p>
        </w:tc>
        <w:tc>
          <w:tcPr>
            <w:tcW w:w="3969" w:type="dxa"/>
            <w:noWrap w:val="0"/>
            <w:vAlign w:val="center"/>
          </w:tcPr>
          <w:p w14:paraId="093171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Achyranthes bidentata</w:t>
            </w:r>
          </w:p>
        </w:tc>
        <w:tc>
          <w:tcPr>
            <w:tcW w:w="1977" w:type="dxa"/>
            <w:noWrap w:val="0"/>
            <w:vAlign w:val="center"/>
          </w:tcPr>
          <w:p w14:paraId="44E6A8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C2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7FDB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19.苋属</w:t>
            </w:r>
          </w:p>
        </w:tc>
        <w:tc>
          <w:tcPr>
            <w:tcW w:w="3969" w:type="dxa"/>
            <w:noWrap w:val="0"/>
            <w:vAlign w:val="center"/>
          </w:tcPr>
          <w:p w14:paraId="2B29E1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Amaranthus</w:t>
            </w:r>
          </w:p>
        </w:tc>
        <w:tc>
          <w:tcPr>
            <w:tcW w:w="1977" w:type="dxa"/>
            <w:noWrap w:val="0"/>
            <w:vAlign w:val="center"/>
          </w:tcPr>
          <w:p w14:paraId="62E8E4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9D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187F5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（38）绿穂苋</w:t>
            </w:r>
          </w:p>
        </w:tc>
        <w:tc>
          <w:tcPr>
            <w:tcW w:w="3969" w:type="dxa"/>
            <w:noWrap w:val="0"/>
            <w:vAlign w:val="center"/>
          </w:tcPr>
          <w:p w14:paraId="1CBD976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Amaranthus hybridus</w:t>
            </w:r>
          </w:p>
        </w:tc>
        <w:tc>
          <w:tcPr>
            <w:tcW w:w="1977" w:type="dxa"/>
            <w:noWrap w:val="0"/>
            <w:vAlign w:val="center"/>
          </w:tcPr>
          <w:p w14:paraId="6C99FF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84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0F68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（39）凹头苋</w:t>
            </w:r>
          </w:p>
        </w:tc>
        <w:tc>
          <w:tcPr>
            <w:tcW w:w="3969" w:type="dxa"/>
            <w:noWrap w:val="0"/>
            <w:vAlign w:val="center"/>
          </w:tcPr>
          <w:p w14:paraId="3D1998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Amaranthus lividus</w:t>
            </w:r>
          </w:p>
        </w:tc>
        <w:tc>
          <w:tcPr>
            <w:tcW w:w="1977" w:type="dxa"/>
            <w:noWrap w:val="0"/>
            <w:vAlign w:val="center"/>
          </w:tcPr>
          <w:p w14:paraId="0D0DA7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05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D4FDA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（40）反枝苋</w:t>
            </w:r>
          </w:p>
        </w:tc>
        <w:tc>
          <w:tcPr>
            <w:tcW w:w="3969" w:type="dxa"/>
            <w:noWrap w:val="0"/>
            <w:vAlign w:val="center"/>
          </w:tcPr>
          <w:p w14:paraId="5BBADF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Amaranthus retroflexus</w:t>
            </w:r>
          </w:p>
        </w:tc>
        <w:tc>
          <w:tcPr>
            <w:tcW w:w="1977" w:type="dxa"/>
            <w:noWrap w:val="0"/>
            <w:vAlign w:val="center"/>
          </w:tcPr>
          <w:p w14:paraId="1381D6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924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3870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（41）刺苋</w:t>
            </w:r>
          </w:p>
        </w:tc>
        <w:tc>
          <w:tcPr>
            <w:tcW w:w="3969" w:type="dxa"/>
            <w:noWrap w:val="0"/>
            <w:vAlign w:val="center"/>
          </w:tcPr>
          <w:p w14:paraId="39D780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Amaranthus spinosus</w:t>
            </w:r>
          </w:p>
        </w:tc>
        <w:tc>
          <w:tcPr>
            <w:tcW w:w="1977" w:type="dxa"/>
            <w:noWrap w:val="0"/>
            <w:vAlign w:val="center"/>
          </w:tcPr>
          <w:p w14:paraId="6D2D5D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422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78F7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20.莲子草属</w:t>
            </w:r>
          </w:p>
        </w:tc>
        <w:tc>
          <w:tcPr>
            <w:tcW w:w="3969" w:type="dxa"/>
            <w:noWrap w:val="0"/>
            <w:vAlign w:val="center"/>
          </w:tcPr>
          <w:p w14:paraId="3FAD7A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Alternanthera</w:t>
            </w:r>
          </w:p>
        </w:tc>
        <w:tc>
          <w:tcPr>
            <w:tcW w:w="1977" w:type="dxa"/>
            <w:noWrap w:val="0"/>
            <w:vAlign w:val="center"/>
          </w:tcPr>
          <w:p w14:paraId="54D17B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38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47A0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（42）空心莲子草</w:t>
            </w:r>
          </w:p>
        </w:tc>
        <w:tc>
          <w:tcPr>
            <w:tcW w:w="3969" w:type="dxa"/>
            <w:noWrap w:val="0"/>
            <w:vAlign w:val="center"/>
          </w:tcPr>
          <w:p w14:paraId="56B5FC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Alternanthera philoxeroides</w:t>
            </w:r>
          </w:p>
        </w:tc>
        <w:tc>
          <w:tcPr>
            <w:tcW w:w="1977" w:type="dxa"/>
            <w:noWrap w:val="0"/>
            <w:vAlign w:val="center"/>
          </w:tcPr>
          <w:p w14:paraId="5F0B25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5C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8E59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十、商陆科</w:t>
            </w:r>
          </w:p>
        </w:tc>
        <w:tc>
          <w:tcPr>
            <w:tcW w:w="3969" w:type="dxa"/>
            <w:noWrap w:val="0"/>
            <w:vAlign w:val="center"/>
          </w:tcPr>
          <w:p w14:paraId="6EC19D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Phytolaccaceae</w:t>
            </w:r>
          </w:p>
        </w:tc>
        <w:tc>
          <w:tcPr>
            <w:tcW w:w="1977" w:type="dxa"/>
            <w:noWrap w:val="0"/>
            <w:vAlign w:val="center"/>
          </w:tcPr>
          <w:p w14:paraId="0D1E0B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CF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9FE8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21.商陆属</w:t>
            </w:r>
          </w:p>
        </w:tc>
        <w:tc>
          <w:tcPr>
            <w:tcW w:w="3969" w:type="dxa"/>
            <w:noWrap w:val="0"/>
            <w:vAlign w:val="center"/>
          </w:tcPr>
          <w:p w14:paraId="494F2E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Phytolacca</w:t>
            </w:r>
          </w:p>
        </w:tc>
        <w:tc>
          <w:tcPr>
            <w:tcW w:w="1977" w:type="dxa"/>
            <w:noWrap w:val="0"/>
            <w:vAlign w:val="center"/>
          </w:tcPr>
          <w:p w14:paraId="03B60C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A0F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4EDD0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（43）商陆</w:t>
            </w:r>
          </w:p>
        </w:tc>
        <w:tc>
          <w:tcPr>
            <w:tcW w:w="3969" w:type="dxa"/>
            <w:noWrap w:val="0"/>
            <w:vAlign w:val="center"/>
          </w:tcPr>
          <w:p w14:paraId="43EE5B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Phytolacca acinosa</w:t>
            </w:r>
          </w:p>
        </w:tc>
        <w:tc>
          <w:tcPr>
            <w:tcW w:w="1977" w:type="dxa"/>
            <w:noWrap w:val="0"/>
            <w:vAlign w:val="center"/>
          </w:tcPr>
          <w:p w14:paraId="728F2E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A7C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4648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十一、马齿苋科</w:t>
            </w:r>
          </w:p>
        </w:tc>
        <w:tc>
          <w:tcPr>
            <w:tcW w:w="3969" w:type="dxa"/>
            <w:noWrap w:val="0"/>
            <w:vAlign w:val="center"/>
          </w:tcPr>
          <w:p w14:paraId="0414CC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Portulacaceae</w:t>
            </w:r>
          </w:p>
        </w:tc>
        <w:tc>
          <w:tcPr>
            <w:tcW w:w="1977" w:type="dxa"/>
            <w:noWrap w:val="0"/>
            <w:vAlign w:val="center"/>
          </w:tcPr>
          <w:p w14:paraId="535BCB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257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BD2D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22.马齿苋属</w:t>
            </w:r>
          </w:p>
        </w:tc>
        <w:tc>
          <w:tcPr>
            <w:tcW w:w="3969" w:type="dxa"/>
            <w:noWrap w:val="0"/>
            <w:vAlign w:val="center"/>
          </w:tcPr>
          <w:p w14:paraId="7FC9F9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Portulaca</w:t>
            </w:r>
          </w:p>
        </w:tc>
        <w:tc>
          <w:tcPr>
            <w:tcW w:w="1977" w:type="dxa"/>
            <w:noWrap w:val="0"/>
            <w:vAlign w:val="center"/>
          </w:tcPr>
          <w:p w14:paraId="58E672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92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BF44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（44）马齿苋</w:t>
            </w:r>
          </w:p>
        </w:tc>
        <w:tc>
          <w:tcPr>
            <w:tcW w:w="3969" w:type="dxa"/>
            <w:noWrap w:val="0"/>
            <w:vAlign w:val="center"/>
          </w:tcPr>
          <w:p w14:paraId="3D08DAF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Portulaca oleracea</w:t>
            </w:r>
          </w:p>
        </w:tc>
        <w:tc>
          <w:tcPr>
            <w:tcW w:w="1977" w:type="dxa"/>
            <w:noWrap w:val="0"/>
            <w:vAlign w:val="center"/>
          </w:tcPr>
          <w:p w14:paraId="4F0423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FB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297FF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十二、石竹科</w:t>
            </w:r>
          </w:p>
        </w:tc>
        <w:tc>
          <w:tcPr>
            <w:tcW w:w="3969" w:type="dxa"/>
            <w:noWrap w:val="0"/>
            <w:vAlign w:val="center"/>
          </w:tcPr>
          <w:p w14:paraId="283618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Caryophyllaceae</w:t>
            </w:r>
          </w:p>
        </w:tc>
        <w:tc>
          <w:tcPr>
            <w:tcW w:w="1977" w:type="dxa"/>
            <w:noWrap w:val="0"/>
            <w:vAlign w:val="center"/>
          </w:tcPr>
          <w:p w14:paraId="120664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B4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33AEF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23.卷耳属</w:t>
            </w:r>
          </w:p>
        </w:tc>
        <w:tc>
          <w:tcPr>
            <w:tcW w:w="3969" w:type="dxa"/>
            <w:noWrap w:val="0"/>
            <w:vAlign w:val="center"/>
          </w:tcPr>
          <w:p w14:paraId="43C090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Cerastium</w:t>
            </w:r>
          </w:p>
        </w:tc>
        <w:tc>
          <w:tcPr>
            <w:tcW w:w="1977" w:type="dxa"/>
            <w:noWrap w:val="0"/>
            <w:vAlign w:val="center"/>
          </w:tcPr>
          <w:p w14:paraId="2A158D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8D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AC99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（45）簇生卷耳</w:t>
            </w:r>
          </w:p>
        </w:tc>
        <w:tc>
          <w:tcPr>
            <w:tcW w:w="3969" w:type="dxa"/>
            <w:noWrap w:val="0"/>
            <w:vAlign w:val="center"/>
          </w:tcPr>
          <w:p w14:paraId="462C6D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Cerastium fontanum</w:t>
            </w:r>
          </w:p>
        </w:tc>
        <w:tc>
          <w:tcPr>
            <w:tcW w:w="1977" w:type="dxa"/>
            <w:noWrap w:val="0"/>
            <w:vAlign w:val="center"/>
          </w:tcPr>
          <w:p w14:paraId="532E1D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76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7965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24.漆姑草</w:t>
            </w:r>
          </w:p>
        </w:tc>
        <w:tc>
          <w:tcPr>
            <w:tcW w:w="3969" w:type="dxa"/>
            <w:noWrap w:val="0"/>
            <w:vAlign w:val="center"/>
          </w:tcPr>
          <w:p w14:paraId="0BF7D6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Sagina</w:t>
            </w:r>
          </w:p>
        </w:tc>
        <w:tc>
          <w:tcPr>
            <w:tcW w:w="1977" w:type="dxa"/>
            <w:noWrap w:val="0"/>
            <w:vAlign w:val="center"/>
          </w:tcPr>
          <w:p w14:paraId="5ED3A1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B36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AD58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（46）漆姑草</w:t>
            </w:r>
          </w:p>
        </w:tc>
        <w:tc>
          <w:tcPr>
            <w:tcW w:w="3969" w:type="dxa"/>
            <w:noWrap w:val="0"/>
            <w:vAlign w:val="center"/>
          </w:tcPr>
          <w:p w14:paraId="6A0F8F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Sagina japonica</w:t>
            </w:r>
          </w:p>
        </w:tc>
        <w:tc>
          <w:tcPr>
            <w:tcW w:w="1977" w:type="dxa"/>
            <w:noWrap w:val="0"/>
            <w:vAlign w:val="center"/>
          </w:tcPr>
          <w:p w14:paraId="276978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BB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82A4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25.繁缕属</w:t>
            </w:r>
          </w:p>
        </w:tc>
        <w:tc>
          <w:tcPr>
            <w:tcW w:w="3969" w:type="dxa"/>
            <w:noWrap w:val="0"/>
            <w:vAlign w:val="center"/>
          </w:tcPr>
          <w:p w14:paraId="2E95A8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Stellaria</w:t>
            </w:r>
          </w:p>
        </w:tc>
        <w:tc>
          <w:tcPr>
            <w:tcW w:w="1977" w:type="dxa"/>
            <w:noWrap w:val="0"/>
            <w:vAlign w:val="center"/>
          </w:tcPr>
          <w:p w14:paraId="582AA38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65E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9B778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（47）繁缕</w:t>
            </w:r>
          </w:p>
        </w:tc>
        <w:tc>
          <w:tcPr>
            <w:tcW w:w="3969" w:type="dxa"/>
            <w:noWrap w:val="0"/>
            <w:vAlign w:val="center"/>
          </w:tcPr>
          <w:p w14:paraId="0C2914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Stellaria media</w:t>
            </w:r>
          </w:p>
        </w:tc>
        <w:tc>
          <w:tcPr>
            <w:tcW w:w="1977" w:type="dxa"/>
            <w:noWrap w:val="0"/>
            <w:vAlign w:val="center"/>
          </w:tcPr>
          <w:p w14:paraId="630F8E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032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3DEE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十三、睡莲科</w:t>
            </w:r>
          </w:p>
        </w:tc>
        <w:tc>
          <w:tcPr>
            <w:tcW w:w="3969" w:type="dxa"/>
            <w:noWrap w:val="0"/>
            <w:vAlign w:val="center"/>
          </w:tcPr>
          <w:p w14:paraId="008879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Nymphaeaceae</w:t>
            </w:r>
          </w:p>
        </w:tc>
        <w:tc>
          <w:tcPr>
            <w:tcW w:w="1977" w:type="dxa"/>
            <w:noWrap w:val="0"/>
            <w:vAlign w:val="center"/>
          </w:tcPr>
          <w:p w14:paraId="554AF9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EB7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8B22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26.莲属</w:t>
            </w:r>
          </w:p>
        </w:tc>
        <w:tc>
          <w:tcPr>
            <w:tcW w:w="3969" w:type="dxa"/>
            <w:noWrap w:val="0"/>
            <w:vAlign w:val="center"/>
          </w:tcPr>
          <w:p w14:paraId="2DFBFD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Nelumbo</w:t>
            </w:r>
          </w:p>
        </w:tc>
        <w:tc>
          <w:tcPr>
            <w:tcW w:w="1977" w:type="dxa"/>
            <w:noWrap w:val="0"/>
            <w:vAlign w:val="center"/>
          </w:tcPr>
          <w:p w14:paraId="4DFBEA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42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7BFFA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（48）莲</w:t>
            </w:r>
          </w:p>
        </w:tc>
        <w:tc>
          <w:tcPr>
            <w:tcW w:w="3969" w:type="dxa"/>
            <w:noWrap w:val="0"/>
            <w:vAlign w:val="center"/>
          </w:tcPr>
          <w:p w14:paraId="697BA4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Nelumbo nucifera</w:t>
            </w:r>
          </w:p>
        </w:tc>
        <w:tc>
          <w:tcPr>
            <w:tcW w:w="1977" w:type="dxa"/>
            <w:noWrap w:val="0"/>
            <w:vAlign w:val="center"/>
          </w:tcPr>
          <w:p w14:paraId="0EFEA6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41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5506C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27.睡莲属</w:t>
            </w:r>
          </w:p>
        </w:tc>
        <w:tc>
          <w:tcPr>
            <w:tcW w:w="3969" w:type="dxa"/>
            <w:noWrap w:val="0"/>
            <w:vAlign w:val="center"/>
          </w:tcPr>
          <w:p w14:paraId="1B9F57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Nymphaea</w:t>
            </w:r>
          </w:p>
        </w:tc>
        <w:tc>
          <w:tcPr>
            <w:tcW w:w="1977" w:type="dxa"/>
            <w:noWrap w:val="0"/>
            <w:vAlign w:val="center"/>
          </w:tcPr>
          <w:p w14:paraId="77BFC2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B7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D57E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（49）睡莲</w:t>
            </w:r>
          </w:p>
        </w:tc>
        <w:tc>
          <w:tcPr>
            <w:tcW w:w="3969" w:type="dxa"/>
            <w:noWrap w:val="0"/>
            <w:vAlign w:val="center"/>
          </w:tcPr>
          <w:p w14:paraId="0819AB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Nymphaea tetragona</w:t>
            </w:r>
          </w:p>
        </w:tc>
        <w:tc>
          <w:tcPr>
            <w:tcW w:w="1977" w:type="dxa"/>
            <w:noWrap w:val="0"/>
            <w:vAlign w:val="center"/>
          </w:tcPr>
          <w:p w14:paraId="649B20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1C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0063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十四、金鱼藻科</w:t>
            </w:r>
          </w:p>
        </w:tc>
        <w:tc>
          <w:tcPr>
            <w:tcW w:w="3969" w:type="dxa"/>
            <w:noWrap w:val="0"/>
            <w:vAlign w:val="center"/>
          </w:tcPr>
          <w:p w14:paraId="2AB594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Ceratophyllaceae</w:t>
            </w:r>
          </w:p>
        </w:tc>
        <w:tc>
          <w:tcPr>
            <w:tcW w:w="1977" w:type="dxa"/>
            <w:noWrap w:val="0"/>
            <w:vAlign w:val="center"/>
          </w:tcPr>
          <w:p w14:paraId="50259DD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C1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A0B4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28.金鱼藻属</w:t>
            </w:r>
          </w:p>
        </w:tc>
        <w:tc>
          <w:tcPr>
            <w:tcW w:w="3969" w:type="dxa"/>
            <w:noWrap w:val="0"/>
            <w:vAlign w:val="center"/>
          </w:tcPr>
          <w:p w14:paraId="5726E5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Ceratophyllum</w:t>
            </w:r>
          </w:p>
        </w:tc>
        <w:tc>
          <w:tcPr>
            <w:tcW w:w="1977" w:type="dxa"/>
            <w:noWrap w:val="0"/>
            <w:vAlign w:val="center"/>
          </w:tcPr>
          <w:p w14:paraId="685305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F2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3E91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（50）金鱼藻</w:t>
            </w:r>
          </w:p>
        </w:tc>
        <w:tc>
          <w:tcPr>
            <w:tcW w:w="3969" w:type="dxa"/>
            <w:noWrap w:val="0"/>
            <w:vAlign w:val="center"/>
          </w:tcPr>
          <w:p w14:paraId="7BE423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Ceratophyllum demersum</w:t>
            </w:r>
          </w:p>
        </w:tc>
        <w:tc>
          <w:tcPr>
            <w:tcW w:w="1977" w:type="dxa"/>
            <w:noWrap w:val="0"/>
            <w:vAlign w:val="center"/>
          </w:tcPr>
          <w:p w14:paraId="5256F7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09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26A7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十五、毛茛科</w:t>
            </w:r>
          </w:p>
        </w:tc>
        <w:tc>
          <w:tcPr>
            <w:tcW w:w="3969" w:type="dxa"/>
            <w:noWrap w:val="0"/>
            <w:vAlign w:val="center"/>
          </w:tcPr>
          <w:p w14:paraId="01673F7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Ranunculaceae</w:t>
            </w:r>
          </w:p>
        </w:tc>
        <w:tc>
          <w:tcPr>
            <w:tcW w:w="1977" w:type="dxa"/>
            <w:noWrap w:val="0"/>
            <w:vAlign w:val="center"/>
          </w:tcPr>
          <w:p w14:paraId="1308ABD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92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3548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29.毛茛属</w:t>
            </w:r>
          </w:p>
        </w:tc>
        <w:tc>
          <w:tcPr>
            <w:tcW w:w="3969" w:type="dxa"/>
            <w:noWrap w:val="0"/>
            <w:vAlign w:val="center"/>
          </w:tcPr>
          <w:p w14:paraId="504DCF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Ranunculus</w:t>
            </w:r>
          </w:p>
        </w:tc>
        <w:tc>
          <w:tcPr>
            <w:tcW w:w="1977" w:type="dxa"/>
            <w:noWrap w:val="0"/>
            <w:vAlign w:val="center"/>
          </w:tcPr>
          <w:p w14:paraId="323229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85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EE01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（51）石龙芮</w:t>
            </w:r>
          </w:p>
        </w:tc>
        <w:tc>
          <w:tcPr>
            <w:tcW w:w="3969" w:type="dxa"/>
            <w:noWrap w:val="0"/>
            <w:vAlign w:val="center"/>
          </w:tcPr>
          <w:p w14:paraId="716D4D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Ranunculus sceleratus</w:t>
            </w:r>
          </w:p>
        </w:tc>
        <w:tc>
          <w:tcPr>
            <w:tcW w:w="1977" w:type="dxa"/>
            <w:noWrap w:val="0"/>
            <w:vAlign w:val="center"/>
          </w:tcPr>
          <w:p w14:paraId="571C24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66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803E6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（52）茴茴蒜</w:t>
            </w:r>
          </w:p>
        </w:tc>
        <w:tc>
          <w:tcPr>
            <w:tcW w:w="3969" w:type="dxa"/>
            <w:noWrap w:val="0"/>
            <w:vAlign w:val="center"/>
          </w:tcPr>
          <w:p w14:paraId="43CC51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Ranunculus chinensis</w:t>
            </w:r>
          </w:p>
        </w:tc>
        <w:tc>
          <w:tcPr>
            <w:tcW w:w="1977" w:type="dxa"/>
            <w:noWrap w:val="0"/>
            <w:vAlign w:val="center"/>
          </w:tcPr>
          <w:p w14:paraId="67DF2F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FE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50C9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（53）毛茛</w:t>
            </w:r>
          </w:p>
        </w:tc>
        <w:tc>
          <w:tcPr>
            <w:tcW w:w="3969" w:type="dxa"/>
            <w:noWrap w:val="0"/>
            <w:vAlign w:val="center"/>
          </w:tcPr>
          <w:p w14:paraId="3900BA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Ranunculus japonicus</w:t>
            </w:r>
          </w:p>
        </w:tc>
        <w:tc>
          <w:tcPr>
            <w:tcW w:w="1977" w:type="dxa"/>
            <w:noWrap w:val="0"/>
            <w:vAlign w:val="center"/>
          </w:tcPr>
          <w:p w14:paraId="0743B2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F6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5C12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（54）扬子毛茛</w:t>
            </w:r>
          </w:p>
        </w:tc>
        <w:tc>
          <w:tcPr>
            <w:tcW w:w="3969" w:type="dxa"/>
            <w:noWrap w:val="0"/>
            <w:vAlign w:val="center"/>
          </w:tcPr>
          <w:p w14:paraId="5B0063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Ranunculus sieboldii</w:t>
            </w:r>
          </w:p>
        </w:tc>
        <w:tc>
          <w:tcPr>
            <w:tcW w:w="1977" w:type="dxa"/>
            <w:noWrap w:val="0"/>
            <w:vAlign w:val="center"/>
          </w:tcPr>
          <w:p w14:paraId="16FAE7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BC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3EF1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30.天葵属</w:t>
            </w:r>
          </w:p>
        </w:tc>
        <w:tc>
          <w:tcPr>
            <w:tcW w:w="3969" w:type="dxa"/>
            <w:noWrap w:val="0"/>
            <w:vAlign w:val="center"/>
          </w:tcPr>
          <w:p w14:paraId="697498F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Semiaquilegia</w:t>
            </w:r>
          </w:p>
        </w:tc>
        <w:tc>
          <w:tcPr>
            <w:tcW w:w="1977" w:type="dxa"/>
            <w:noWrap w:val="0"/>
            <w:vAlign w:val="center"/>
          </w:tcPr>
          <w:p w14:paraId="07F7A4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6B4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561E8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（55）天葵</w:t>
            </w:r>
          </w:p>
        </w:tc>
        <w:tc>
          <w:tcPr>
            <w:tcW w:w="3969" w:type="dxa"/>
            <w:noWrap w:val="0"/>
            <w:vAlign w:val="center"/>
          </w:tcPr>
          <w:p w14:paraId="05FAAD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Semiaquilegia adoxoides</w:t>
            </w:r>
          </w:p>
        </w:tc>
        <w:tc>
          <w:tcPr>
            <w:tcW w:w="1977" w:type="dxa"/>
            <w:noWrap w:val="0"/>
            <w:vAlign w:val="center"/>
          </w:tcPr>
          <w:p w14:paraId="273D39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4BA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CBA655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31.唐松草属</w:t>
            </w:r>
          </w:p>
        </w:tc>
        <w:tc>
          <w:tcPr>
            <w:tcW w:w="3969" w:type="dxa"/>
            <w:noWrap w:val="0"/>
            <w:vAlign w:val="center"/>
          </w:tcPr>
          <w:p w14:paraId="7A5416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Thalictrum</w:t>
            </w:r>
          </w:p>
        </w:tc>
        <w:tc>
          <w:tcPr>
            <w:tcW w:w="1977" w:type="dxa"/>
            <w:noWrap w:val="0"/>
            <w:vAlign w:val="center"/>
          </w:tcPr>
          <w:p w14:paraId="47A18A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15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DD81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（56）东亚唐松草</w:t>
            </w:r>
          </w:p>
        </w:tc>
        <w:tc>
          <w:tcPr>
            <w:tcW w:w="3969" w:type="dxa"/>
            <w:noWrap w:val="0"/>
            <w:vAlign w:val="center"/>
          </w:tcPr>
          <w:p w14:paraId="5F1CEC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Thalictrum minus</w:t>
            </w:r>
          </w:p>
        </w:tc>
        <w:tc>
          <w:tcPr>
            <w:tcW w:w="1977" w:type="dxa"/>
            <w:noWrap w:val="0"/>
            <w:vAlign w:val="center"/>
          </w:tcPr>
          <w:p w14:paraId="45DAAE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B6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9966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十六、木兰科</w:t>
            </w:r>
          </w:p>
        </w:tc>
        <w:tc>
          <w:tcPr>
            <w:tcW w:w="3969" w:type="dxa"/>
            <w:noWrap w:val="0"/>
            <w:vAlign w:val="center"/>
          </w:tcPr>
          <w:p w14:paraId="4190F5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Magnoliaceae</w:t>
            </w:r>
          </w:p>
        </w:tc>
        <w:tc>
          <w:tcPr>
            <w:tcW w:w="1977" w:type="dxa"/>
            <w:noWrap w:val="0"/>
            <w:vAlign w:val="center"/>
          </w:tcPr>
          <w:p w14:paraId="72DC37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E9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7101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32.木兰属</w:t>
            </w:r>
          </w:p>
        </w:tc>
        <w:tc>
          <w:tcPr>
            <w:tcW w:w="3969" w:type="dxa"/>
            <w:noWrap w:val="0"/>
            <w:vAlign w:val="center"/>
          </w:tcPr>
          <w:p w14:paraId="7A775D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Magnolia</w:t>
            </w:r>
          </w:p>
        </w:tc>
        <w:tc>
          <w:tcPr>
            <w:tcW w:w="1977" w:type="dxa"/>
            <w:noWrap w:val="0"/>
            <w:vAlign w:val="center"/>
          </w:tcPr>
          <w:p w14:paraId="4CE4AF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BC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C9A9E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（57）广玉兰</w:t>
            </w:r>
          </w:p>
        </w:tc>
        <w:tc>
          <w:tcPr>
            <w:tcW w:w="3969" w:type="dxa"/>
            <w:noWrap w:val="0"/>
            <w:vAlign w:val="center"/>
          </w:tcPr>
          <w:p w14:paraId="1DE8C7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Magnolia grandiflora</w:t>
            </w:r>
          </w:p>
        </w:tc>
        <w:tc>
          <w:tcPr>
            <w:tcW w:w="1977" w:type="dxa"/>
            <w:noWrap w:val="0"/>
            <w:vAlign w:val="center"/>
          </w:tcPr>
          <w:p w14:paraId="76630D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6B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C39E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十七、樟科</w:t>
            </w:r>
          </w:p>
        </w:tc>
        <w:tc>
          <w:tcPr>
            <w:tcW w:w="3969" w:type="dxa"/>
            <w:noWrap w:val="0"/>
            <w:vAlign w:val="center"/>
          </w:tcPr>
          <w:p w14:paraId="1C6226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Lauraceae</w:t>
            </w:r>
          </w:p>
        </w:tc>
        <w:tc>
          <w:tcPr>
            <w:tcW w:w="1977" w:type="dxa"/>
            <w:noWrap w:val="0"/>
            <w:vAlign w:val="center"/>
          </w:tcPr>
          <w:p w14:paraId="79F2A3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A8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C881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33.樟属</w:t>
            </w:r>
          </w:p>
        </w:tc>
        <w:tc>
          <w:tcPr>
            <w:tcW w:w="3969" w:type="dxa"/>
            <w:noWrap w:val="0"/>
            <w:vAlign w:val="center"/>
          </w:tcPr>
          <w:p w14:paraId="10DA36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Cinnamomum</w:t>
            </w:r>
          </w:p>
        </w:tc>
        <w:tc>
          <w:tcPr>
            <w:tcW w:w="1977" w:type="dxa"/>
            <w:noWrap w:val="0"/>
            <w:vAlign w:val="center"/>
          </w:tcPr>
          <w:p w14:paraId="442FC0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1B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FA26D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（58）樟树</w:t>
            </w:r>
          </w:p>
        </w:tc>
        <w:tc>
          <w:tcPr>
            <w:tcW w:w="3969" w:type="dxa"/>
            <w:noWrap w:val="0"/>
            <w:vAlign w:val="center"/>
          </w:tcPr>
          <w:p w14:paraId="0D20D7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Cinnamomum camphora</w:t>
            </w:r>
          </w:p>
        </w:tc>
        <w:tc>
          <w:tcPr>
            <w:tcW w:w="1977" w:type="dxa"/>
            <w:noWrap w:val="0"/>
            <w:vAlign w:val="center"/>
          </w:tcPr>
          <w:p w14:paraId="2D9A5E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国家Ⅱ级保护种</w:t>
            </w:r>
          </w:p>
        </w:tc>
      </w:tr>
      <w:tr w14:paraId="6C7F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ECE6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34.山胡椒属</w:t>
            </w:r>
          </w:p>
        </w:tc>
        <w:tc>
          <w:tcPr>
            <w:tcW w:w="3969" w:type="dxa"/>
            <w:noWrap w:val="0"/>
            <w:vAlign w:val="center"/>
          </w:tcPr>
          <w:p w14:paraId="4D73B1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Lindera</w:t>
            </w:r>
          </w:p>
        </w:tc>
        <w:tc>
          <w:tcPr>
            <w:tcW w:w="1977" w:type="dxa"/>
            <w:noWrap w:val="0"/>
            <w:vAlign w:val="center"/>
          </w:tcPr>
          <w:p w14:paraId="4F2FCB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AA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5F395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（59）山胡椒</w:t>
            </w:r>
          </w:p>
        </w:tc>
        <w:tc>
          <w:tcPr>
            <w:tcW w:w="3969" w:type="dxa"/>
            <w:noWrap w:val="0"/>
            <w:vAlign w:val="center"/>
          </w:tcPr>
          <w:p w14:paraId="2748C1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Lindera glauca</w:t>
            </w:r>
          </w:p>
        </w:tc>
        <w:tc>
          <w:tcPr>
            <w:tcW w:w="1977" w:type="dxa"/>
            <w:noWrap w:val="0"/>
            <w:vAlign w:val="center"/>
          </w:tcPr>
          <w:p w14:paraId="6E05BF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26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1F6C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35.木姜子属</w:t>
            </w:r>
          </w:p>
        </w:tc>
        <w:tc>
          <w:tcPr>
            <w:tcW w:w="3969" w:type="dxa"/>
            <w:noWrap w:val="0"/>
            <w:vAlign w:val="center"/>
          </w:tcPr>
          <w:p w14:paraId="6AE1D0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Litsea</w:t>
            </w:r>
          </w:p>
        </w:tc>
        <w:tc>
          <w:tcPr>
            <w:tcW w:w="1977" w:type="dxa"/>
            <w:noWrap w:val="0"/>
            <w:vAlign w:val="center"/>
          </w:tcPr>
          <w:p w14:paraId="3A8A0F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83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108B9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（60）山苍子</w:t>
            </w:r>
          </w:p>
        </w:tc>
        <w:tc>
          <w:tcPr>
            <w:tcW w:w="3969" w:type="dxa"/>
            <w:noWrap w:val="0"/>
            <w:vAlign w:val="center"/>
          </w:tcPr>
          <w:p w14:paraId="7794C5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Litsea cubeba</w:t>
            </w:r>
          </w:p>
        </w:tc>
        <w:tc>
          <w:tcPr>
            <w:tcW w:w="1977" w:type="dxa"/>
            <w:noWrap w:val="0"/>
            <w:vAlign w:val="center"/>
          </w:tcPr>
          <w:p w14:paraId="4B5DE9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94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E6E9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十八、罂粟科</w:t>
            </w:r>
          </w:p>
        </w:tc>
        <w:tc>
          <w:tcPr>
            <w:tcW w:w="3969" w:type="dxa"/>
            <w:noWrap w:val="0"/>
            <w:vAlign w:val="center"/>
          </w:tcPr>
          <w:p w14:paraId="58A23D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Papaveraceae</w:t>
            </w:r>
          </w:p>
        </w:tc>
        <w:tc>
          <w:tcPr>
            <w:tcW w:w="1977" w:type="dxa"/>
            <w:noWrap w:val="0"/>
            <w:vAlign w:val="center"/>
          </w:tcPr>
          <w:p w14:paraId="131967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86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F258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36.紫堇属</w:t>
            </w:r>
          </w:p>
        </w:tc>
        <w:tc>
          <w:tcPr>
            <w:tcW w:w="3969" w:type="dxa"/>
            <w:noWrap w:val="0"/>
            <w:vAlign w:val="center"/>
          </w:tcPr>
          <w:p w14:paraId="0881F7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Corydails</w:t>
            </w:r>
          </w:p>
        </w:tc>
        <w:tc>
          <w:tcPr>
            <w:tcW w:w="1977" w:type="dxa"/>
            <w:noWrap w:val="0"/>
            <w:vAlign w:val="center"/>
          </w:tcPr>
          <w:p w14:paraId="3C29DD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F6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F33B82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（61）紫堇</w:t>
            </w:r>
          </w:p>
        </w:tc>
        <w:tc>
          <w:tcPr>
            <w:tcW w:w="3969" w:type="dxa"/>
            <w:noWrap w:val="0"/>
            <w:vAlign w:val="center"/>
          </w:tcPr>
          <w:p w14:paraId="7DF114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Corydails edulis</w:t>
            </w:r>
          </w:p>
        </w:tc>
        <w:tc>
          <w:tcPr>
            <w:tcW w:w="1977" w:type="dxa"/>
            <w:noWrap w:val="0"/>
            <w:vAlign w:val="center"/>
          </w:tcPr>
          <w:p w14:paraId="44EC96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EF9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5C51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（62）小花黄堇</w:t>
            </w:r>
          </w:p>
        </w:tc>
        <w:tc>
          <w:tcPr>
            <w:tcW w:w="3969" w:type="dxa"/>
            <w:noWrap w:val="0"/>
            <w:vAlign w:val="center"/>
          </w:tcPr>
          <w:p w14:paraId="4FA0A3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Corydails racemosa</w:t>
            </w:r>
          </w:p>
        </w:tc>
        <w:tc>
          <w:tcPr>
            <w:tcW w:w="1977" w:type="dxa"/>
            <w:noWrap w:val="0"/>
            <w:vAlign w:val="center"/>
          </w:tcPr>
          <w:p w14:paraId="01E7D8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D9E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98BCA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十九、白花菜科</w:t>
            </w:r>
          </w:p>
        </w:tc>
        <w:tc>
          <w:tcPr>
            <w:tcW w:w="3969" w:type="dxa"/>
            <w:noWrap w:val="0"/>
            <w:vAlign w:val="center"/>
          </w:tcPr>
          <w:p w14:paraId="3896B9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Cleomaceae</w:t>
            </w:r>
          </w:p>
        </w:tc>
        <w:tc>
          <w:tcPr>
            <w:tcW w:w="1977" w:type="dxa"/>
            <w:noWrap w:val="0"/>
            <w:vAlign w:val="center"/>
          </w:tcPr>
          <w:p w14:paraId="245652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B47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9409C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37.白花菜属</w:t>
            </w:r>
          </w:p>
        </w:tc>
        <w:tc>
          <w:tcPr>
            <w:tcW w:w="3969" w:type="dxa"/>
            <w:noWrap w:val="0"/>
            <w:vAlign w:val="center"/>
          </w:tcPr>
          <w:p w14:paraId="766A54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Cleome</w:t>
            </w:r>
          </w:p>
        </w:tc>
        <w:tc>
          <w:tcPr>
            <w:tcW w:w="1977" w:type="dxa"/>
            <w:noWrap w:val="0"/>
            <w:vAlign w:val="center"/>
          </w:tcPr>
          <w:p w14:paraId="3CF5C6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2F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1E5C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（63）白花菜</w:t>
            </w:r>
          </w:p>
        </w:tc>
        <w:tc>
          <w:tcPr>
            <w:tcW w:w="3969" w:type="dxa"/>
            <w:noWrap w:val="0"/>
            <w:vAlign w:val="center"/>
          </w:tcPr>
          <w:p w14:paraId="375C52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Cleome gynandra</w:t>
            </w:r>
          </w:p>
        </w:tc>
        <w:tc>
          <w:tcPr>
            <w:tcW w:w="1977" w:type="dxa"/>
            <w:noWrap w:val="0"/>
            <w:vAlign w:val="center"/>
          </w:tcPr>
          <w:p w14:paraId="7E98BD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00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0558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二十、十字花科</w:t>
            </w:r>
          </w:p>
        </w:tc>
        <w:tc>
          <w:tcPr>
            <w:tcW w:w="3969" w:type="dxa"/>
            <w:noWrap w:val="0"/>
            <w:vAlign w:val="center"/>
          </w:tcPr>
          <w:p w14:paraId="23DAFB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Cruciferae</w:t>
            </w:r>
          </w:p>
        </w:tc>
        <w:tc>
          <w:tcPr>
            <w:tcW w:w="1977" w:type="dxa"/>
            <w:noWrap w:val="0"/>
            <w:vAlign w:val="center"/>
          </w:tcPr>
          <w:p w14:paraId="5E8EF3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AB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5583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38.芸苔属</w:t>
            </w:r>
          </w:p>
        </w:tc>
        <w:tc>
          <w:tcPr>
            <w:tcW w:w="3969" w:type="dxa"/>
            <w:noWrap w:val="0"/>
            <w:vAlign w:val="center"/>
          </w:tcPr>
          <w:p w14:paraId="13C0598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Brassica</w:t>
            </w:r>
          </w:p>
        </w:tc>
        <w:tc>
          <w:tcPr>
            <w:tcW w:w="1977" w:type="dxa"/>
            <w:noWrap w:val="0"/>
            <w:vAlign w:val="center"/>
          </w:tcPr>
          <w:p w14:paraId="33B40F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B5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525F1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（64）芸苔（油菜）</w:t>
            </w:r>
          </w:p>
        </w:tc>
        <w:tc>
          <w:tcPr>
            <w:tcW w:w="3969" w:type="dxa"/>
            <w:noWrap w:val="0"/>
            <w:vAlign w:val="center"/>
          </w:tcPr>
          <w:p w14:paraId="01E0E4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Brassica campestris</w:t>
            </w:r>
          </w:p>
        </w:tc>
        <w:tc>
          <w:tcPr>
            <w:tcW w:w="1977" w:type="dxa"/>
            <w:noWrap w:val="0"/>
            <w:vAlign w:val="center"/>
          </w:tcPr>
          <w:p w14:paraId="6392FA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074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8D786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（65）白菜</w:t>
            </w:r>
          </w:p>
        </w:tc>
        <w:tc>
          <w:tcPr>
            <w:tcW w:w="3969" w:type="dxa"/>
            <w:noWrap w:val="0"/>
            <w:vAlign w:val="center"/>
          </w:tcPr>
          <w:p w14:paraId="12FA0D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Brassica pekinensis</w:t>
            </w:r>
          </w:p>
        </w:tc>
        <w:tc>
          <w:tcPr>
            <w:tcW w:w="1977" w:type="dxa"/>
            <w:noWrap w:val="0"/>
            <w:vAlign w:val="center"/>
          </w:tcPr>
          <w:p w14:paraId="1F8C03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3CD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5725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39.荠属</w:t>
            </w:r>
          </w:p>
        </w:tc>
        <w:tc>
          <w:tcPr>
            <w:tcW w:w="3969" w:type="dxa"/>
            <w:noWrap w:val="0"/>
            <w:vAlign w:val="center"/>
          </w:tcPr>
          <w:p w14:paraId="0BEDA8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Capsella</w:t>
            </w:r>
          </w:p>
        </w:tc>
        <w:tc>
          <w:tcPr>
            <w:tcW w:w="1977" w:type="dxa"/>
            <w:noWrap w:val="0"/>
            <w:vAlign w:val="center"/>
          </w:tcPr>
          <w:p w14:paraId="382087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68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AB3E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（66）荠</w:t>
            </w:r>
          </w:p>
        </w:tc>
        <w:tc>
          <w:tcPr>
            <w:tcW w:w="3969" w:type="dxa"/>
            <w:noWrap w:val="0"/>
            <w:vAlign w:val="center"/>
          </w:tcPr>
          <w:p w14:paraId="1D0221E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Capsella bursa-pastoris</w:t>
            </w:r>
          </w:p>
        </w:tc>
        <w:tc>
          <w:tcPr>
            <w:tcW w:w="1977" w:type="dxa"/>
            <w:noWrap w:val="0"/>
            <w:vAlign w:val="center"/>
          </w:tcPr>
          <w:p w14:paraId="2B7A1D1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44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672D4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40.碎米荠属</w:t>
            </w:r>
          </w:p>
        </w:tc>
        <w:tc>
          <w:tcPr>
            <w:tcW w:w="3969" w:type="dxa"/>
            <w:noWrap w:val="0"/>
            <w:vAlign w:val="center"/>
          </w:tcPr>
          <w:p w14:paraId="41F5F6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Cardamine</w:t>
            </w:r>
          </w:p>
        </w:tc>
        <w:tc>
          <w:tcPr>
            <w:tcW w:w="1977" w:type="dxa"/>
            <w:noWrap w:val="0"/>
            <w:vAlign w:val="center"/>
          </w:tcPr>
          <w:p w14:paraId="38A8CE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4E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33E4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（67）碎米荠</w:t>
            </w:r>
          </w:p>
        </w:tc>
        <w:tc>
          <w:tcPr>
            <w:tcW w:w="3969" w:type="dxa"/>
            <w:noWrap w:val="0"/>
            <w:vAlign w:val="center"/>
          </w:tcPr>
          <w:p w14:paraId="3B10D6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Cardamine hirsuta</w:t>
            </w:r>
          </w:p>
        </w:tc>
        <w:tc>
          <w:tcPr>
            <w:tcW w:w="1977" w:type="dxa"/>
            <w:noWrap w:val="0"/>
            <w:vAlign w:val="center"/>
          </w:tcPr>
          <w:p w14:paraId="283665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AD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8D32C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41.独行菜属</w:t>
            </w:r>
          </w:p>
        </w:tc>
        <w:tc>
          <w:tcPr>
            <w:tcW w:w="3969" w:type="dxa"/>
            <w:noWrap w:val="0"/>
            <w:vAlign w:val="center"/>
          </w:tcPr>
          <w:p w14:paraId="51EB11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Lepidium</w:t>
            </w:r>
          </w:p>
        </w:tc>
        <w:tc>
          <w:tcPr>
            <w:tcW w:w="1977" w:type="dxa"/>
            <w:noWrap w:val="0"/>
            <w:vAlign w:val="center"/>
          </w:tcPr>
          <w:p w14:paraId="0B4E19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F6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3A7C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（68）北美独行菜</w:t>
            </w:r>
          </w:p>
        </w:tc>
        <w:tc>
          <w:tcPr>
            <w:tcW w:w="3969" w:type="dxa"/>
            <w:noWrap w:val="0"/>
            <w:vAlign w:val="center"/>
          </w:tcPr>
          <w:p w14:paraId="462EB6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Lepidium virginicum</w:t>
            </w:r>
          </w:p>
        </w:tc>
        <w:tc>
          <w:tcPr>
            <w:tcW w:w="1977" w:type="dxa"/>
            <w:noWrap w:val="0"/>
            <w:vAlign w:val="center"/>
          </w:tcPr>
          <w:p w14:paraId="53D4A7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3AB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C39BF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42.萝卜属</w:t>
            </w:r>
          </w:p>
        </w:tc>
        <w:tc>
          <w:tcPr>
            <w:tcW w:w="3969" w:type="dxa"/>
            <w:noWrap w:val="0"/>
            <w:vAlign w:val="center"/>
          </w:tcPr>
          <w:p w14:paraId="51C79F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Raphanus</w:t>
            </w:r>
          </w:p>
        </w:tc>
        <w:tc>
          <w:tcPr>
            <w:tcW w:w="1977" w:type="dxa"/>
            <w:noWrap w:val="0"/>
            <w:vAlign w:val="center"/>
          </w:tcPr>
          <w:p w14:paraId="46520D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57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67F3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（69）萝卜</w:t>
            </w:r>
          </w:p>
        </w:tc>
        <w:tc>
          <w:tcPr>
            <w:tcW w:w="3969" w:type="dxa"/>
            <w:noWrap w:val="0"/>
            <w:vAlign w:val="center"/>
          </w:tcPr>
          <w:p w14:paraId="231A50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Raphanus sativus</w:t>
            </w:r>
          </w:p>
        </w:tc>
        <w:tc>
          <w:tcPr>
            <w:tcW w:w="1977" w:type="dxa"/>
            <w:noWrap w:val="0"/>
            <w:vAlign w:val="center"/>
          </w:tcPr>
          <w:p w14:paraId="2113B7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74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8848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43.蔊菜</w:t>
            </w:r>
          </w:p>
        </w:tc>
        <w:tc>
          <w:tcPr>
            <w:tcW w:w="3969" w:type="dxa"/>
            <w:noWrap w:val="0"/>
            <w:vAlign w:val="center"/>
          </w:tcPr>
          <w:p w14:paraId="1FF616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Rorippa</w:t>
            </w:r>
          </w:p>
        </w:tc>
        <w:tc>
          <w:tcPr>
            <w:tcW w:w="1977" w:type="dxa"/>
            <w:noWrap w:val="0"/>
            <w:vAlign w:val="center"/>
          </w:tcPr>
          <w:p w14:paraId="3CC039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0C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EED2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（70）蔊菜</w:t>
            </w:r>
          </w:p>
        </w:tc>
        <w:tc>
          <w:tcPr>
            <w:tcW w:w="3969" w:type="dxa"/>
            <w:noWrap w:val="0"/>
            <w:vAlign w:val="center"/>
          </w:tcPr>
          <w:p w14:paraId="5B8C25D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Rorippa indica</w:t>
            </w:r>
          </w:p>
        </w:tc>
        <w:tc>
          <w:tcPr>
            <w:tcW w:w="1977" w:type="dxa"/>
            <w:noWrap w:val="0"/>
            <w:vAlign w:val="center"/>
          </w:tcPr>
          <w:p w14:paraId="102182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660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AE0E5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二十一、金缕梅科</w:t>
            </w:r>
          </w:p>
        </w:tc>
        <w:tc>
          <w:tcPr>
            <w:tcW w:w="3969" w:type="dxa"/>
            <w:noWrap w:val="0"/>
            <w:vAlign w:val="center"/>
          </w:tcPr>
          <w:p w14:paraId="752AE8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Hamameliceae</w:t>
            </w:r>
          </w:p>
        </w:tc>
        <w:tc>
          <w:tcPr>
            <w:tcW w:w="1977" w:type="dxa"/>
            <w:noWrap w:val="0"/>
            <w:vAlign w:val="center"/>
          </w:tcPr>
          <w:p w14:paraId="1178F4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E06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9B386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44.枫香树属</w:t>
            </w:r>
          </w:p>
        </w:tc>
        <w:tc>
          <w:tcPr>
            <w:tcW w:w="3969" w:type="dxa"/>
            <w:noWrap w:val="0"/>
            <w:vAlign w:val="center"/>
          </w:tcPr>
          <w:p w14:paraId="473170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Liquidambar</w:t>
            </w:r>
          </w:p>
        </w:tc>
        <w:tc>
          <w:tcPr>
            <w:tcW w:w="1977" w:type="dxa"/>
            <w:noWrap w:val="0"/>
            <w:vAlign w:val="center"/>
          </w:tcPr>
          <w:p w14:paraId="224D52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5E6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C4C09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（71）枫香树</w:t>
            </w:r>
          </w:p>
        </w:tc>
        <w:tc>
          <w:tcPr>
            <w:tcW w:w="3969" w:type="dxa"/>
            <w:noWrap w:val="0"/>
            <w:vAlign w:val="center"/>
          </w:tcPr>
          <w:p w14:paraId="33771F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Liquidambar formosana</w:t>
            </w:r>
          </w:p>
        </w:tc>
        <w:tc>
          <w:tcPr>
            <w:tcW w:w="1977" w:type="dxa"/>
            <w:noWrap w:val="0"/>
            <w:vAlign w:val="center"/>
          </w:tcPr>
          <w:p w14:paraId="7F085F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9F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7CF1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45.檵木属</w:t>
            </w:r>
          </w:p>
        </w:tc>
        <w:tc>
          <w:tcPr>
            <w:tcW w:w="3969" w:type="dxa"/>
            <w:noWrap w:val="0"/>
            <w:vAlign w:val="center"/>
          </w:tcPr>
          <w:p w14:paraId="0C73AE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Loropetalum</w:t>
            </w:r>
          </w:p>
        </w:tc>
        <w:tc>
          <w:tcPr>
            <w:tcW w:w="1977" w:type="dxa"/>
            <w:noWrap w:val="0"/>
            <w:vAlign w:val="center"/>
          </w:tcPr>
          <w:p w14:paraId="1C58B7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02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CAFC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（72）檵木</w:t>
            </w:r>
          </w:p>
        </w:tc>
        <w:tc>
          <w:tcPr>
            <w:tcW w:w="3969" w:type="dxa"/>
            <w:noWrap w:val="0"/>
            <w:vAlign w:val="center"/>
          </w:tcPr>
          <w:p w14:paraId="46796E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Loropetalum chinense</w:t>
            </w:r>
          </w:p>
        </w:tc>
        <w:tc>
          <w:tcPr>
            <w:tcW w:w="1977" w:type="dxa"/>
            <w:noWrap w:val="0"/>
            <w:vAlign w:val="center"/>
          </w:tcPr>
          <w:p w14:paraId="73867F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2B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7F41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二十二、蔷薇科</w:t>
            </w:r>
          </w:p>
        </w:tc>
        <w:tc>
          <w:tcPr>
            <w:tcW w:w="3969" w:type="dxa"/>
            <w:noWrap w:val="0"/>
            <w:vAlign w:val="center"/>
          </w:tcPr>
          <w:p w14:paraId="43D5BE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Rosaceae</w:t>
            </w:r>
          </w:p>
        </w:tc>
        <w:tc>
          <w:tcPr>
            <w:tcW w:w="1977" w:type="dxa"/>
            <w:noWrap w:val="0"/>
            <w:vAlign w:val="center"/>
          </w:tcPr>
          <w:p w14:paraId="507F14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4E3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9156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46.龙芽草属</w:t>
            </w:r>
          </w:p>
        </w:tc>
        <w:tc>
          <w:tcPr>
            <w:tcW w:w="3969" w:type="dxa"/>
            <w:noWrap w:val="0"/>
            <w:vAlign w:val="center"/>
          </w:tcPr>
          <w:p w14:paraId="2F4E86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Agrimonia</w:t>
            </w:r>
          </w:p>
        </w:tc>
        <w:tc>
          <w:tcPr>
            <w:tcW w:w="1977" w:type="dxa"/>
            <w:noWrap w:val="0"/>
            <w:vAlign w:val="center"/>
          </w:tcPr>
          <w:p w14:paraId="15690B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75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EA59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（73）龙芽草</w:t>
            </w:r>
          </w:p>
        </w:tc>
        <w:tc>
          <w:tcPr>
            <w:tcW w:w="3969" w:type="dxa"/>
            <w:noWrap w:val="0"/>
            <w:vAlign w:val="center"/>
          </w:tcPr>
          <w:p w14:paraId="790AA5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Agrimonia pilosa</w:t>
            </w:r>
          </w:p>
        </w:tc>
        <w:tc>
          <w:tcPr>
            <w:tcW w:w="1977" w:type="dxa"/>
            <w:noWrap w:val="0"/>
            <w:vAlign w:val="center"/>
          </w:tcPr>
          <w:p w14:paraId="47B114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B4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91FB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47.李属</w:t>
            </w:r>
          </w:p>
        </w:tc>
        <w:tc>
          <w:tcPr>
            <w:tcW w:w="3969" w:type="dxa"/>
            <w:noWrap w:val="0"/>
            <w:vAlign w:val="center"/>
          </w:tcPr>
          <w:p w14:paraId="41FC67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Prunus</w:t>
            </w:r>
          </w:p>
        </w:tc>
        <w:tc>
          <w:tcPr>
            <w:tcW w:w="1977" w:type="dxa"/>
            <w:noWrap w:val="0"/>
            <w:vAlign w:val="center"/>
          </w:tcPr>
          <w:p w14:paraId="41B6EC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8E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6C6E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（74）桃树</w:t>
            </w:r>
          </w:p>
        </w:tc>
        <w:tc>
          <w:tcPr>
            <w:tcW w:w="3969" w:type="dxa"/>
            <w:noWrap w:val="0"/>
            <w:vAlign w:val="center"/>
          </w:tcPr>
          <w:p w14:paraId="77091F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Prunus persica</w:t>
            </w:r>
          </w:p>
        </w:tc>
        <w:tc>
          <w:tcPr>
            <w:tcW w:w="1977" w:type="dxa"/>
            <w:noWrap w:val="0"/>
            <w:vAlign w:val="center"/>
          </w:tcPr>
          <w:p w14:paraId="450D81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5F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FB6F7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48.石楠属</w:t>
            </w:r>
          </w:p>
        </w:tc>
        <w:tc>
          <w:tcPr>
            <w:tcW w:w="3969" w:type="dxa"/>
            <w:noWrap w:val="0"/>
            <w:vAlign w:val="center"/>
          </w:tcPr>
          <w:p w14:paraId="10A264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Photinia</w:t>
            </w:r>
          </w:p>
        </w:tc>
        <w:tc>
          <w:tcPr>
            <w:tcW w:w="1977" w:type="dxa"/>
            <w:noWrap w:val="0"/>
            <w:vAlign w:val="center"/>
          </w:tcPr>
          <w:p w14:paraId="057D3F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79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8C63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（75）石楠</w:t>
            </w:r>
          </w:p>
        </w:tc>
        <w:tc>
          <w:tcPr>
            <w:tcW w:w="3969" w:type="dxa"/>
            <w:noWrap w:val="0"/>
            <w:vAlign w:val="center"/>
          </w:tcPr>
          <w:p w14:paraId="3064E8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Photinia serrulata</w:t>
            </w:r>
          </w:p>
        </w:tc>
        <w:tc>
          <w:tcPr>
            <w:tcW w:w="1977" w:type="dxa"/>
            <w:noWrap w:val="0"/>
            <w:vAlign w:val="center"/>
          </w:tcPr>
          <w:p w14:paraId="163BAF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8E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7BC7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（76）椤木</w:t>
            </w:r>
          </w:p>
        </w:tc>
        <w:tc>
          <w:tcPr>
            <w:tcW w:w="3969" w:type="dxa"/>
            <w:noWrap w:val="0"/>
            <w:vAlign w:val="center"/>
          </w:tcPr>
          <w:p w14:paraId="4F1A60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Photinia davidsoniae</w:t>
            </w:r>
          </w:p>
        </w:tc>
        <w:tc>
          <w:tcPr>
            <w:tcW w:w="1977" w:type="dxa"/>
            <w:noWrap w:val="0"/>
            <w:vAlign w:val="center"/>
          </w:tcPr>
          <w:p w14:paraId="48E36E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1F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EA75BC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49.蛇莓属</w:t>
            </w:r>
          </w:p>
        </w:tc>
        <w:tc>
          <w:tcPr>
            <w:tcW w:w="3969" w:type="dxa"/>
            <w:noWrap w:val="0"/>
            <w:vAlign w:val="center"/>
          </w:tcPr>
          <w:p w14:paraId="6EE278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Duchesnea</w:t>
            </w:r>
          </w:p>
        </w:tc>
        <w:tc>
          <w:tcPr>
            <w:tcW w:w="1977" w:type="dxa"/>
            <w:noWrap w:val="0"/>
            <w:vAlign w:val="center"/>
          </w:tcPr>
          <w:p w14:paraId="3A71D6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43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E19FD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（77）蛇莓</w:t>
            </w:r>
          </w:p>
        </w:tc>
        <w:tc>
          <w:tcPr>
            <w:tcW w:w="3969" w:type="dxa"/>
            <w:noWrap w:val="0"/>
            <w:vAlign w:val="center"/>
          </w:tcPr>
          <w:p w14:paraId="57F32E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Duchesnea indica</w:t>
            </w:r>
          </w:p>
        </w:tc>
        <w:tc>
          <w:tcPr>
            <w:tcW w:w="1977" w:type="dxa"/>
            <w:noWrap w:val="0"/>
            <w:vAlign w:val="center"/>
          </w:tcPr>
          <w:p w14:paraId="15CDD0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9E6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8AF9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50.委陵菜属</w:t>
            </w:r>
          </w:p>
        </w:tc>
        <w:tc>
          <w:tcPr>
            <w:tcW w:w="3969" w:type="dxa"/>
            <w:noWrap w:val="0"/>
            <w:vAlign w:val="center"/>
          </w:tcPr>
          <w:p w14:paraId="4DA65F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w:t>
            </w:r>
          </w:p>
        </w:tc>
        <w:tc>
          <w:tcPr>
            <w:tcW w:w="1977" w:type="dxa"/>
            <w:noWrap w:val="0"/>
            <w:vAlign w:val="center"/>
          </w:tcPr>
          <w:p w14:paraId="441B2F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E6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3A3B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（78）委陵菜</w:t>
            </w:r>
          </w:p>
        </w:tc>
        <w:tc>
          <w:tcPr>
            <w:tcW w:w="3969" w:type="dxa"/>
            <w:noWrap w:val="0"/>
            <w:vAlign w:val="center"/>
          </w:tcPr>
          <w:p w14:paraId="37805B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 chinensis</w:t>
            </w:r>
          </w:p>
        </w:tc>
        <w:tc>
          <w:tcPr>
            <w:tcW w:w="1977" w:type="dxa"/>
            <w:noWrap w:val="0"/>
            <w:vAlign w:val="center"/>
          </w:tcPr>
          <w:p w14:paraId="2B17C8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A9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E58C4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（79）朝天萎陵菜</w:t>
            </w:r>
          </w:p>
        </w:tc>
        <w:tc>
          <w:tcPr>
            <w:tcW w:w="3969" w:type="dxa"/>
            <w:noWrap w:val="0"/>
            <w:vAlign w:val="center"/>
          </w:tcPr>
          <w:p w14:paraId="137B4F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 supina</w:t>
            </w:r>
          </w:p>
        </w:tc>
        <w:tc>
          <w:tcPr>
            <w:tcW w:w="1977" w:type="dxa"/>
            <w:noWrap w:val="0"/>
            <w:vAlign w:val="center"/>
          </w:tcPr>
          <w:p w14:paraId="244E78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AD0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6E85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（80）匍匐委陵菜</w:t>
            </w:r>
          </w:p>
        </w:tc>
        <w:tc>
          <w:tcPr>
            <w:tcW w:w="3969" w:type="dxa"/>
            <w:noWrap w:val="0"/>
            <w:vAlign w:val="center"/>
          </w:tcPr>
          <w:p w14:paraId="464AAE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 reptans</w:t>
            </w:r>
          </w:p>
        </w:tc>
        <w:tc>
          <w:tcPr>
            <w:tcW w:w="1977" w:type="dxa"/>
            <w:noWrap w:val="0"/>
            <w:vAlign w:val="center"/>
          </w:tcPr>
          <w:p w14:paraId="5154C9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9BD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6BEA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（81）翻白草</w:t>
            </w:r>
          </w:p>
        </w:tc>
        <w:tc>
          <w:tcPr>
            <w:tcW w:w="3969" w:type="dxa"/>
            <w:noWrap w:val="0"/>
            <w:vAlign w:val="center"/>
          </w:tcPr>
          <w:p w14:paraId="73C691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 discolor</w:t>
            </w:r>
          </w:p>
        </w:tc>
        <w:tc>
          <w:tcPr>
            <w:tcW w:w="1977" w:type="dxa"/>
            <w:noWrap w:val="0"/>
            <w:vAlign w:val="center"/>
          </w:tcPr>
          <w:p w14:paraId="3BC3DA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30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12B4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（82）三叶委陵菜</w:t>
            </w:r>
          </w:p>
        </w:tc>
        <w:tc>
          <w:tcPr>
            <w:tcW w:w="3969" w:type="dxa"/>
            <w:noWrap w:val="0"/>
            <w:vAlign w:val="center"/>
          </w:tcPr>
          <w:p w14:paraId="74386CF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Potentilla freyniana</w:t>
            </w:r>
          </w:p>
        </w:tc>
        <w:tc>
          <w:tcPr>
            <w:tcW w:w="1977" w:type="dxa"/>
            <w:noWrap w:val="0"/>
            <w:vAlign w:val="center"/>
          </w:tcPr>
          <w:p w14:paraId="50779E4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9B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5E39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51.蔷薇属</w:t>
            </w:r>
          </w:p>
        </w:tc>
        <w:tc>
          <w:tcPr>
            <w:tcW w:w="3969" w:type="dxa"/>
            <w:noWrap w:val="0"/>
            <w:vAlign w:val="center"/>
          </w:tcPr>
          <w:p w14:paraId="5DE8F3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Rosa</w:t>
            </w:r>
          </w:p>
        </w:tc>
        <w:tc>
          <w:tcPr>
            <w:tcW w:w="1977" w:type="dxa"/>
            <w:noWrap w:val="0"/>
            <w:vAlign w:val="center"/>
          </w:tcPr>
          <w:p w14:paraId="58440A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E44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1756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（83）小果蔷薇</w:t>
            </w:r>
          </w:p>
        </w:tc>
        <w:tc>
          <w:tcPr>
            <w:tcW w:w="3969" w:type="dxa"/>
            <w:noWrap w:val="0"/>
            <w:vAlign w:val="center"/>
          </w:tcPr>
          <w:p w14:paraId="65A853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Rosa cymosa</w:t>
            </w:r>
          </w:p>
        </w:tc>
        <w:tc>
          <w:tcPr>
            <w:tcW w:w="1977" w:type="dxa"/>
            <w:noWrap w:val="0"/>
            <w:vAlign w:val="center"/>
          </w:tcPr>
          <w:p w14:paraId="73B17A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29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48531E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（84）金樱子</w:t>
            </w:r>
          </w:p>
        </w:tc>
        <w:tc>
          <w:tcPr>
            <w:tcW w:w="3969" w:type="dxa"/>
            <w:noWrap w:val="0"/>
            <w:vAlign w:val="center"/>
          </w:tcPr>
          <w:p w14:paraId="6EBB64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Rosa laevigata</w:t>
            </w:r>
          </w:p>
        </w:tc>
        <w:tc>
          <w:tcPr>
            <w:tcW w:w="1977" w:type="dxa"/>
            <w:noWrap w:val="0"/>
            <w:vAlign w:val="center"/>
          </w:tcPr>
          <w:p w14:paraId="288E3A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1D4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E93A5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（85）悬钩子属</w:t>
            </w:r>
          </w:p>
        </w:tc>
        <w:tc>
          <w:tcPr>
            <w:tcW w:w="3969" w:type="dxa"/>
            <w:noWrap w:val="0"/>
            <w:vAlign w:val="center"/>
          </w:tcPr>
          <w:p w14:paraId="06CDBB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Rubus</w:t>
            </w:r>
          </w:p>
        </w:tc>
        <w:tc>
          <w:tcPr>
            <w:tcW w:w="1977" w:type="dxa"/>
            <w:noWrap w:val="0"/>
            <w:vAlign w:val="center"/>
          </w:tcPr>
          <w:p w14:paraId="07B1C7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BF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679D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（86）插田泡</w:t>
            </w:r>
          </w:p>
        </w:tc>
        <w:tc>
          <w:tcPr>
            <w:tcW w:w="3969" w:type="dxa"/>
            <w:noWrap w:val="0"/>
            <w:vAlign w:val="center"/>
          </w:tcPr>
          <w:p w14:paraId="6AA50F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Rubus coreanus</w:t>
            </w:r>
          </w:p>
        </w:tc>
        <w:tc>
          <w:tcPr>
            <w:tcW w:w="1977" w:type="dxa"/>
            <w:noWrap w:val="0"/>
            <w:vAlign w:val="center"/>
          </w:tcPr>
          <w:p w14:paraId="15DEEB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15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87B64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（87）白叶莓</w:t>
            </w:r>
          </w:p>
        </w:tc>
        <w:tc>
          <w:tcPr>
            <w:tcW w:w="3969" w:type="dxa"/>
            <w:noWrap w:val="0"/>
            <w:vAlign w:val="center"/>
          </w:tcPr>
          <w:p w14:paraId="0FB5D8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Rubus innominatus</w:t>
            </w:r>
          </w:p>
        </w:tc>
        <w:tc>
          <w:tcPr>
            <w:tcW w:w="1977" w:type="dxa"/>
            <w:noWrap w:val="0"/>
            <w:vAlign w:val="center"/>
          </w:tcPr>
          <w:p w14:paraId="6A3D33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5E4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768E6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（88）高粱泡</w:t>
            </w:r>
          </w:p>
        </w:tc>
        <w:tc>
          <w:tcPr>
            <w:tcW w:w="3969" w:type="dxa"/>
            <w:noWrap w:val="0"/>
            <w:vAlign w:val="center"/>
          </w:tcPr>
          <w:p w14:paraId="103F6F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Rubus lambertianus</w:t>
            </w:r>
          </w:p>
        </w:tc>
        <w:tc>
          <w:tcPr>
            <w:tcW w:w="1977" w:type="dxa"/>
            <w:noWrap w:val="0"/>
            <w:vAlign w:val="center"/>
          </w:tcPr>
          <w:p w14:paraId="5045AB2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5B9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A45D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（89）茅莓</w:t>
            </w:r>
          </w:p>
        </w:tc>
        <w:tc>
          <w:tcPr>
            <w:tcW w:w="3969" w:type="dxa"/>
            <w:noWrap w:val="0"/>
            <w:vAlign w:val="center"/>
          </w:tcPr>
          <w:p w14:paraId="2190E8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Rubus parvifolius</w:t>
            </w:r>
          </w:p>
        </w:tc>
        <w:tc>
          <w:tcPr>
            <w:tcW w:w="1977" w:type="dxa"/>
            <w:noWrap w:val="0"/>
            <w:vAlign w:val="center"/>
          </w:tcPr>
          <w:p w14:paraId="79D93C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1E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2C64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52.地榆属</w:t>
            </w:r>
          </w:p>
        </w:tc>
        <w:tc>
          <w:tcPr>
            <w:tcW w:w="3969" w:type="dxa"/>
            <w:noWrap w:val="0"/>
            <w:vAlign w:val="center"/>
          </w:tcPr>
          <w:p w14:paraId="0C9F7E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Sanguisorba</w:t>
            </w:r>
          </w:p>
        </w:tc>
        <w:tc>
          <w:tcPr>
            <w:tcW w:w="1977" w:type="dxa"/>
            <w:noWrap w:val="0"/>
            <w:vAlign w:val="center"/>
          </w:tcPr>
          <w:p w14:paraId="53D6A0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4B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A9908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（90）地榆</w:t>
            </w:r>
          </w:p>
        </w:tc>
        <w:tc>
          <w:tcPr>
            <w:tcW w:w="3969" w:type="dxa"/>
            <w:noWrap w:val="0"/>
            <w:vAlign w:val="center"/>
          </w:tcPr>
          <w:p w14:paraId="3ACBF7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Sanguisorba officinalis</w:t>
            </w:r>
          </w:p>
        </w:tc>
        <w:tc>
          <w:tcPr>
            <w:tcW w:w="1977" w:type="dxa"/>
            <w:noWrap w:val="0"/>
            <w:vAlign w:val="center"/>
          </w:tcPr>
          <w:p w14:paraId="7E918C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0A0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0DE99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二十三、豆科</w:t>
            </w:r>
          </w:p>
        </w:tc>
        <w:tc>
          <w:tcPr>
            <w:tcW w:w="3969" w:type="dxa"/>
            <w:noWrap w:val="0"/>
            <w:vAlign w:val="center"/>
          </w:tcPr>
          <w:p w14:paraId="601EF8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Leguminosae</w:t>
            </w:r>
          </w:p>
        </w:tc>
        <w:tc>
          <w:tcPr>
            <w:tcW w:w="1977" w:type="dxa"/>
            <w:noWrap w:val="0"/>
            <w:vAlign w:val="center"/>
          </w:tcPr>
          <w:p w14:paraId="13F520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CD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2EC4B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53.黄芪属</w:t>
            </w:r>
          </w:p>
        </w:tc>
        <w:tc>
          <w:tcPr>
            <w:tcW w:w="3969" w:type="dxa"/>
            <w:noWrap w:val="0"/>
            <w:vAlign w:val="center"/>
          </w:tcPr>
          <w:p w14:paraId="42B134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Astragalus</w:t>
            </w:r>
          </w:p>
        </w:tc>
        <w:tc>
          <w:tcPr>
            <w:tcW w:w="1977" w:type="dxa"/>
            <w:noWrap w:val="0"/>
            <w:vAlign w:val="center"/>
          </w:tcPr>
          <w:p w14:paraId="32E4D9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70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B183D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（91）紫云英</w:t>
            </w:r>
          </w:p>
        </w:tc>
        <w:tc>
          <w:tcPr>
            <w:tcW w:w="3969" w:type="dxa"/>
            <w:noWrap w:val="0"/>
            <w:vAlign w:val="center"/>
          </w:tcPr>
          <w:p w14:paraId="3CC735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Astragalus sinicus</w:t>
            </w:r>
          </w:p>
        </w:tc>
        <w:tc>
          <w:tcPr>
            <w:tcW w:w="1977" w:type="dxa"/>
            <w:noWrap w:val="0"/>
            <w:vAlign w:val="center"/>
          </w:tcPr>
          <w:p w14:paraId="7DE453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AA8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5723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54.山蚂蝗属</w:t>
            </w:r>
          </w:p>
        </w:tc>
        <w:tc>
          <w:tcPr>
            <w:tcW w:w="3969" w:type="dxa"/>
            <w:noWrap w:val="0"/>
            <w:vAlign w:val="center"/>
          </w:tcPr>
          <w:p w14:paraId="6452470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Desmodium</w:t>
            </w:r>
          </w:p>
        </w:tc>
        <w:tc>
          <w:tcPr>
            <w:tcW w:w="1977" w:type="dxa"/>
            <w:noWrap w:val="0"/>
            <w:vAlign w:val="center"/>
          </w:tcPr>
          <w:p w14:paraId="04311A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461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72D3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（92）饿蚂蝗</w:t>
            </w:r>
          </w:p>
        </w:tc>
        <w:tc>
          <w:tcPr>
            <w:tcW w:w="3969" w:type="dxa"/>
            <w:noWrap w:val="0"/>
            <w:vAlign w:val="center"/>
          </w:tcPr>
          <w:p w14:paraId="277B81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Desmodium multiflorum</w:t>
            </w:r>
          </w:p>
        </w:tc>
        <w:tc>
          <w:tcPr>
            <w:tcW w:w="1977" w:type="dxa"/>
            <w:noWrap w:val="0"/>
            <w:vAlign w:val="center"/>
          </w:tcPr>
          <w:p w14:paraId="7BDC15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0A6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AEAC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55.野扁豆属</w:t>
            </w:r>
          </w:p>
        </w:tc>
        <w:tc>
          <w:tcPr>
            <w:tcW w:w="3969" w:type="dxa"/>
            <w:noWrap w:val="0"/>
            <w:vAlign w:val="center"/>
          </w:tcPr>
          <w:p w14:paraId="505BC0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Dunbaria</w:t>
            </w:r>
          </w:p>
        </w:tc>
        <w:tc>
          <w:tcPr>
            <w:tcW w:w="1977" w:type="dxa"/>
            <w:noWrap w:val="0"/>
            <w:vAlign w:val="center"/>
          </w:tcPr>
          <w:p w14:paraId="227FB4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B7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73F8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（93）野扁豆</w:t>
            </w:r>
          </w:p>
        </w:tc>
        <w:tc>
          <w:tcPr>
            <w:tcW w:w="3969" w:type="dxa"/>
            <w:noWrap w:val="0"/>
            <w:vAlign w:val="center"/>
          </w:tcPr>
          <w:p w14:paraId="53BA66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Dunbaria villosa</w:t>
            </w:r>
          </w:p>
        </w:tc>
        <w:tc>
          <w:tcPr>
            <w:tcW w:w="1977" w:type="dxa"/>
            <w:noWrap w:val="0"/>
            <w:vAlign w:val="center"/>
          </w:tcPr>
          <w:p w14:paraId="1E5150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58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9E3B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56.鸡眼草属</w:t>
            </w:r>
          </w:p>
        </w:tc>
        <w:tc>
          <w:tcPr>
            <w:tcW w:w="3969" w:type="dxa"/>
            <w:noWrap w:val="0"/>
            <w:vAlign w:val="center"/>
          </w:tcPr>
          <w:p w14:paraId="787B47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Kummerowia</w:t>
            </w:r>
          </w:p>
        </w:tc>
        <w:tc>
          <w:tcPr>
            <w:tcW w:w="1977" w:type="dxa"/>
            <w:noWrap w:val="0"/>
            <w:vAlign w:val="center"/>
          </w:tcPr>
          <w:p w14:paraId="08E5FC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2BF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F46E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（94）鸡眼草</w:t>
            </w:r>
          </w:p>
        </w:tc>
        <w:tc>
          <w:tcPr>
            <w:tcW w:w="3969" w:type="dxa"/>
            <w:noWrap w:val="0"/>
            <w:vAlign w:val="center"/>
          </w:tcPr>
          <w:p w14:paraId="630D05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Kummerowia striata</w:t>
            </w:r>
          </w:p>
        </w:tc>
        <w:tc>
          <w:tcPr>
            <w:tcW w:w="1977" w:type="dxa"/>
            <w:noWrap w:val="0"/>
            <w:vAlign w:val="center"/>
          </w:tcPr>
          <w:p w14:paraId="4F564C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E1D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8F36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57.胡枝子属</w:t>
            </w:r>
          </w:p>
        </w:tc>
        <w:tc>
          <w:tcPr>
            <w:tcW w:w="3969" w:type="dxa"/>
            <w:noWrap w:val="0"/>
            <w:vAlign w:val="center"/>
          </w:tcPr>
          <w:p w14:paraId="1E3D5F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Lespedeza</w:t>
            </w:r>
          </w:p>
        </w:tc>
        <w:tc>
          <w:tcPr>
            <w:tcW w:w="1977" w:type="dxa"/>
            <w:noWrap w:val="0"/>
            <w:vAlign w:val="center"/>
          </w:tcPr>
          <w:p w14:paraId="715B14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8D5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DB3D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（95）截叶铁扫帚</w:t>
            </w:r>
          </w:p>
        </w:tc>
        <w:tc>
          <w:tcPr>
            <w:tcW w:w="3969" w:type="dxa"/>
            <w:noWrap w:val="0"/>
            <w:vAlign w:val="center"/>
          </w:tcPr>
          <w:p w14:paraId="6C8671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Lespedeza cuneata</w:t>
            </w:r>
          </w:p>
        </w:tc>
        <w:tc>
          <w:tcPr>
            <w:tcW w:w="1977" w:type="dxa"/>
            <w:noWrap w:val="0"/>
            <w:vAlign w:val="center"/>
          </w:tcPr>
          <w:p w14:paraId="2315C7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C8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5A3A6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58.苜蓿属</w:t>
            </w:r>
          </w:p>
        </w:tc>
        <w:tc>
          <w:tcPr>
            <w:tcW w:w="3969" w:type="dxa"/>
            <w:noWrap w:val="0"/>
            <w:vAlign w:val="center"/>
          </w:tcPr>
          <w:p w14:paraId="5AA1B3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Medicago</w:t>
            </w:r>
          </w:p>
        </w:tc>
        <w:tc>
          <w:tcPr>
            <w:tcW w:w="1977" w:type="dxa"/>
            <w:noWrap w:val="0"/>
            <w:vAlign w:val="center"/>
          </w:tcPr>
          <w:p w14:paraId="22D38D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065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21FE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（96）紫苜蓿</w:t>
            </w:r>
          </w:p>
        </w:tc>
        <w:tc>
          <w:tcPr>
            <w:tcW w:w="3969" w:type="dxa"/>
            <w:noWrap w:val="0"/>
            <w:vAlign w:val="center"/>
          </w:tcPr>
          <w:p w14:paraId="5C72C4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Medicago sativa</w:t>
            </w:r>
          </w:p>
        </w:tc>
        <w:tc>
          <w:tcPr>
            <w:tcW w:w="1977" w:type="dxa"/>
            <w:noWrap w:val="0"/>
            <w:vAlign w:val="center"/>
          </w:tcPr>
          <w:p w14:paraId="792F75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846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5B8BD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（97）天蓝苜蓿</w:t>
            </w:r>
          </w:p>
        </w:tc>
        <w:tc>
          <w:tcPr>
            <w:tcW w:w="3969" w:type="dxa"/>
            <w:noWrap w:val="0"/>
            <w:vAlign w:val="center"/>
          </w:tcPr>
          <w:p w14:paraId="543556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Medicago lupulina</w:t>
            </w:r>
          </w:p>
        </w:tc>
        <w:tc>
          <w:tcPr>
            <w:tcW w:w="1977" w:type="dxa"/>
            <w:noWrap w:val="0"/>
            <w:vAlign w:val="center"/>
          </w:tcPr>
          <w:p w14:paraId="416303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79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934DA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（98）南苜蓿</w:t>
            </w:r>
          </w:p>
        </w:tc>
        <w:tc>
          <w:tcPr>
            <w:tcW w:w="3969" w:type="dxa"/>
            <w:noWrap w:val="0"/>
            <w:vAlign w:val="center"/>
          </w:tcPr>
          <w:p w14:paraId="42B66A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Medicago polymorpha</w:t>
            </w:r>
          </w:p>
        </w:tc>
        <w:tc>
          <w:tcPr>
            <w:tcW w:w="1977" w:type="dxa"/>
            <w:noWrap w:val="0"/>
            <w:vAlign w:val="center"/>
          </w:tcPr>
          <w:p w14:paraId="7F32CA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D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4BB5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59.葛属</w:t>
            </w:r>
          </w:p>
        </w:tc>
        <w:tc>
          <w:tcPr>
            <w:tcW w:w="3969" w:type="dxa"/>
            <w:noWrap w:val="0"/>
            <w:vAlign w:val="center"/>
          </w:tcPr>
          <w:p w14:paraId="7A8660D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Pueraria</w:t>
            </w:r>
          </w:p>
        </w:tc>
        <w:tc>
          <w:tcPr>
            <w:tcW w:w="1977" w:type="dxa"/>
            <w:noWrap w:val="0"/>
            <w:vAlign w:val="center"/>
          </w:tcPr>
          <w:p w14:paraId="5ACA3B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A32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0A55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（99）葛</w:t>
            </w:r>
          </w:p>
        </w:tc>
        <w:tc>
          <w:tcPr>
            <w:tcW w:w="3969" w:type="dxa"/>
            <w:noWrap w:val="0"/>
            <w:vAlign w:val="center"/>
          </w:tcPr>
          <w:p w14:paraId="207E25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Pueraria lobata</w:t>
            </w:r>
          </w:p>
        </w:tc>
        <w:tc>
          <w:tcPr>
            <w:tcW w:w="1977" w:type="dxa"/>
            <w:noWrap w:val="0"/>
            <w:vAlign w:val="center"/>
          </w:tcPr>
          <w:p w14:paraId="4058F17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8C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AD79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二十四、酢浆草科</w:t>
            </w:r>
          </w:p>
        </w:tc>
        <w:tc>
          <w:tcPr>
            <w:tcW w:w="3969" w:type="dxa"/>
            <w:noWrap w:val="0"/>
            <w:vAlign w:val="center"/>
          </w:tcPr>
          <w:p w14:paraId="7A3EF9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Oxalidaceae</w:t>
            </w:r>
          </w:p>
        </w:tc>
        <w:tc>
          <w:tcPr>
            <w:tcW w:w="1977" w:type="dxa"/>
            <w:noWrap w:val="0"/>
            <w:vAlign w:val="center"/>
          </w:tcPr>
          <w:p w14:paraId="6562DB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655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90E98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60.酢浆草属</w:t>
            </w:r>
          </w:p>
        </w:tc>
        <w:tc>
          <w:tcPr>
            <w:tcW w:w="3969" w:type="dxa"/>
            <w:noWrap w:val="0"/>
            <w:vAlign w:val="center"/>
          </w:tcPr>
          <w:p w14:paraId="28B329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Oxalis</w:t>
            </w:r>
          </w:p>
        </w:tc>
        <w:tc>
          <w:tcPr>
            <w:tcW w:w="1977" w:type="dxa"/>
            <w:noWrap w:val="0"/>
            <w:vAlign w:val="center"/>
          </w:tcPr>
          <w:p w14:paraId="624CF7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16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FCB7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（100）酢浆草</w:t>
            </w:r>
          </w:p>
        </w:tc>
        <w:tc>
          <w:tcPr>
            <w:tcW w:w="3969" w:type="dxa"/>
            <w:noWrap w:val="0"/>
            <w:vAlign w:val="center"/>
          </w:tcPr>
          <w:p w14:paraId="676E16E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Oxalis corniculata</w:t>
            </w:r>
          </w:p>
        </w:tc>
        <w:tc>
          <w:tcPr>
            <w:tcW w:w="1977" w:type="dxa"/>
            <w:noWrap w:val="0"/>
            <w:vAlign w:val="center"/>
          </w:tcPr>
          <w:p w14:paraId="51422B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535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8B00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二十五、芸香科</w:t>
            </w:r>
          </w:p>
        </w:tc>
        <w:tc>
          <w:tcPr>
            <w:tcW w:w="3969" w:type="dxa"/>
            <w:noWrap w:val="0"/>
            <w:vAlign w:val="center"/>
          </w:tcPr>
          <w:p w14:paraId="1C882D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Rutaceae</w:t>
            </w:r>
          </w:p>
        </w:tc>
        <w:tc>
          <w:tcPr>
            <w:tcW w:w="1977" w:type="dxa"/>
            <w:noWrap w:val="0"/>
            <w:vAlign w:val="center"/>
          </w:tcPr>
          <w:p w14:paraId="6D3EBE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4D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C71D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61.柑桔属</w:t>
            </w:r>
          </w:p>
        </w:tc>
        <w:tc>
          <w:tcPr>
            <w:tcW w:w="3969" w:type="dxa"/>
            <w:noWrap w:val="0"/>
            <w:vAlign w:val="center"/>
          </w:tcPr>
          <w:p w14:paraId="332585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Citrus</w:t>
            </w:r>
          </w:p>
        </w:tc>
        <w:tc>
          <w:tcPr>
            <w:tcW w:w="1977" w:type="dxa"/>
            <w:noWrap w:val="0"/>
            <w:vAlign w:val="center"/>
          </w:tcPr>
          <w:p w14:paraId="7885AC7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07D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8666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（101）柚</w:t>
            </w:r>
          </w:p>
        </w:tc>
        <w:tc>
          <w:tcPr>
            <w:tcW w:w="3969" w:type="dxa"/>
            <w:noWrap w:val="0"/>
            <w:vAlign w:val="center"/>
          </w:tcPr>
          <w:p w14:paraId="5A3ACA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Citrus maxima</w:t>
            </w:r>
          </w:p>
        </w:tc>
        <w:tc>
          <w:tcPr>
            <w:tcW w:w="1977" w:type="dxa"/>
            <w:noWrap w:val="0"/>
            <w:vAlign w:val="center"/>
          </w:tcPr>
          <w:p w14:paraId="2D6B42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50A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2EE6C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（102）柑橘</w:t>
            </w:r>
          </w:p>
        </w:tc>
        <w:tc>
          <w:tcPr>
            <w:tcW w:w="3969" w:type="dxa"/>
            <w:noWrap w:val="0"/>
            <w:vAlign w:val="center"/>
          </w:tcPr>
          <w:p w14:paraId="364144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Citrus reticulata</w:t>
            </w:r>
          </w:p>
        </w:tc>
        <w:tc>
          <w:tcPr>
            <w:tcW w:w="1977" w:type="dxa"/>
            <w:noWrap w:val="0"/>
            <w:vAlign w:val="center"/>
          </w:tcPr>
          <w:p w14:paraId="5A85A5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455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B77EA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二十六、楝科</w:t>
            </w:r>
          </w:p>
        </w:tc>
        <w:tc>
          <w:tcPr>
            <w:tcW w:w="3969" w:type="dxa"/>
            <w:noWrap w:val="0"/>
            <w:vAlign w:val="center"/>
          </w:tcPr>
          <w:p w14:paraId="2C9832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Meliaceae</w:t>
            </w:r>
          </w:p>
        </w:tc>
        <w:tc>
          <w:tcPr>
            <w:tcW w:w="1977" w:type="dxa"/>
            <w:noWrap w:val="0"/>
            <w:vAlign w:val="center"/>
          </w:tcPr>
          <w:p w14:paraId="3222D4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C0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E8DA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62.楝树属</w:t>
            </w:r>
          </w:p>
        </w:tc>
        <w:tc>
          <w:tcPr>
            <w:tcW w:w="3969" w:type="dxa"/>
            <w:noWrap w:val="0"/>
            <w:vAlign w:val="center"/>
          </w:tcPr>
          <w:p w14:paraId="152EC0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Melia</w:t>
            </w:r>
          </w:p>
        </w:tc>
        <w:tc>
          <w:tcPr>
            <w:tcW w:w="1977" w:type="dxa"/>
            <w:noWrap w:val="0"/>
            <w:vAlign w:val="center"/>
          </w:tcPr>
          <w:p w14:paraId="5CF8A7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B7B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27AF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（103）楝树</w:t>
            </w:r>
          </w:p>
        </w:tc>
        <w:tc>
          <w:tcPr>
            <w:tcW w:w="3969" w:type="dxa"/>
            <w:noWrap w:val="0"/>
            <w:vAlign w:val="center"/>
          </w:tcPr>
          <w:p w14:paraId="24086F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Melia azedarach</w:t>
            </w:r>
          </w:p>
        </w:tc>
        <w:tc>
          <w:tcPr>
            <w:tcW w:w="1977" w:type="dxa"/>
            <w:noWrap w:val="0"/>
            <w:vAlign w:val="center"/>
          </w:tcPr>
          <w:p w14:paraId="278FC3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730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F4A7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63.香椿属</w:t>
            </w:r>
          </w:p>
        </w:tc>
        <w:tc>
          <w:tcPr>
            <w:tcW w:w="3969" w:type="dxa"/>
            <w:noWrap w:val="0"/>
            <w:vAlign w:val="center"/>
          </w:tcPr>
          <w:p w14:paraId="6247A2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Toona</w:t>
            </w:r>
          </w:p>
        </w:tc>
        <w:tc>
          <w:tcPr>
            <w:tcW w:w="1977" w:type="dxa"/>
            <w:noWrap w:val="0"/>
            <w:vAlign w:val="center"/>
          </w:tcPr>
          <w:p w14:paraId="4F1517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01A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7E7F9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（104）香椿</w:t>
            </w:r>
          </w:p>
        </w:tc>
        <w:tc>
          <w:tcPr>
            <w:tcW w:w="3969" w:type="dxa"/>
            <w:noWrap w:val="0"/>
            <w:vAlign w:val="center"/>
          </w:tcPr>
          <w:p w14:paraId="455971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Toona sinensis</w:t>
            </w:r>
          </w:p>
        </w:tc>
        <w:tc>
          <w:tcPr>
            <w:tcW w:w="1977" w:type="dxa"/>
            <w:noWrap w:val="0"/>
            <w:vAlign w:val="center"/>
          </w:tcPr>
          <w:p w14:paraId="2210D8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54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20BC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二十七、远志科</w:t>
            </w:r>
          </w:p>
        </w:tc>
        <w:tc>
          <w:tcPr>
            <w:tcW w:w="3969" w:type="dxa"/>
            <w:noWrap w:val="0"/>
            <w:vAlign w:val="center"/>
          </w:tcPr>
          <w:p w14:paraId="13176B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Polygalaceae</w:t>
            </w:r>
          </w:p>
        </w:tc>
        <w:tc>
          <w:tcPr>
            <w:tcW w:w="1977" w:type="dxa"/>
            <w:noWrap w:val="0"/>
            <w:vAlign w:val="center"/>
          </w:tcPr>
          <w:p w14:paraId="46EF92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6D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5239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64.志远属</w:t>
            </w:r>
          </w:p>
        </w:tc>
        <w:tc>
          <w:tcPr>
            <w:tcW w:w="3969" w:type="dxa"/>
            <w:noWrap w:val="0"/>
            <w:vAlign w:val="center"/>
          </w:tcPr>
          <w:p w14:paraId="2B4992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Polygala</w:t>
            </w:r>
          </w:p>
        </w:tc>
        <w:tc>
          <w:tcPr>
            <w:tcW w:w="1977" w:type="dxa"/>
            <w:noWrap w:val="0"/>
            <w:vAlign w:val="center"/>
          </w:tcPr>
          <w:p w14:paraId="3558EA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84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7CFD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（105）瓜子金</w:t>
            </w:r>
          </w:p>
        </w:tc>
        <w:tc>
          <w:tcPr>
            <w:tcW w:w="3969" w:type="dxa"/>
            <w:noWrap w:val="0"/>
            <w:vAlign w:val="center"/>
          </w:tcPr>
          <w:p w14:paraId="00BEFA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Polygala japonica</w:t>
            </w:r>
          </w:p>
        </w:tc>
        <w:tc>
          <w:tcPr>
            <w:tcW w:w="1977" w:type="dxa"/>
            <w:noWrap w:val="0"/>
            <w:vAlign w:val="center"/>
          </w:tcPr>
          <w:p w14:paraId="7EA6F7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96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15AE6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二十八、大戟科</w:t>
            </w:r>
          </w:p>
        </w:tc>
        <w:tc>
          <w:tcPr>
            <w:tcW w:w="3969" w:type="dxa"/>
            <w:noWrap w:val="0"/>
            <w:vAlign w:val="center"/>
          </w:tcPr>
          <w:p w14:paraId="6D5D9A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Euphorbiaceae</w:t>
            </w:r>
          </w:p>
        </w:tc>
        <w:tc>
          <w:tcPr>
            <w:tcW w:w="1977" w:type="dxa"/>
            <w:noWrap w:val="0"/>
            <w:vAlign w:val="center"/>
          </w:tcPr>
          <w:p w14:paraId="36C407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40C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09EF3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65.铁苋菜属</w:t>
            </w:r>
          </w:p>
        </w:tc>
        <w:tc>
          <w:tcPr>
            <w:tcW w:w="3969" w:type="dxa"/>
            <w:noWrap w:val="0"/>
            <w:vAlign w:val="center"/>
          </w:tcPr>
          <w:p w14:paraId="222041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Acalypha</w:t>
            </w:r>
          </w:p>
        </w:tc>
        <w:tc>
          <w:tcPr>
            <w:tcW w:w="1977" w:type="dxa"/>
            <w:noWrap w:val="0"/>
            <w:vAlign w:val="center"/>
          </w:tcPr>
          <w:p w14:paraId="42F0A7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3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7D399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（106）铁苋菜</w:t>
            </w:r>
          </w:p>
        </w:tc>
        <w:tc>
          <w:tcPr>
            <w:tcW w:w="3969" w:type="dxa"/>
            <w:noWrap w:val="0"/>
            <w:vAlign w:val="center"/>
          </w:tcPr>
          <w:p w14:paraId="6340FC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Acalypha australis</w:t>
            </w:r>
          </w:p>
        </w:tc>
        <w:tc>
          <w:tcPr>
            <w:tcW w:w="1977" w:type="dxa"/>
            <w:noWrap w:val="0"/>
            <w:vAlign w:val="center"/>
          </w:tcPr>
          <w:p w14:paraId="4D2314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811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8097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66.大戟属</w:t>
            </w:r>
          </w:p>
        </w:tc>
        <w:tc>
          <w:tcPr>
            <w:tcW w:w="3969" w:type="dxa"/>
            <w:noWrap w:val="0"/>
            <w:vAlign w:val="center"/>
          </w:tcPr>
          <w:p w14:paraId="0F44D9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Euphorbia</w:t>
            </w:r>
          </w:p>
        </w:tc>
        <w:tc>
          <w:tcPr>
            <w:tcW w:w="1977" w:type="dxa"/>
            <w:noWrap w:val="0"/>
            <w:vAlign w:val="center"/>
          </w:tcPr>
          <w:p w14:paraId="47770B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B3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2334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（107）泽漆</w:t>
            </w:r>
          </w:p>
        </w:tc>
        <w:tc>
          <w:tcPr>
            <w:tcW w:w="3969" w:type="dxa"/>
            <w:noWrap w:val="0"/>
            <w:vAlign w:val="center"/>
          </w:tcPr>
          <w:p w14:paraId="0806B6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Euphorbia helioscopia</w:t>
            </w:r>
          </w:p>
        </w:tc>
        <w:tc>
          <w:tcPr>
            <w:tcW w:w="1977" w:type="dxa"/>
            <w:noWrap w:val="0"/>
            <w:vAlign w:val="center"/>
          </w:tcPr>
          <w:p w14:paraId="378C1A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9CC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1917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（108）大戟</w:t>
            </w:r>
          </w:p>
        </w:tc>
        <w:tc>
          <w:tcPr>
            <w:tcW w:w="3969" w:type="dxa"/>
            <w:noWrap w:val="0"/>
            <w:vAlign w:val="center"/>
          </w:tcPr>
          <w:p w14:paraId="2486BF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Euphorbia pekinensis</w:t>
            </w:r>
          </w:p>
        </w:tc>
        <w:tc>
          <w:tcPr>
            <w:tcW w:w="1977" w:type="dxa"/>
            <w:noWrap w:val="0"/>
            <w:vAlign w:val="center"/>
          </w:tcPr>
          <w:p w14:paraId="5D1EFA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2B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297CD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（109）地锦</w:t>
            </w:r>
          </w:p>
        </w:tc>
        <w:tc>
          <w:tcPr>
            <w:tcW w:w="3969" w:type="dxa"/>
            <w:noWrap w:val="0"/>
            <w:vAlign w:val="center"/>
          </w:tcPr>
          <w:p w14:paraId="35C8BC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Euphorbia humifusa</w:t>
            </w:r>
          </w:p>
        </w:tc>
        <w:tc>
          <w:tcPr>
            <w:tcW w:w="1977" w:type="dxa"/>
            <w:noWrap w:val="0"/>
            <w:vAlign w:val="center"/>
          </w:tcPr>
          <w:p w14:paraId="23E928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B9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7447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（110）斑地锦</w:t>
            </w:r>
          </w:p>
        </w:tc>
        <w:tc>
          <w:tcPr>
            <w:tcW w:w="3969" w:type="dxa"/>
            <w:noWrap w:val="0"/>
            <w:vAlign w:val="center"/>
          </w:tcPr>
          <w:p w14:paraId="008BA2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Euphorbia maculata</w:t>
            </w:r>
          </w:p>
        </w:tc>
        <w:tc>
          <w:tcPr>
            <w:tcW w:w="1977" w:type="dxa"/>
            <w:noWrap w:val="0"/>
            <w:vAlign w:val="center"/>
          </w:tcPr>
          <w:p w14:paraId="35289FC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A3F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36F0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67.叶下珠属</w:t>
            </w:r>
          </w:p>
        </w:tc>
        <w:tc>
          <w:tcPr>
            <w:tcW w:w="3969" w:type="dxa"/>
            <w:noWrap w:val="0"/>
            <w:vAlign w:val="center"/>
          </w:tcPr>
          <w:p w14:paraId="597225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Phyllanthus</w:t>
            </w:r>
          </w:p>
        </w:tc>
        <w:tc>
          <w:tcPr>
            <w:tcW w:w="1977" w:type="dxa"/>
            <w:noWrap w:val="0"/>
            <w:vAlign w:val="center"/>
          </w:tcPr>
          <w:p w14:paraId="55DD221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9A4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6EF7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（111）叶下珠</w:t>
            </w:r>
          </w:p>
        </w:tc>
        <w:tc>
          <w:tcPr>
            <w:tcW w:w="3969" w:type="dxa"/>
            <w:noWrap w:val="0"/>
            <w:vAlign w:val="center"/>
          </w:tcPr>
          <w:p w14:paraId="05E868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Phyllanthus urinaria</w:t>
            </w:r>
          </w:p>
        </w:tc>
        <w:tc>
          <w:tcPr>
            <w:tcW w:w="1977" w:type="dxa"/>
            <w:noWrap w:val="0"/>
            <w:vAlign w:val="center"/>
          </w:tcPr>
          <w:p w14:paraId="685BF9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B47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5BBEE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68.蓖麻属</w:t>
            </w:r>
          </w:p>
        </w:tc>
        <w:tc>
          <w:tcPr>
            <w:tcW w:w="3969" w:type="dxa"/>
            <w:noWrap w:val="0"/>
            <w:vAlign w:val="center"/>
          </w:tcPr>
          <w:p w14:paraId="0F732C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Ricinus</w:t>
            </w:r>
          </w:p>
        </w:tc>
        <w:tc>
          <w:tcPr>
            <w:tcW w:w="1977" w:type="dxa"/>
            <w:noWrap w:val="0"/>
            <w:vAlign w:val="center"/>
          </w:tcPr>
          <w:p w14:paraId="2C5C82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DA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C02A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（112）蓖麻</w:t>
            </w:r>
          </w:p>
        </w:tc>
        <w:tc>
          <w:tcPr>
            <w:tcW w:w="3969" w:type="dxa"/>
            <w:noWrap w:val="0"/>
            <w:vAlign w:val="center"/>
          </w:tcPr>
          <w:p w14:paraId="3043A0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Ricinus communis</w:t>
            </w:r>
          </w:p>
        </w:tc>
        <w:tc>
          <w:tcPr>
            <w:tcW w:w="1977" w:type="dxa"/>
            <w:noWrap w:val="0"/>
            <w:vAlign w:val="center"/>
          </w:tcPr>
          <w:p w14:paraId="1C7713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E9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BDA1A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69.乌桕属</w:t>
            </w:r>
          </w:p>
        </w:tc>
        <w:tc>
          <w:tcPr>
            <w:tcW w:w="3969" w:type="dxa"/>
            <w:noWrap w:val="0"/>
            <w:vAlign w:val="center"/>
          </w:tcPr>
          <w:p w14:paraId="7192EC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Sapium</w:t>
            </w:r>
          </w:p>
        </w:tc>
        <w:tc>
          <w:tcPr>
            <w:tcW w:w="1977" w:type="dxa"/>
            <w:noWrap w:val="0"/>
            <w:vAlign w:val="center"/>
          </w:tcPr>
          <w:p w14:paraId="0AEF5A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F3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720B9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（113）乌桕</w:t>
            </w:r>
          </w:p>
        </w:tc>
        <w:tc>
          <w:tcPr>
            <w:tcW w:w="3969" w:type="dxa"/>
            <w:noWrap w:val="0"/>
            <w:vAlign w:val="center"/>
          </w:tcPr>
          <w:p w14:paraId="73631CA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Sapium sebiferum</w:t>
            </w:r>
          </w:p>
        </w:tc>
        <w:tc>
          <w:tcPr>
            <w:tcW w:w="1977" w:type="dxa"/>
            <w:noWrap w:val="0"/>
            <w:vAlign w:val="center"/>
          </w:tcPr>
          <w:p w14:paraId="0E187D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61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59679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70.野桐属</w:t>
            </w:r>
          </w:p>
        </w:tc>
        <w:tc>
          <w:tcPr>
            <w:tcW w:w="3969" w:type="dxa"/>
            <w:noWrap w:val="0"/>
            <w:vAlign w:val="center"/>
          </w:tcPr>
          <w:p w14:paraId="388CF5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Mallotus</w:t>
            </w:r>
          </w:p>
        </w:tc>
        <w:tc>
          <w:tcPr>
            <w:tcW w:w="1977" w:type="dxa"/>
            <w:noWrap w:val="0"/>
            <w:vAlign w:val="center"/>
          </w:tcPr>
          <w:p w14:paraId="17D01B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5CF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F0421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（114）野桐</w:t>
            </w:r>
          </w:p>
        </w:tc>
        <w:tc>
          <w:tcPr>
            <w:tcW w:w="3969" w:type="dxa"/>
            <w:noWrap w:val="0"/>
            <w:vAlign w:val="center"/>
          </w:tcPr>
          <w:p w14:paraId="1D777D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Mallotus tenuifolius</w:t>
            </w:r>
          </w:p>
        </w:tc>
        <w:tc>
          <w:tcPr>
            <w:tcW w:w="1977" w:type="dxa"/>
            <w:noWrap w:val="0"/>
            <w:vAlign w:val="center"/>
          </w:tcPr>
          <w:p w14:paraId="1A5FD7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9C4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2F76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二十九、冬青科</w:t>
            </w:r>
          </w:p>
        </w:tc>
        <w:tc>
          <w:tcPr>
            <w:tcW w:w="3969" w:type="dxa"/>
            <w:noWrap w:val="0"/>
            <w:vAlign w:val="center"/>
          </w:tcPr>
          <w:p w14:paraId="051D5B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Aquifoliaceae</w:t>
            </w:r>
          </w:p>
        </w:tc>
        <w:tc>
          <w:tcPr>
            <w:tcW w:w="1977" w:type="dxa"/>
            <w:noWrap w:val="0"/>
            <w:vAlign w:val="center"/>
          </w:tcPr>
          <w:p w14:paraId="3D109B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325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9CBD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71.冬青属</w:t>
            </w:r>
          </w:p>
        </w:tc>
        <w:tc>
          <w:tcPr>
            <w:tcW w:w="3969" w:type="dxa"/>
            <w:noWrap w:val="0"/>
            <w:vAlign w:val="center"/>
          </w:tcPr>
          <w:p w14:paraId="7FC164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Ilex</w:t>
            </w:r>
          </w:p>
        </w:tc>
        <w:tc>
          <w:tcPr>
            <w:tcW w:w="1977" w:type="dxa"/>
            <w:noWrap w:val="0"/>
            <w:vAlign w:val="center"/>
          </w:tcPr>
          <w:p w14:paraId="6B9B09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E6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4A1F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（115）冬青</w:t>
            </w:r>
          </w:p>
        </w:tc>
        <w:tc>
          <w:tcPr>
            <w:tcW w:w="3969" w:type="dxa"/>
            <w:noWrap w:val="0"/>
            <w:vAlign w:val="center"/>
          </w:tcPr>
          <w:p w14:paraId="34F1F8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Ilex chinensis</w:t>
            </w:r>
          </w:p>
        </w:tc>
        <w:tc>
          <w:tcPr>
            <w:tcW w:w="1977" w:type="dxa"/>
            <w:noWrap w:val="0"/>
            <w:vAlign w:val="center"/>
          </w:tcPr>
          <w:p w14:paraId="514B52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AA6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4892C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三十、葡萄科</w:t>
            </w:r>
          </w:p>
        </w:tc>
        <w:tc>
          <w:tcPr>
            <w:tcW w:w="3969" w:type="dxa"/>
            <w:noWrap w:val="0"/>
            <w:vAlign w:val="center"/>
          </w:tcPr>
          <w:p w14:paraId="0BEFC4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Vitaceae</w:t>
            </w:r>
          </w:p>
        </w:tc>
        <w:tc>
          <w:tcPr>
            <w:tcW w:w="1977" w:type="dxa"/>
            <w:noWrap w:val="0"/>
            <w:vAlign w:val="center"/>
          </w:tcPr>
          <w:p w14:paraId="11ABF1E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0F0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59590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72.乌蔹莓属</w:t>
            </w:r>
          </w:p>
        </w:tc>
        <w:tc>
          <w:tcPr>
            <w:tcW w:w="3969" w:type="dxa"/>
            <w:noWrap w:val="0"/>
            <w:vAlign w:val="center"/>
          </w:tcPr>
          <w:p w14:paraId="7BD0633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Cayratia</w:t>
            </w:r>
          </w:p>
        </w:tc>
        <w:tc>
          <w:tcPr>
            <w:tcW w:w="1977" w:type="dxa"/>
            <w:noWrap w:val="0"/>
            <w:vAlign w:val="center"/>
          </w:tcPr>
          <w:p w14:paraId="22D1FA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C5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2110C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（116）乌蔹莓</w:t>
            </w:r>
          </w:p>
        </w:tc>
        <w:tc>
          <w:tcPr>
            <w:tcW w:w="3969" w:type="dxa"/>
            <w:noWrap w:val="0"/>
            <w:vAlign w:val="center"/>
          </w:tcPr>
          <w:p w14:paraId="44E3FC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Cayratia japonica</w:t>
            </w:r>
          </w:p>
        </w:tc>
        <w:tc>
          <w:tcPr>
            <w:tcW w:w="1977" w:type="dxa"/>
            <w:noWrap w:val="0"/>
            <w:vAlign w:val="center"/>
          </w:tcPr>
          <w:p w14:paraId="4BD195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B77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45EA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三十一、椴树科</w:t>
            </w:r>
          </w:p>
        </w:tc>
        <w:tc>
          <w:tcPr>
            <w:tcW w:w="3969" w:type="dxa"/>
            <w:noWrap w:val="0"/>
            <w:vAlign w:val="center"/>
          </w:tcPr>
          <w:p w14:paraId="3B2042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Tiliaceae</w:t>
            </w:r>
          </w:p>
        </w:tc>
        <w:tc>
          <w:tcPr>
            <w:tcW w:w="1977" w:type="dxa"/>
            <w:noWrap w:val="0"/>
            <w:vAlign w:val="center"/>
          </w:tcPr>
          <w:p w14:paraId="5432CE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BE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89FE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73.刺蒴麻属</w:t>
            </w:r>
          </w:p>
        </w:tc>
        <w:tc>
          <w:tcPr>
            <w:tcW w:w="3969" w:type="dxa"/>
            <w:noWrap w:val="0"/>
            <w:vAlign w:val="center"/>
          </w:tcPr>
          <w:p w14:paraId="03F606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Triumfetta</w:t>
            </w:r>
          </w:p>
        </w:tc>
        <w:tc>
          <w:tcPr>
            <w:tcW w:w="1977" w:type="dxa"/>
            <w:noWrap w:val="0"/>
            <w:vAlign w:val="center"/>
          </w:tcPr>
          <w:p w14:paraId="182E51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DA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CCDE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（117）单毛刺蒴麻</w:t>
            </w:r>
          </w:p>
        </w:tc>
        <w:tc>
          <w:tcPr>
            <w:tcW w:w="3969" w:type="dxa"/>
            <w:noWrap w:val="0"/>
            <w:vAlign w:val="center"/>
          </w:tcPr>
          <w:p w14:paraId="7DC845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Triumfetta annua</w:t>
            </w:r>
          </w:p>
        </w:tc>
        <w:tc>
          <w:tcPr>
            <w:tcW w:w="1977" w:type="dxa"/>
            <w:noWrap w:val="0"/>
            <w:vAlign w:val="center"/>
          </w:tcPr>
          <w:p w14:paraId="576BC2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A0C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3216C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三十二、锦葵科</w:t>
            </w:r>
          </w:p>
        </w:tc>
        <w:tc>
          <w:tcPr>
            <w:tcW w:w="3969" w:type="dxa"/>
            <w:noWrap w:val="0"/>
            <w:vAlign w:val="center"/>
          </w:tcPr>
          <w:p w14:paraId="701ADC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Malvaceae</w:t>
            </w:r>
          </w:p>
        </w:tc>
        <w:tc>
          <w:tcPr>
            <w:tcW w:w="1977" w:type="dxa"/>
            <w:noWrap w:val="0"/>
            <w:vAlign w:val="center"/>
          </w:tcPr>
          <w:p w14:paraId="63AB63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40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B21FB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74.苘麻属</w:t>
            </w:r>
          </w:p>
        </w:tc>
        <w:tc>
          <w:tcPr>
            <w:tcW w:w="3969" w:type="dxa"/>
            <w:noWrap w:val="0"/>
            <w:vAlign w:val="center"/>
          </w:tcPr>
          <w:p w14:paraId="18A0A8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Abutilon</w:t>
            </w:r>
          </w:p>
        </w:tc>
        <w:tc>
          <w:tcPr>
            <w:tcW w:w="1977" w:type="dxa"/>
            <w:noWrap w:val="0"/>
            <w:vAlign w:val="center"/>
          </w:tcPr>
          <w:p w14:paraId="6F6064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82B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BE93E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（118）苘麻</w:t>
            </w:r>
          </w:p>
        </w:tc>
        <w:tc>
          <w:tcPr>
            <w:tcW w:w="3969" w:type="dxa"/>
            <w:noWrap w:val="0"/>
            <w:vAlign w:val="center"/>
          </w:tcPr>
          <w:p w14:paraId="3C8CB7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Abutilon theophrasti</w:t>
            </w:r>
          </w:p>
        </w:tc>
        <w:tc>
          <w:tcPr>
            <w:tcW w:w="1977" w:type="dxa"/>
            <w:noWrap w:val="0"/>
            <w:vAlign w:val="center"/>
          </w:tcPr>
          <w:p w14:paraId="23AACB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AB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465D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75.木槿属</w:t>
            </w:r>
          </w:p>
        </w:tc>
        <w:tc>
          <w:tcPr>
            <w:tcW w:w="3969" w:type="dxa"/>
            <w:noWrap w:val="0"/>
            <w:vAlign w:val="center"/>
          </w:tcPr>
          <w:p w14:paraId="3CE340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Hibiscus</w:t>
            </w:r>
          </w:p>
        </w:tc>
        <w:tc>
          <w:tcPr>
            <w:tcW w:w="1977" w:type="dxa"/>
            <w:noWrap w:val="0"/>
            <w:vAlign w:val="center"/>
          </w:tcPr>
          <w:p w14:paraId="50469A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8D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F8A3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（119）木槿</w:t>
            </w:r>
          </w:p>
        </w:tc>
        <w:tc>
          <w:tcPr>
            <w:tcW w:w="3969" w:type="dxa"/>
            <w:noWrap w:val="0"/>
            <w:vAlign w:val="center"/>
          </w:tcPr>
          <w:p w14:paraId="06BB9D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Hibiscus syriacus</w:t>
            </w:r>
          </w:p>
        </w:tc>
        <w:tc>
          <w:tcPr>
            <w:tcW w:w="1977" w:type="dxa"/>
            <w:noWrap w:val="0"/>
            <w:vAlign w:val="center"/>
          </w:tcPr>
          <w:p w14:paraId="447889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059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AD56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三十三、山茶科</w:t>
            </w:r>
          </w:p>
        </w:tc>
        <w:tc>
          <w:tcPr>
            <w:tcW w:w="3969" w:type="dxa"/>
            <w:noWrap w:val="0"/>
            <w:vAlign w:val="center"/>
          </w:tcPr>
          <w:p w14:paraId="44E5DA5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Theaceae</w:t>
            </w:r>
          </w:p>
        </w:tc>
        <w:tc>
          <w:tcPr>
            <w:tcW w:w="1977" w:type="dxa"/>
            <w:noWrap w:val="0"/>
            <w:vAlign w:val="center"/>
          </w:tcPr>
          <w:p w14:paraId="5259FC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F8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708E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76.山茶属</w:t>
            </w:r>
          </w:p>
        </w:tc>
        <w:tc>
          <w:tcPr>
            <w:tcW w:w="3969" w:type="dxa"/>
            <w:noWrap w:val="0"/>
            <w:vAlign w:val="center"/>
          </w:tcPr>
          <w:p w14:paraId="7D378B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Camellia</w:t>
            </w:r>
          </w:p>
        </w:tc>
        <w:tc>
          <w:tcPr>
            <w:tcW w:w="1977" w:type="dxa"/>
            <w:noWrap w:val="0"/>
            <w:vAlign w:val="center"/>
          </w:tcPr>
          <w:p w14:paraId="49B817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AE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DCF2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（120）油茶</w:t>
            </w:r>
          </w:p>
        </w:tc>
        <w:tc>
          <w:tcPr>
            <w:tcW w:w="3969" w:type="dxa"/>
            <w:noWrap w:val="0"/>
            <w:vAlign w:val="center"/>
          </w:tcPr>
          <w:p w14:paraId="567E50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Camellia oleifera</w:t>
            </w:r>
          </w:p>
        </w:tc>
        <w:tc>
          <w:tcPr>
            <w:tcW w:w="1977" w:type="dxa"/>
            <w:noWrap w:val="0"/>
            <w:vAlign w:val="center"/>
          </w:tcPr>
          <w:p w14:paraId="5F67D1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5B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D668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（121）茶</w:t>
            </w:r>
          </w:p>
        </w:tc>
        <w:tc>
          <w:tcPr>
            <w:tcW w:w="3969" w:type="dxa"/>
            <w:noWrap w:val="0"/>
            <w:vAlign w:val="center"/>
          </w:tcPr>
          <w:p w14:paraId="49E637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Camellia sinensis</w:t>
            </w:r>
          </w:p>
        </w:tc>
        <w:tc>
          <w:tcPr>
            <w:tcW w:w="1977" w:type="dxa"/>
            <w:noWrap w:val="0"/>
            <w:vAlign w:val="center"/>
          </w:tcPr>
          <w:p w14:paraId="13735A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62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E797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77.柃属</w:t>
            </w:r>
          </w:p>
        </w:tc>
        <w:tc>
          <w:tcPr>
            <w:tcW w:w="3969" w:type="dxa"/>
            <w:noWrap w:val="0"/>
            <w:vAlign w:val="center"/>
          </w:tcPr>
          <w:p w14:paraId="6CC65E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Eurya</w:t>
            </w:r>
          </w:p>
        </w:tc>
        <w:tc>
          <w:tcPr>
            <w:tcW w:w="1977" w:type="dxa"/>
            <w:noWrap w:val="0"/>
            <w:vAlign w:val="center"/>
          </w:tcPr>
          <w:p w14:paraId="678C2B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91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91583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（122）柃木</w:t>
            </w:r>
          </w:p>
        </w:tc>
        <w:tc>
          <w:tcPr>
            <w:tcW w:w="3969" w:type="dxa"/>
            <w:noWrap w:val="0"/>
            <w:vAlign w:val="center"/>
          </w:tcPr>
          <w:p w14:paraId="7E3117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Eurya japonica</w:t>
            </w:r>
          </w:p>
        </w:tc>
        <w:tc>
          <w:tcPr>
            <w:tcW w:w="1977" w:type="dxa"/>
            <w:noWrap w:val="0"/>
            <w:vAlign w:val="center"/>
          </w:tcPr>
          <w:p w14:paraId="31657F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05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85FE7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三十四、堇菜科</w:t>
            </w:r>
          </w:p>
        </w:tc>
        <w:tc>
          <w:tcPr>
            <w:tcW w:w="3969" w:type="dxa"/>
            <w:noWrap w:val="0"/>
            <w:vAlign w:val="center"/>
          </w:tcPr>
          <w:p w14:paraId="79F559E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Violaceae</w:t>
            </w:r>
          </w:p>
        </w:tc>
        <w:tc>
          <w:tcPr>
            <w:tcW w:w="1977" w:type="dxa"/>
            <w:noWrap w:val="0"/>
            <w:vAlign w:val="center"/>
          </w:tcPr>
          <w:p w14:paraId="1FA9B1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45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F42C5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78.堇菜属</w:t>
            </w:r>
          </w:p>
        </w:tc>
        <w:tc>
          <w:tcPr>
            <w:tcW w:w="3969" w:type="dxa"/>
            <w:noWrap w:val="0"/>
            <w:vAlign w:val="center"/>
          </w:tcPr>
          <w:p w14:paraId="0BC0FE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w:t>
            </w:r>
          </w:p>
        </w:tc>
        <w:tc>
          <w:tcPr>
            <w:tcW w:w="1977" w:type="dxa"/>
            <w:noWrap w:val="0"/>
            <w:vAlign w:val="center"/>
          </w:tcPr>
          <w:p w14:paraId="0ED5A9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BA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1792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（123）蔓茎堇菜</w:t>
            </w:r>
          </w:p>
        </w:tc>
        <w:tc>
          <w:tcPr>
            <w:tcW w:w="3969" w:type="dxa"/>
            <w:noWrap w:val="0"/>
            <w:vAlign w:val="center"/>
          </w:tcPr>
          <w:p w14:paraId="59FAFC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 diffusa</w:t>
            </w:r>
          </w:p>
        </w:tc>
        <w:tc>
          <w:tcPr>
            <w:tcW w:w="1977" w:type="dxa"/>
            <w:noWrap w:val="0"/>
            <w:vAlign w:val="center"/>
          </w:tcPr>
          <w:p w14:paraId="0C2E69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07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6939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（124）紫花堇菜</w:t>
            </w:r>
          </w:p>
        </w:tc>
        <w:tc>
          <w:tcPr>
            <w:tcW w:w="3969" w:type="dxa"/>
            <w:noWrap w:val="0"/>
            <w:vAlign w:val="center"/>
          </w:tcPr>
          <w:p w14:paraId="6F2A16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Viloa grypoceras</w:t>
            </w:r>
          </w:p>
        </w:tc>
        <w:tc>
          <w:tcPr>
            <w:tcW w:w="1977" w:type="dxa"/>
            <w:noWrap w:val="0"/>
            <w:vAlign w:val="center"/>
          </w:tcPr>
          <w:p w14:paraId="15A57A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B6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1046A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（125）犁头叶堇菜</w:t>
            </w:r>
          </w:p>
        </w:tc>
        <w:tc>
          <w:tcPr>
            <w:tcW w:w="3969" w:type="dxa"/>
            <w:noWrap w:val="0"/>
            <w:vAlign w:val="center"/>
          </w:tcPr>
          <w:p w14:paraId="3CF982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 magnifica</w:t>
            </w:r>
          </w:p>
        </w:tc>
        <w:tc>
          <w:tcPr>
            <w:tcW w:w="1977" w:type="dxa"/>
            <w:noWrap w:val="0"/>
            <w:vAlign w:val="center"/>
          </w:tcPr>
          <w:p w14:paraId="463310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DB4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B416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（126）紫花地丁</w:t>
            </w:r>
          </w:p>
        </w:tc>
        <w:tc>
          <w:tcPr>
            <w:tcW w:w="3969" w:type="dxa"/>
            <w:noWrap w:val="0"/>
            <w:vAlign w:val="center"/>
          </w:tcPr>
          <w:p w14:paraId="78D9A59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 philippica</w:t>
            </w:r>
          </w:p>
        </w:tc>
        <w:tc>
          <w:tcPr>
            <w:tcW w:w="1977" w:type="dxa"/>
            <w:noWrap w:val="0"/>
            <w:vAlign w:val="center"/>
          </w:tcPr>
          <w:p w14:paraId="64B342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E59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E928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（127）柔毛堇菜</w:t>
            </w:r>
          </w:p>
        </w:tc>
        <w:tc>
          <w:tcPr>
            <w:tcW w:w="3969" w:type="dxa"/>
            <w:noWrap w:val="0"/>
            <w:vAlign w:val="center"/>
          </w:tcPr>
          <w:p w14:paraId="6B9E04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 principis</w:t>
            </w:r>
          </w:p>
        </w:tc>
        <w:tc>
          <w:tcPr>
            <w:tcW w:w="1977" w:type="dxa"/>
            <w:noWrap w:val="0"/>
            <w:vAlign w:val="center"/>
          </w:tcPr>
          <w:p w14:paraId="475329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50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F1D47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（128）三角堇菜</w:t>
            </w:r>
          </w:p>
        </w:tc>
        <w:tc>
          <w:tcPr>
            <w:tcW w:w="3969" w:type="dxa"/>
            <w:noWrap w:val="0"/>
            <w:vAlign w:val="center"/>
          </w:tcPr>
          <w:p w14:paraId="245201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Viola trangulifolia</w:t>
            </w:r>
          </w:p>
        </w:tc>
        <w:tc>
          <w:tcPr>
            <w:tcW w:w="1977" w:type="dxa"/>
            <w:noWrap w:val="0"/>
            <w:vAlign w:val="center"/>
          </w:tcPr>
          <w:p w14:paraId="2A4488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C4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9349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四十五、菱科</w:t>
            </w:r>
          </w:p>
        </w:tc>
        <w:tc>
          <w:tcPr>
            <w:tcW w:w="3969" w:type="dxa"/>
            <w:noWrap w:val="0"/>
            <w:vAlign w:val="center"/>
          </w:tcPr>
          <w:p w14:paraId="674CCD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Trapaceae</w:t>
            </w:r>
          </w:p>
        </w:tc>
        <w:tc>
          <w:tcPr>
            <w:tcW w:w="1977" w:type="dxa"/>
            <w:noWrap w:val="0"/>
            <w:vAlign w:val="center"/>
          </w:tcPr>
          <w:p w14:paraId="216DEF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B89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696E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79.菱属</w:t>
            </w:r>
          </w:p>
        </w:tc>
        <w:tc>
          <w:tcPr>
            <w:tcW w:w="3969" w:type="dxa"/>
            <w:noWrap w:val="0"/>
            <w:vAlign w:val="center"/>
          </w:tcPr>
          <w:p w14:paraId="1EA64BA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Trapa</w:t>
            </w:r>
          </w:p>
        </w:tc>
        <w:tc>
          <w:tcPr>
            <w:tcW w:w="1977" w:type="dxa"/>
            <w:noWrap w:val="0"/>
            <w:vAlign w:val="center"/>
          </w:tcPr>
          <w:p w14:paraId="4F6701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4E8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972F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（129）菱</w:t>
            </w:r>
          </w:p>
        </w:tc>
        <w:tc>
          <w:tcPr>
            <w:tcW w:w="3969" w:type="dxa"/>
            <w:noWrap w:val="0"/>
            <w:vAlign w:val="center"/>
          </w:tcPr>
          <w:p w14:paraId="346CB9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Trapa bispinosa</w:t>
            </w:r>
          </w:p>
        </w:tc>
        <w:tc>
          <w:tcPr>
            <w:tcW w:w="1977" w:type="dxa"/>
            <w:noWrap w:val="0"/>
            <w:vAlign w:val="center"/>
          </w:tcPr>
          <w:p w14:paraId="6D0EB7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32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CDF7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四十六、柳叶菜科</w:t>
            </w:r>
          </w:p>
        </w:tc>
        <w:tc>
          <w:tcPr>
            <w:tcW w:w="3969" w:type="dxa"/>
            <w:noWrap w:val="0"/>
            <w:vAlign w:val="center"/>
          </w:tcPr>
          <w:p w14:paraId="29E061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Onagraceae</w:t>
            </w:r>
          </w:p>
        </w:tc>
        <w:tc>
          <w:tcPr>
            <w:tcW w:w="1977" w:type="dxa"/>
            <w:noWrap w:val="0"/>
            <w:vAlign w:val="center"/>
          </w:tcPr>
          <w:p w14:paraId="2F2DF8B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74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896C9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80.柳叶菜属</w:t>
            </w:r>
          </w:p>
        </w:tc>
        <w:tc>
          <w:tcPr>
            <w:tcW w:w="3969" w:type="dxa"/>
            <w:noWrap w:val="0"/>
            <w:vAlign w:val="center"/>
          </w:tcPr>
          <w:p w14:paraId="18AA69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Epilobium</w:t>
            </w:r>
          </w:p>
        </w:tc>
        <w:tc>
          <w:tcPr>
            <w:tcW w:w="1977" w:type="dxa"/>
            <w:noWrap w:val="0"/>
            <w:vAlign w:val="center"/>
          </w:tcPr>
          <w:p w14:paraId="416C0E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A9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4439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（130）柳叶菜</w:t>
            </w:r>
          </w:p>
        </w:tc>
        <w:tc>
          <w:tcPr>
            <w:tcW w:w="3969" w:type="dxa"/>
            <w:noWrap w:val="0"/>
            <w:vAlign w:val="center"/>
          </w:tcPr>
          <w:p w14:paraId="2658B6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Epilobium hirsutum</w:t>
            </w:r>
          </w:p>
        </w:tc>
        <w:tc>
          <w:tcPr>
            <w:tcW w:w="1977" w:type="dxa"/>
            <w:noWrap w:val="0"/>
            <w:vAlign w:val="center"/>
          </w:tcPr>
          <w:p w14:paraId="255AD7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55F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B99DF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（131）长籽柳叶菜</w:t>
            </w:r>
          </w:p>
        </w:tc>
        <w:tc>
          <w:tcPr>
            <w:tcW w:w="3969" w:type="dxa"/>
            <w:noWrap w:val="0"/>
            <w:vAlign w:val="center"/>
          </w:tcPr>
          <w:p w14:paraId="2BA9FA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Epilobium pyrricholophum</w:t>
            </w:r>
          </w:p>
        </w:tc>
        <w:tc>
          <w:tcPr>
            <w:tcW w:w="1977" w:type="dxa"/>
            <w:noWrap w:val="0"/>
            <w:vAlign w:val="center"/>
          </w:tcPr>
          <w:p w14:paraId="1EC311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A1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BF56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81.丁香蓼属</w:t>
            </w:r>
          </w:p>
        </w:tc>
        <w:tc>
          <w:tcPr>
            <w:tcW w:w="3969" w:type="dxa"/>
            <w:noWrap w:val="0"/>
            <w:vAlign w:val="center"/>
          </w:tcPr>
          <w:p w14:paraId="5D75AF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Ludwigia</w:t>
            </w:r>
          </w:p>
        </w:tc>
        <w:tc>
          <w:tcPr>
            <w:tcW w:w="1977" w:type="dxa"/>
            <w:noWrap w:val="0"/>
            <w:vAlign w:val="center"/>
          </w:tcPr>
          <w:p w14:paraId="14A333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B7A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B58B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（132）假柳叶菜</w:t>
            </w:r>
          </w:p>
        </w:tc>
        <w:tc>
          <w:tcPr>
            <w:tcW w:w="3969" w:type="dxa"/>
            <w:noWrap w:val="0"/>
            <w:vAlign w:val="center"/>
          </w:tcPr>
          <w:p w14:paraId="526E62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Ludwigia epilobioides</w:t>
            </w:r>
          </w:p>
        </w:tc>
        <w:tc>
          <w:tcPr>
            <w:tcW w:w="1977" w:type="dxa"/>
            <w:noWrap w:val="0"/>
            <w:vAlign w:val="center"/>
          </w:tcPr>
          <w:p w14:paraId="73E3B4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77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8A26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（133）卵叶丁香蓼</w:t>
            </w:r>
          </w:p>
        </w:tc>
        <w:tc>
          <w:tcPr>
            <w:tcW w:w="3969" w:type="dxa"/>
            <w:noWrap w:val="0"/>
            <w:vAlign w:val="center"/>
          </w:tcPr>
          <w:p w14:paraId="512163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Ludwigia ovalis</w:t>
            </w:r>
          </w:p>
        </w:tc>
        <w:tc>
          <w:tcPr>
            <w:tcW w:w="1977" w:type="dxa"/>
            <w:noWrap w:val="0"/>
            <w:vAlign w:val="center"/>
          </w:tcPr>
          <w:p w14:paraId="35D81A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8B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68397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四十七、伞形科</w:t>
            </w:r>
          </w:p>
        </w:tc>
        <w:tc>
          <w:tcPr>
            <w:tcW w:w="3969" w:type="dxa"/>
            <w:noWrap w:val="0"/>
            <w:vAlign w:val="center"/>
          </w:tcPr>
          <w:p w14:paraId="678B59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Umbelliferae</w:t>
            </w:r>
          </w:p>
        </w:tc>
        <w:tc>
          <w:tcPr>
            <w:tcW w:w="1977" w:type="dxa"/>
            <w:noWrap w:val="0"/>
            <w:vAlign w:val="center"/>
          </w:tcPr>
          <w:p w14:paraId="5AEF5E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88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AA77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82.积雪草属</w:t>
            </w:r>
          </w:p>
        </w:tc>
        <w:tc>
          <w:tcPr>
            <w:tcW w:w="3969" w:type="dxa"/>
            <w:noWrap w:val="0"/>
            <w:vAlign w:val="center"/>
          </w:tcPr>
          <w:p w14:paraId="0B759E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Centella</w:t>
            </w:r>
          </w:p>
        </w:tc>
        <w:tc>
          <w:tcPr>
            <w:tcW w:w="1977" w:type="dxa"/>
            <w:noWrap w:val="0"/>
            <w:vAlign w:val="center"/>
          </w:tcPr>
          <w:p w14:paraId="757418E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D7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CF4B1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（134）积雪草</w:t>
            </w:r>
          </w:p>
        </w:tc>
        <w:tc>
          <w:tcPr>
            <w:tcW w:w="3969" w:type="dxa"/>
            <w:noWrap w:val="0"/>
            <w:vAlign w:val="center"/>
          </w:tcPr>
          <w:p w14:paraId="69CA69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Centella asiatica</w:t>
            </w:r>
          </w:p>
        </w:tc>
        <w:tc>
          <w:tcPr>
            <w:tcW w:w="1977" w:type="dxa"/>
            <w:noWrap w:val="0"/>
            <w:vAlign w:val="center"/>
          </w:tcPr>
          <w:p w14:paraId="3F1762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8B7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4C94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83.蛇床属</w:t>
            </w:r>
          </w:p>
        </w:tc>
        <w:tc>
          <w:tcPr>
            <w:tcW w:w="3969" w:type="dxa"/>
            <w:noWrap w:val="0"/>
            <w:vAlign w:val="center"/>
          </w:tcPr>
          <w:p w14:paraId="7B0DC6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Cnidium</w:t>
            </w:r>
          </w:p>
        </w:tc>
        <w:tc>
          <w:tcPr>
            <w:tcW w:w="1977" w:type="dxa"/>
            <w:noWrap w:val="0"/>
            <w:vAlign w:val="center"/>
          </w:tcPr>
          <w:p w14:paraId="73E689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5E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FF46B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（135）蛇床</w:t>
            </w:r>
          </w:p>
        </w:tc>
        <w:tc>
          <w:tcPr>
            <w:tcW w:w="3969" w:type="dxa"/>
            <w:noWrap w:val="0"/>
            <w:vAlign w:val="center"/>
          </w:tcPr>
          <w:p w14:paraId="7C44FA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Cnidium monnieri</w:t>
            </w:r>
          </w:p>
        </w:tc>
        <w:tc>
          <w:tcPr>
            <w:tcW w:w="1977" w:type="dxa"/>
            <w:noWrap w:val="0"/>
            <w:vAlign w:val="center"/>
          </w:tcPr>
          <w:p w14:paraId="242A13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CD7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B8438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84.鸭儿芹属</w:t>
            </w:r>
          </w:p>
        </w:tc>
        <w:tc>
          <w:tcPr>
            <w:tcW w:w="3969" w:type="dxa"/>
            <w:noWrap w:val="0"/>
            <w:vAlign w:val="center"/>
          </w:tcPr>
          <w:p w14:paraId="436DE7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Cryptotaenia</w:t>
            </w:r>
          </w:p>
        </w:tc>
        <w:tc>
          <w:tcPr>
            <w:tcW w:w="1977" w:type="dxa"/>
            <w:noWrap w:val="0"/>
            <w:vAlign w:val="center"/>
          </w:tcPr>
          <w:p w14:paraId="02B8F2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15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C2A9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（136）鸭儿芹</w:t>
            </w:r>
          </w:p>
        </w:tc>
        <w:tc>
          <w:tcPr>
            <w:tcW w:w="3969" w:type="dxa"/>
            <w:noWrap w:val="0"/>
            <w:vAlign w:val="center"/>
          </w:tcPr>
          <w:p w14:paraId="5F996E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Cryptotaenia japonica</w:t>
            </w:r>
          </w:p>
        </w:tc>
        <w:tc>
          <w:tcPr>
            <w:tcW w:w="1977" w:type="dxa"/>
            <w:noWrap w:val="0"/>
            <w:vAlign w:val="center"/>
          </w:tcPr>
          <w:p w14:paraId="47455E7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A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6CDA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85.胡萝卜属</w:t>
            </w:r>
          </w:p>
        </w:tc>
        <w:tc>
          <w:tcPr>
            <w:tcW w:w="3969" w:type="dxa"/>
            <w:noWrap w:val="0"/>
            <w:vAlign w:val="center"/>
          </w:tcPr>
          <w:p w14:paraId="06D4D7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Daucus</w:t>
            </w:r>
          </w:p>
        </w:tc>
        <w:tc>
          <w:tcPr>
            <w:tcW w:w="1977" w:type="dxa"/>
            <w:noWrap w:val="0"/>
            <w:vAlign w:val="center"/>
          </w:tcPr>
          <w:p w14:paraId="7C036B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0B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F3104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（137）野胡萝卜</w:t>
            </w:r>
          </w:p>
        </w:tc>
        <w:tc>
          <w:tcPr>
            <w:tcW w:w="3969" w:type="dxa"/>
            <w:noWrap w:val="0"/>
            <w:vAlign w:val="center"/>
          </w:tcPr>
          <w:p w14:paraId="76A67A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Daucus carota</w:t>
            </w:r>
          </w:p>
        </w:tc>
        <w:tc>
          <w:tcPr>
            <w:tcW w:w="1977" w:type="dxa"/>
            <w:noWrap w:val="0"/>
            <w:vAlign w:val="center"/>
          </w:tcPr>
          <w:p w14:paraId="4F5DCE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5C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08569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86.天胡荽属</w:t>
            </w:r>
          </w:p>
        </w:tc>
        <w:tc>
          <w:tcPr>
            <w:tcW w:w="3969" w:type="dxa"/>
            <w:noWrap w:val="0"/>
            <w:vAlign w:val="center"/>
          </w:tcPr>
          <w:p w14:paraId="4EADA3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Hydrocotyle</w:t>
            </w:r>
          </w:p>
        </w:tc>
        <w:tc>
          <w:tcPr>
            <w:tcW w:w="1977" w:type="dxa"/>
            <w:noWrap w:val="0"/>
            <w:vAlign w:val="center"/>
          </w:tcPr>
          <w:p w14:paraId="00EF22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B7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F6FB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（138）天胡荽</w:t>
            </w:r>
          </w:p>
        </w:tc>
        <w:tc>
          <w:tcPr>
            <w:tcW w:w="3969" w:type="dxa"/>
            <w:noWrap w:val="0"/>
            <w:vAlign w:val="center"/>
          </w:tcPr>
          <w:p w14:paraId="1DD9EF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Hydrocotyle chinensis</w:t>
            </w:r>
          </w:p>
        </w:tc>
        <w:tc>
          <w:tcPr>
            <w:tcW w:w="1977" w:type="dxa"/>
            <w:noWrap w:val="0"/>
            <w:vAlign w:val="center"/>
          </w:tcPr>
          <w:p w14:paraId="5E649C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92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1AF5E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（139）破铜钱</w:t>
            </w:r>
          </w:p>
        </w:tc>
        <w:tc>
          <w:tcPr>
            <w:tcW w:w="3969" w:type="dxa"/>
            <w:noWrap w:val="0"/>
            <w:vAlign w:val="center"/>
          </w:tcPr>
          <w:p w14:paraId="779959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Hydrocotyle sibthorpioides</w:t>
            </w:r>
          </w:p>
        </w:tc>
        <w:tc>
          <w:tcPr>
            <w:tcW w:w="1977" w:type="dxa"/>
            <w:noWrap w:val="0"/>
            <w:vAlign w:val="center"/>
          </w:tcPr>
          <w:p w14:paraId="51140D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2E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BA67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87.水芹属</w:t>
            </w:r>
          </w:p>
        </w:tc>
        <w:tc>
          <w:tcPr>
            <w:tcW w:w="3969" w:type="dxa"/>
            <w:noWrap w:val="0"/>
            <w:vAlign w:val="center"/>
          </w:tcPr>
          <w:p w14:paraId="4DB74B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Oenanthe</w:t>
            </w:r>
          </w:p>
        </w:tc>
        <w:tc>
          <w:tcPr>
            <w:tcW w:w="1977" w:type="dxa"/>
            <w:noWrap w:val="0"/>
            <w:vAlign w:val="center"/>
          </w:tcPr>
          <w:p w14:paraId="025EF2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6A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0B21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（140）中华水芹</w:t>
            </w:r>
          </w:p>
        </w:tc>
        <w:tc>
          <w:tcPr>
            <w:tcW w:w="3969" w:type="dxa"/>
            <w:noWrap w:val="0"/>
            <w:vAlign w:val="center"/>
          </w:tcPr>
          <w:p w14:paraId="532E6E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Oenanthe linearis</w:t>
            </w:r>
          </w:p>
        </w:tc>
        <w:tc>
          <w:tcPr>
            <w:tcW w:w="1977" w:type="dxa"/>
            <w:noWrap w:val="0"/>
            <w:vAlign w:val="center"/>
          </w:tcPr>
          <w:p w14:paraId="4EEE418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DA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E8B0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（141）水芹</w:t>
            </w:r>
          </w:p>
        </w:tc>
        <w:tc>
          <w:tcPr>
            <w:tcW w:w="3969" w:type="dxa"/>
            <w:noWrap w:val="0"/>
            <w:vAlign w:val="center"/>
          </w:tcPr>
          <w:p w14:paraId="330B9AC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Oenanthe javanica</w:t>
            </w:r>
          </w:p>
        </w:tc>
        <w:tc>
          <w:tcPr>
            <w:tcW w:w="1977" w:type="dxa"/>
            <w:noWrap w:val="0"/>
            <w:vAlign w:val="center"/>
          </w:tcPr>
          <w:p w14:paraId="1FD357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C3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5CC4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（142）西南水芹</w:t>
            </w:r>
          </w:p>
        </w:tc>
        <w:tc>
          <w:tcPr>
            <w:tcW w:w="3969" w:type="dxa"/>
            <w:noWrap w:val="0"/>
            <w:vAlign w:val="center"/>
          </w:tcPr>
          <w:p w14:paraId="65293A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Oenanthe dielsii</w:t>
            </w:r>
          </w:p>
        </w:tc>
        <w:tc>
          <w:tcPr>
            <w:tcW w:w="1977" w:type="dxa"/>
            <w:noWrap w:val="0"/>
            <w:vAlign w:val="center"/>
          </w:tcPr>
          <w:p w14:paraId="41CC0C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085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1BE53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88.窃衣属</w:t>
            </w:r>
          </w:p>
        </w:tc>
        <w:tc>
          <w:tcPr>
            <w:tcW w:w="3969" w:type="dxa"/>
            <w:noWrap w:val="0"/>
            <w:vAlign w:val="center"/>
          </w:tcPr>
          <w:p w14:paraId="535874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Torilis</w:t>
            </w:r>
          </w:p>
        </w:tc>
        <w:tc>
          <w:tcPr>
            <w:tcW w:w="1977" w:type="dxa"/>
            <w:noWrap w:val="0"/>
            <w:vAlign w:val="center"/>
          </w:tcPr>
          <w:p w14:paraId="7C9448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11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765FF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（143）窃衣</w:t>
            </w:r>
          </w:p>
        </w:tc>
        <w:tc>
          <w:tcPr>
            <w:tcW w:w="3969" w:type="dxa"/>
            <w:noWrap w:val="0"/>
            <w:vAlign w:val="center"/>
          </w:tcPr>
          <w:p w14:paraId="0F46BC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Torilis scabra</w:t>
            </w:r>
          </w:p>
        </w:tc>
        <w:tc>
          <w:tcPr>
            <w:tcW w:w="1977" w:type="dxa"/>
            <w:noWrap w:val="0"/>
            <w:vAlign w:val="center"/>
          </w:tcPr>
          <w:p w14:paraId="605A4F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93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603D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四十八、报春花科</w:t>
            </w:r>
          </w:p>
        </w:tc>
        <w:tc>
          <w:tcPr>
            <w:tcW w:w="3969" w:type="dxa"/>
            <w:noWrap w:val="0"/>
            <w:vAlign w:val="center"/>
          </w:tcPr>
          <w:p w14:paraId="78A6D3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Primulaceae</w:t>
            </w:r>
          </w:p>
        </w:tc>
        <w:tc>
          <w:tcPr>
            <w:tcW w:w="1977" w:type="dxa"/>
            <w:noWrap w:val="0"/>
            <w:vAlign w:val="center"/>
          </w:tcPr>
          <w:p w14:paraId="61C673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18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D06D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89.珍珠菜属</w:t>
            </w:r>
          </w:p>
        </w:tc>
        <w:tc>
          <w:tcPr>
            <w:tcW w:w="3969" w:type="dxa"/>
            <w:noWrap w:val="0"/>
            <w:vAlign w:val="center"/>
          </w:tcPr>
          <w:p w14:paraId="414A29C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Lysimachia</w:t>
            </w:r>
          </w:p>
        </w:tc>
        <w:tc>
          <w:tcPr>
            <w:tcW w:w="1977" w:type="dxa"/>
            <w:noWrap w:val="0"/>
            <w:vAlign w:val="center"/>
          </w:tcPr>
          <w:p w14:paraId="2B1C16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43B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0A48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（144）小叶珍珠菜</w:t>
            </w:r>
          </w:p>
        </w:tc>
        <w:tc>
          <w:tcPr>
            <w:tcW w:w="3969" w:type="dxa"/>
            <w:noWrap w:val="0"/>
            <w:vAlign w:val="center"/>
          </w:tcPr>
          <w:p w14:paraId="323A71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Lysimachia parvifolia</w:t>
            </w:r>
          </w:p>
        </w:tc>
        <w:tc>
          <w:tcPr>
            <w:tcW w:w="1977" w:type="dxa"/>
            <w:noWrap w:val="0"/>
            <w:vAlign w:val="center"/>
          </w:tcPr>
          <w:p w14:paraId="5FE970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87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1CBA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90.水繁缕属</w:t>
            </w:r>
          </w:p>
        </w:tc>
        <w:tc>
          <w:tcPr>
            <w:tcW w:w="3969" w:type="dxa"/>
            <w:noWrap w:val="0"/>
            <w:vAlign w:val="center"/>
          </w:tcPr>
          <w:p w14:paraId="6E51F5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Samolus</w:t>
            </w:r>
          </w:p>
        </w:tc>
        <w:tc>
          <w:tcPr>
            <w:tcW w:w="1977" w:type="dxa"/>
            <w:noWrap w:val="0"/>
            <w:vAlign w:val="center"/>
          </w:tcPr>
          <w:p w14:paraId="54D8E1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94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924A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（145）水茴草</w:t>
            </w:r>
          </w:p>
        </w:tc>
        <w:tc>
          <w:tcPr>
            <w:tcW w:w="3969" w:type="dxa"/>
            <w:noWrap w:val="0"/>
            <w:vAlign w:val="center"/>
          </w:tcPr>
          <w:p w14:paraId="4A1E61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Samolus valerandii</w:t>
            </w:r>
          </w:p>
        </w:tc>
        <w:tc>
          <w:tcPr>
            <w:tcW w:w="1977" w:type="dxa"/>
            <w:noWrap w:val="0"/>
            <w:vAlign w:val="center"/>
          </w:tcPr>
          <w:p w14:paraId="3A4EDF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D2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3187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四十九、山矾科</w:t>
            </w:r>
          </w:p>
        </w:tc>
        <w:tc>
          <w:tcPr>
            <w:tcW w:w="3969" w:type="dxa"/>
            <w:noWrap w:val="0"/>
            <w:vAlign w:val="center"/>
          </w:tcPr>
          <w:p w14:paraId="31DB10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Symplocaceae</w:t>
            </w:r>
          </w:p>
        </w:tc>
        <w:tc>
          <w:tcPr>
            <w:tcW w:w="1977" w:type="dxa"/>
            <w:noWrap w:val="0"/>
            <w:vAlign w:val="center"/>
          </w:tcPr>
          <w:p w14:paraId="33B63E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30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45C6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91.山矾属</w:t>
            </w:r>
          </w:p>
        </w:tc>
        <w:tc>
          <w:tcPr>
            <w:tcW w:w="3969" w:type="dxa"/>
            <w:noWrap w:val="0"/>
            <w:vAlign w:val="center"/>
          </w:tcPr>
          <w:p w14:paraId="1D734A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Symplocos</w:t>
            </w:r>
          </w:p>
        </w:tc>
        <w:tc>
          <w:tcPr>
            <w:tcW w:w="1977" w:type="dxa"/>
            <w:noWrap w:val="0"/>
            <w:vAlign w:val="center"/>
          </w:tcPr>
          <w:p w14:paraId="360624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F27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6B469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（146）四川山矾</w:t>
            </w:r>
          </w:p>
        </w:tc>
        <w:tc>
          <w:tcPr>
            <w:tcW w:w="3969" w:type="dxa"/>
            <w:noWrap w:val="0"/>
            <w:vAlign w:val="center"/>
          </w:tcPr>
          <w:p w14:paraId="125F7D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Symplocos setchuensis</w:t>
            </w:r>
          </w:p>
        </w:tc>
        <w:tc>
          <w:tcPr>
            <w:tcW w:w="1977" w:type="dxa"/>
            <w:noWrap w:val="0"/>
            <w:vAlign w:val="center"/>
          </w:tcPr>
          <w:p w14:paraId="1090CE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B6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BB39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五十、木犀科</w:t>
            </w:r>
          </w:p>
        </w:tc>
        <w:tc>
          <w:tcPr>
            <w:tcW w:w="3969" w:type="dxa"/>
            <w:noWrap w:val="0"/>
            <w:vAlign w:val="center"/>
          </w:tcPr>
          <w:p w14:paraId="65EC35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Oleaceae</w:t>
            </w:r>
          </w:p>
        </w:tc>
        <w:tc>
          <w:tcPr>
            <w:tcW w:w="1977" w:type="dxa"/>
            <w:noWrap w:val="0"/>
            <w:vAlign w:val="center"/>
          </w:tcPr>
          <w:p w14:paraId="6907A0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E5C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4F88E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92.女贞属</w:t>
            </w:r>
          </w:p>
        </w:tc>
        <w:tc>
          <w:tcPr>
            <w:tcW w:w="3969" w:type="dxa"/>
            <w:noWrap w:val="0"/>
            <w:vAlign w:val="center"/>
          </w:tcPr>
          <w:p w14:paraId="30A566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Ligustrum</w:t>
            </w:r>
          </w:p>
        </w:tc>
        <w:tc>
          <w:tcPr>
            <w:tcW w:w="1977" w:type="dxa"/>
            <w:noWrap w:val="0"/>
            <w:vAlign w:val="center"/>
          </w:tcPr>
          <w:p w14:paraId="1B4A65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7A2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9874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（147）小叶女贞</w:t>
            </w:r>
          </w:p>
        </w:tc>
        <w:tc>
          <w:tcPr>
            <w:tcW w:w="3969" w:type="dxa"/>
            <w:noWrap w:val="0"/>
            <w:vAlign w:val="center"/>
          </w:tcPr>
          <w:p w14:paraId="6253F5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Ligustrum quihoui</w:t>
            </w:r>
          </w:p>
        </w:tc>
        <w:tc>
          <w:tcPr>
            <w:tcW w:w="1977" w:type="dxa"/>
            <w:noWrap w:val="0"/>
            <w:vAlign w:val="center"/>
          </w:tcPr>
          <w:p w14:paraId="5CE2C8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D10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5E84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（148）女贞</w:t>
            </w:r>
          </w:p>
        </w:tc>
        <w:tc>
          <w:tcPr>
            <w:tcW w:w="3969" w:type="dxa"/>
            <w:noWrap w:val="0"/>
            <w:vAlign w:val="center"/>
          </w:tcPr>
          <w:p w14:paraId="6618BA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Ligustrum lucidum</w:t>
            </w:r>
          </w:p>
        </w:tc>
        <w:tc>
          <w:tcPr>
            <w:tcW w:w="1977" w:type="dxa"/>
            <w:noWrap w:val="0"/>
            <w:vAlign w:val="center"/>
          </w:tcPr>
          <w:p w14:paraId="61C434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A8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EC1E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93.木犀属</w:t>
            </w:r>
          </w:p>
        </w:tc>
        <w:tc>
          <w:tcPr>
            <w:tcW w:w="3969" w:type="dxa"/>
            <w:noWrap w:val="0"/>
            <w:vAlign w:val="center"/>
          </w:tcPr>
          <w:p w14:paraId="643751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Osmanthus</w:t>
            </w:r>
          </w:p>
        </w:tc>
        <w:tc>
          <w:tcPr>
            <w:tcW w:w="1977" w:type="dxa"/>
            <w:noWrap w:val="0"/>
            <w:vAlign w:val="center"/>
          </w:tcPr>
          <w:p w14:paraId="0E1B8F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55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13DA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（149）桂花</w:t>
            </w:r>
          </w:p>
        </w:tc>
        <w:tc>
          <w:tcPr>
            <w:tcW w:w="3969" w:type="dxa"/>
            <w:noWrap w:val="0"/>
            <w:vAlign w:val="center"/>
          </w:tcPr>
          <w:p w14:paraId="19E3BAF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Osmanthus fragrans</w:t>
            </w:r>
          </w:p>
        </w:tc>
        <w:tc>
          <w:tcPr>
            <w:tcW w:w="1977" w:type="dxa"/>
            <w:noWrap w:val="0"/>
            <w:vAlign w:val="center"/>
          </w:tcPr>
          <w:p w14:paraId="076B19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E39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2E6A6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五十一、龙胆科</w:t>
            </w:r>
          </w:p>
        </w:tc>
        <w:tc>
          <w:tcPr>
            <w:tcW w:w="3969" w:type="dxa"/>
            <w:noWrap w:val="0"/>
            <w:vAlign w:val="center"/>
          </w:tcPr>
          <w:p w14:paraId="5A51FA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Gentianaceae</w:t>
            </w:r>
          </w:p>
        </w:tc>
        <w:tc>
          <w:tcPr>
            <w:tcW w:w="1977" w:type="dxa"/>
            <w:noWrap w:val="0"/>
            <w:vAlign w:val="center"/>
          </w:tcPr>
          <w:p w14:paraId="0A1372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66A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2B7F3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94.荇菜属</w:t>
            </w:r>
          </w:p>
        </w:tc>
        <w:tc>
          <w:tcPr>
            <w:tcW w:w="3969" w:type="dxa"/>
            <w:noWrap w:val="0"/>
            <w:vAlign w:val="center"/>
          </w:tcPr>
          <w:p w14:paraId="7A8A3B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Nymphoides</w:t>
            </w:r>
          </w:p>
        </w:tc>
        <w:tc>
          <w:tcPr>
            <w:tcW w:w="1977" w:type="dxa"/>
            <w:noWrap w:val="0"/>
            <w:vAlign w:val="center"/>
          </w:tcPr>
          <w:p w14:paraId="6DB549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82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8DCB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（150）荇菜</w:t>
            </w:r>
          </w:p>
        </w:tc>
        <w:tc>
          <w:tcPr>
            <w:tcW w:w="3969" w:type="dxa"/>
            <w:noWrap w:val="0"/>
            <w:vAlign w:val="center"/>
          </w:tcPr>
          <w:p w14:paraId="60F3FA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Nymphoides peltatum</w:t>
            </w:r>
          </w:p>
        </w:tc>
        <w:tc>
          <w:tcPr>
            <w:tcW w:w="1977" w:type="dxa"/>
            <w:noWrap w:val="0"/>
            <w:vAlign w:val="center"/>
          </w:tcPr>
          <w:p w14:paraId="41F0A1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15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279687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五十二、夹竹桃科</w:t>
            </w:r>
          </w:p>
        </w:tc>
        <w:tc>
          <w:tcPr>
            <w:tcW w:w="3969" w:type="dxa"/>
            <w:noWrap w:val="0"/>
            <w:vAlign w:val="center"/>
          </w:tcPr>
          <w:p w14:paraId="4D46E5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Apocynaceae</w:t>
            </w:r>
          </w:p>
        </w:tc>
        <w:tc>
          <w:tcPr>
            <w:tcW w:w="1977" w:type="dxa"/>
            <w:noWrap w:val="0"/>
            <w:vAlign w:val="center"/>
          </w:tcPr>
          <w:p w14:paraId="697CFE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6A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8A79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95.络石</w:t>
            </w:r>
          </w:p>
        </w:tc>
        <w:tc>
          <w:tcPr>
            <w:tcW w:w="3969" w:type="dxa"/>
            <w:noWrap w:val="0"/>
            <w:vAlign w:val="center"/>
          </w:tcPr>
          <w:p w14:paraId="1BFA1C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Trachelospermum</w:t>
            </w:r>
          </w:p>
        </w:tc>
        <w:tc>
          <w:tcPr>
            <w:tcW w:w="1977" w:type="dxa"/>
            <w:noWrap w:val="0"/>
            <w:vAlign w:val="center"/>
          </w:tcPr>
          <w:p w14:paraId="51EE2D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899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0272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（151）络石</w:t>
            </w:r>
          </w:p>
        </w:tc>
        <w:tc>
          <w:tcPr>
            <w:tcW w:w="3969" w:type="dxa"/>
            <w:noWrap w:val="0"/>
            <w:vAlign w:val="center"/>
          </w:tcPr>
          <w:p w14:paraId="74FD7C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Trachelospermum jasminoides</w:t>
            </w:r>
          </w:p>
        </w:tc>
        <w:tc>
          <w:tcPr>
            <w:tcW w:w="1977" w:type="dxa"/>
            <w:noWrap w:val="0"/>
            <w:vAlign w:val="center"/>
          </w:tcPr>
          <w:p w14:paraId="11DC9D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5B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6833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五十三、萝藦科</w:t>
            </w:r>
          </w:p>
        </w:tc>
        <w:tc>
          <w:tcPr>
            <w:tcW w:w="3969" w:type="dxa"/>
            <w:noWrap w:val="0"/>
            <w:vAlign w:val="center"/>
          </w:tcPr>
          <w:p w14:paraId="5AB5D2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Asclepladaceae</w:t>
            </w:r>
          </w:p>
        </w:tc>
        <w:tc>
          <w:tcPr>
            <w:tcW w:w="1977" w:type="dxa"/>
            <w:noWrap w:val="0"/>
            <w:vAlign w:val="center"/>
          </w:tcPr>
          <w:p w14:paraId="61210C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05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C4FB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96.白前属</w:t>
            </w:r>
          </w:p>
        </w:tc>
        <w:tc>
          <w:tcPr>
            <w:tcW w:w="3969" w:type="dxa"/>
            <w:noWrap w:val="0"/>
            <w:vAlign w:val="center"/>
          </w:tcPr>
          <w:p w14:paraId="5EBFAE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Cynanchum</w:t>
            </w:r>
          </w:p>
        </w:tc>
        <w:tc>
          <w:tcPr>
            <w:tcW w:w="1977" w:type="dxa"/>
            <w:noWrap w:val="0"/>
            <w:vAlign w:val="center"/>
          </w:tcPr>
          <w:p w14:paraId="0BD430E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24B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3F48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（152）白薇</w:t>
            </w:r>
          </w:p>
        </w:tc>
        <w:tc>
          <w:tcPr>
            <w:tcW w:w="3969" w:type="dxa"/>
            <w:noWrap w:val="0"/>
            <w:vAlign w:val="center"/>
          </w:tcPr>
          <w:p w14:paraId="7CAFD8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Cynanchum atratum</w:t>
            </w:r>
          </w:p>
        </w:tc>
        <w:tc>
          <w:tcPr>
            <w:tcW w:w="1977" w:type="dxa"/>
            <w:noWrap w:val="0"/>
            <w:vAlign w:val="center"/>
          </w:tcPr>
          <w:p w14:paraId="54C838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40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F1B5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五十四、旋花科</w:t>
            </w:r>
          </w:p>
        </w:tc>
        <w:tc>
          <w:tcPr>
            <w:tcW w:w="3969" w:type="dxa"/>
            <w:noWrap w:val="0"/>
            <w:vAlign w:val="center"/>
          </w:tcPr>
          <w:p w14:paraId="7033EA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Convolvulaceae</w:t>
            </w:r>
          </w:p>
        </w:tc>
        <w:tc>
          <w:tcPr>
            <w:tcW w:w="1977" w:type="dxa"/>
            <w:noWrap w:val="0"/>
            <w:vAlign w:val="center"/>
          </w:tcPr>
          <w:p w14:paraId="4F42D6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F14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E4DB8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97.打碗花属</w:t>
            </w:r>
          </w:p>
        </w:tc>
        <w:tc>
          <w:tcPr>
            <w:tcW w:w="3969" w:type="dxa"/>
            <w:noWrap w:val="0"/>
            <w:vAlign w:val="center"/>
          </w:tcPr>
          <w:p w14:paraId="1C97C3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Calystegia</w:t>
            </w:r>
          </w:p>
        </w:tc>
        <w:tc>
          <w:tcPr>
            <w:tcW w:w="1977" w:type="dxa"/>
            <w:noWrap w:val="0"/>
            <w:vAlign w:val="center"/>
          </w:tcPr>
          <w:p w14:paraId="7A7967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94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C3E9E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（153）打碗花</w:t>
            </w:r>
          </w:p>
        </w:tc>
        <w:tc>
          <w:tcPr>
            <w:tcW w:w="3969" w:type="dxa"/>
            <w:noWrap w:val="0"/>
            <w:vAlign w:val="center"/>
          </w:tcPr>
          <w:p w14:paraId="02F843E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Calystegia hederacea</w:t>
            </w:r>
          </w:p>
        </w:tc>
        <w:tc>
          <w:tcPr>
            <w:tcW w:w="1977" w:type="dxa"/>
            <w:noWrap w:val="0"/>
            <w:vAlign w:val="center"/>
          </w:tcPr>
          <w:p w14:paraId="571134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9D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B8E9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篱天箭</w:t>
            </w:r>
          </w:p>
        </w:tc>
        <w:tc>
          <w:tcPr>
            <w:tcW w:w="3969" w:type="dxa"/>
            <w:noWrap w:val="0"/>
            <w:vAlign w:val="center"/>
          </w:tcPr>
          <w:p w14:paraId="5D98FCC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Calystegia sepium</w:t>
            </w:r>
          </w:p>
        </w:tc>
        <w:tc>
          <w:tcPr>
            <w:tcW w:w="1977" w:type="dxa"/>
            <w:noWrap w:val="0"/>
            <w:vAlign w:val="center"/>
          </w:tcPr>
          <w:p w14:paraId="311EF6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6B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84E9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98.蕃薯属</w:t>
            </w:r>
          </w:p>
        </w:tc>
        <w:tc>
          <w:tcPr>
            <w:tcW w:w="3969" w:type="dxa"/>
            <w:noWrap w:val="0"/>
            <w:vAlign w:val="center"/>
          </w:tcPr>
          <w:p w14:paraId="05FEA08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Ipomoea</w:t>
            </w:r>
          </w:p>
        </w:tc>
        <w:tc>
          <w:tcPr>
            <w:tcW w:w="1977" w:type="dxa"/>
            <w:noWrap w:val="0"/>
            <w:vAlign w:val="center"/>
          </w:tcPr>
          <w:p w14:paraId="08A2A0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9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CA5C6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（154）红薯</w:t>
            </w:r>
          </w:p>
        </w:tc>
        <w:tc>
          <w:tcPr>
            <w:tcW w:w="3969" w:type="dxa"/>
            <w:noWrap w:val="0"/>
            <w:vAlign w:val="center"/>
          </w:tcPr>
          <w:p w14:paraId="22A6FF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Ipomoea batatas</w:t>
            </w:r>
          </w:p>
        </w:tc>
        <w:tc>
          <w:tcPr>
            <w:tcW w:w="1977" w:type="dxa"/>
            <w:noWrap w:val="0"/>
            <w:vAlign w:val="center"/>
          </w:tcPr>
          <w:p w14:paraId="39B6B0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C3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3A5C9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99.旋花属</w:t>
            </w:r>
          </w:p>
        </w:tc>
        <w:tc>
          <w:tcPr>
            <w:tcW w:w="3969" w:type="dxa"/>
            <w:noWrap w:val="0"/>
            <w:vAlign w:val="center"/>
          </w:tcPr>
          <w:p w14:paraId="64205E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Convolvulus</w:t>
            </w:r>
          </w:p>
        </w:tc>
        <w:tc>
          <w:tcPr>
            <w:tcW w:w="1977" w:type="dxa"/>
            <w:noWrap w:val="0"/>
            <w:vAlign w:val="center"/>
          </w:tcPr>
          <w:p w14:paraId="354CA1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84E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E8125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（155）旋花</w:t>
            </w:r>
          </w:p>
        </w:tc>
        <w:tc>
          <w:tcPr>
            <w:tcW w:w="3969" w:type="dxa"/>
            <w:noWrap w:val="0"/>
            <w:vAlign w:val="center"/>
          </w:tcPr>
          <w:p w14:paraId="03F322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Convolvulus arvensis</w:t>
            </w:r>
          </w:p>
        </w:tc>
        <w:tc>
          <w:tcPr>
            <w:tcW w:w="1977" w:type="dxa"/>
            <w:noWrap w:val="0"/>
            <w:vAlign w:val="center"/>
          </w:tcPr>
          <w:p w14:paraId="4E2FD5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9F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9786C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100、牵牛属</w:t>
            </w:r>
          </w:p>
        </w:tc>
        <w:tc>
          <w:tcPr>
            <w:tcW w:w="3969" w:type="dxa"/>
            <w:noWrap w:val="0"/>
            <w:vAlign w:val="center"/>
          </w:tcPr>
          <w:p w14:paraId="16E671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Pharbitis</w:t>
            </w:r>
          </w:p>
        </w:tc>
        <w:tc>
          <w:tcPr>
            <w:tcW w:w="1977" w:type="dxa"/>
            <w:noWrap w:val="0"/>
            <w:vAlign w:val="center"/>
          </w:tcPr>
          <w:p w14:paraId="243ECF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E6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0AC3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（156）裂叶牵牛</w:t>
            </w:r>
          </w:p>
        </w:tc>
        <w:tc>
          <w:tcPr>
            <w:tcW w:w="3969" w:type="dxa"/>
            <w:noWrap w:val="0"/>
            <w:vAlign w:val="center"/>
          </w:tcPr>
          <w:p w14:paraId="14D75CA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Pharbitis nil</w:t>
            </w:r>
          </w:p>
        </w:tc>
        <w:tc>
          <w:tcPr>
            <w:tcW w:w="1977" w:type="dxa"/>
            <w:noWrap w:val="0"/>
            <w:vAlign w:val="center"/>
          </w:tcPr>
          <w:p w14:paraId="479189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6D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84FA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五十五、紫草科</w:t>
            </w:r>
          </w:p>
        </w:tc>
        <w:tc>
          <w:tcPr>
            <w:tcW w:w="3969" w:type="dxa"/>
            <w:noWrap w:val="0"/>
            <w:vAlign w:val="center"/>
          </w:tcPr>
          <w:p w14:paraId="6C7E0D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Boraginaceae</w:t>
            </w:r>
          </w:p>
        </w:tc>
        <w:tc>
          <w:tcPr>
            <w:tcW w:w="1977" w:type="dxa"/>
            <w:noWrap w:val="0"/>
            <w:vAlign w:val="center"/>
          </w:tcPr>
          <w:p w14:paraId="62ACE5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2F8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A0E01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101.斑种草属</w:t>
            </w:r>
          </w:p>
        </w:tc>
        <w:tc>
          <w:tcPr>
            <w:tcW w:w="3969" w:type="dxa"/>
            <w:noWrap w:val="0"/>
            <w:vAlign w:val="center"/>
          </w:tcPr>
          <w:p w14:paraId="7D137D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Bothriospermum</w:t>
            </w:r>
          </w:p>
        </w:tc>
        <w:tc>
          <w:tcPr>
            <w:tcW w:w="1977" w:type="dxa"/>
            <w:noWrap w:val="0"/>
            <w:vAlign w:val="center"/>
          </w:tcPr>
          <w:p w14:paraId="42194D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5C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5859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（157）柔弱斑种草</w:t>
            </w:r>
          </w:p>
        </w:tc>
        <w:tc>
          <w:tcPr>
            <w:tcW w:w="3969" w:type="dxa"/>
            <w:noWrap w:val="0"/>
            <w:vAlign w:val="center"/>
          </w:tcPr>
          <w:p w14:paraId="443869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Bothriospermum tenellum</w:t>
            </w:r>
          </w:p>
        </w:tc>
        <w:tc>
          <w:tcPr>
            <w:tcW w:w="1977" w:type="dxa"/>
            <w:noWrap w:val="0"/>
            <w:vAlign w:val="center"/>
          </w:tcPr>
          <w:p w14:paraId="4F7C5A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29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4CE0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102.附地菜属</w:t>
            </w:r>
          </w:p>
        </w:tc>
        <w:tc>
          <w:tcPr>
            <w:tcW w:w="3969" w:type="dxa"/>
            <w:noWrap w:val="0"/>
            <w:vAlign w:val="center"/>
          </w:tcPr>
          <w:p w14:paraId="61E967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en-US" w:eastAsia="zh-CN"/>
              </w:rPr>
              <w:t>Trigonotis</w:t>
            </w:r>
          </w:p>
        </w:tc>
        <w:tc>
          <w:tcPr>
            <w:tcW w:w="1977" w:type="dxa"/>
            <w:noWrap w:val="0"/>
            <w:vAlign w:val="center"/>
          </w:tcPr>
          <w:p w14:paraId="52A6AB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FB5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9CABF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（158）附地菜</w:t>
            </w:r>
          </w:p>
        </w:tc>
        <w:tc>
          <w:tcPr>
            <w:tcW w:w="3969" w:type="dxa"/>
            <w:noWrap w:val="0"/>
            <w:vAlign w:val="center"/>
          </w:tcPr>
          <w:p w14:paraId="211B61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Trigonotis peduncularis</w:t>
            </w:r>
          </w:p>
        </w:tc>
        <w:tc>
          <w:tcPr>
            <w:tcW w:w="1977" w:type="dxa"/>
            <w:noWrap w:val="0"/>
            <w:vAlign w:val="center"/>
          </w:tcPr>
          <w:p w14:paraId="0EB98B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B37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EFF8A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五十六、马鞭草科</w:t>
            </w:r>
          </w:p>
        </w:tc>
        <w:tc>
          <w:tcPr>
            <w:tcW w:w="3969" w:type="dxa"/>
            <w:noWrap w:val="0"/>
            <w:vAlign w:val="center"/>
          </w:tcPr>
          <w:p w14:paraId="41D89F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Verbenaceae</w:t>
            </w:r>
          </w:p>
        </w:tc>
        <w:tc>
          <w:tcPr>
            <w:tcW w:w="1977" w:type="dxa"/>
            <w:noWrap w:val="0"/>
            <w:vAlign w:val="center"/>
          </w:tcPr>
          <w:p w14:paraId="6A59E7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276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0A816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103.贞桐属</w:t>
            </w:r>
          </w:p>
        </w:tc>
        <w:tc>
          <w:tcPr>
            <w:tcW w:w="3969" w:type="dxa"/>
            <w:noWrap w:val="0"/>
            <w:vAlign w:val="center"/>
          </w:tcPr>
          <w:p w14:paraId="35BA39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Clerodendurm</w:t>
            </w:r>
          </w:p>
        </w:tc>
        <w:tc>
          <w:tcPr>
            <w:tcW w:w="1977" w:type="dxa"/>
            <w:noWrap w:val="0"/>
            <w:vAlign w:val="center"/>
          </w:tcPr>
          <w:p w14:paraId="061899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F2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4151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（159）臭牡丹</w:t>
            </w:r>
          </w:p>
        </w:tc>
        <w:tc>
          <w:tcPr>
            <w:tcW w:w="3969" w:type="dxa"/>
            <w:noWrap w:val="0"/>
            <w:vAlign w:val="center"/>
          </w:tcPr>
          <w:p w14:paraId="00524B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Clerodendurm bungei</w:t>
            </w:r>
          </w:p>
        </w:tc>
        <w:tc>
          <w:tcPr>
            <w:tcW w:w="1977" w:type="dxa"/>
            <w:noWrap w:val="0"/>
            <w:vAlign w:val="center"/>
          </w:tcPr>
          <w:p w14:paraId="5B0AA1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2E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1F5A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104.马鞭草属</w:t>
            </w:r>
          </w:p>
        </w:tc>
        <w:tc>
          <w:tcPr>
            <w:tcW w:w="3969" w:type="dxa"/>
            <w:noWrap w:val="0"/>
            <w:vAlign w:val="center"/>
          </w:tcPr>
          <w:p w14:paraId="76561E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Verbena</w:t>
            </w:r>
          </w:p>
        </w:tc>
        <w:tc>
          <w:tcPr>
            <w:tcW w:w="1977" w:type="dxa"/>
            <w:noWrap w:val="0"/>
            <w:vAlign w:val="center"/>
          </w:tcPr>
          <w:p w14:paraId="6F8490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90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19D77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（160）马鞭草</w:t>
            </w:r>
          </w:p>
        </w:tc>
        <w:tc>
          <w:tcPr>
            <w:tcW w:w="3969" w:type="dxa"/>
            <w:noWrap w:val="0"/>
            <w:vAlign w:val="center"/>
          </w:tcPr>
          <w:p w14:paraId="0F76D26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Verbena officinalis</w:t>
            </w:r>
          </w:p>
        </w:tc>
        <w:tc>
          <w:tcPr>
            <w:tcW w:w="1977" w:type="dxa"/>
            <w:noWrap w:val="0"/>
            <w:vAlign w:val="center"/>
          </w:tcPr>
          <w:p w14:paraId="4429BE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1D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5EC14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105.牡荆属</w:t>
            </w:r>
          </w:p>
        </w:tc>
        <w:tc>
          <w:tcPr>
            <w:tcW w:w="3969" w:type="dxa"/>
            <w:noWrap w:val="0"/>
            <w:vAlign w:val="center"/>
          </w:tcPr>
          <w:p w14:paraId="06CC36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Vitex</w:t>
            </w:r>
          </w:p>
        </w:tc>
        <w:tc>
          <w:tcPr>
            <w:tcW w:w="1977" w:type="dxa"/>
            <w:noWrap w:val="0"/>
            <w:vAlign w:val="center"/>
          </w:tcPr>
          <w:p w14:paraId="54F63A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85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39B30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（161）黄荆</w:t>
            </w:r>
          </w:p>
        </w:tc>
        <w:tc>
          <w:tcPr>
            <w:tcW w:w="3969" w:type="dxa"/>
            <w:noWrap w:val="0"/>
            <w:vAlign w:val="center"/>
          </w:tcPr>
          <w:p w14:paraId="5BC651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Vitex negundo</w:t>
            </w:r>
          </w:p>
        </w:tc>
        <w:tc>
          <w:tcPr>
            <w:tcW w:w="1977" w:type="dxa"/>
            <w:noWrap w:val="0"/>
            <w:vAlign w:val="center"/>
          </w:tcPr>
          <w:p w14:paraId="3AE273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6B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792B9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五十七、唇形科</w:t>
            </w:r>
          </w:p>
        </w:tc>
        <w:tc>
          <w:tcPr>
            <w:tcW w:w="3969" w:type="dxa"/>
            <w:noWrap w:val="0"/>
            <w:vAlign w:val="center"/>
          </w:tcPr>
          <w:p w14:paraId="2F9EAA8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Labiatae</w:t>
            </w:r>
          </w:p>
        </w:tc>
        <w:tc>
          <w:tcPr>
            <w:tcW w:w="1977" w:type="dxa"/>
            <w:noWrap w:val="0"/>
            <w:vAlign w:val="center"/>
          </w:tcPr>
          <w:p w14:paraId="6FD473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75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FFD5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106.筋骨草属</w:t>
            </w:r>
          </w:p>
        </w:tc>
        <w:tc>
          <w:tcPr>
            <w:tcW w:w="3969" w:type="dxa"/>
            <w:noWrap w:val="0"/>
            <w:vAlign w:val="center"/>
          </w:tcPr>
          <w:p w14:paraId="767E39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Ajuga</w:t>
            </w:r>
          </w:p>
        </w:tc>
        <w:tc>
          <w:tcPr>
            <w:tcW w:w="1977" w:type="dxa"/>
            <w:noWrap w:val="0"/>
            <w:vAlign w:val="center"/>
          </w:tcPr>
          <w:p w14:paraId="6F24AC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FD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9FFE3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（162）金疮小草</w:t>
            </w:r>
          </w:p>
        </w:tc>
        <w:tc>
          <w:tcPr>
            <w:tcW w:w="3969" w:type="dxa"/>
            <w:noWrap w:val="0"/>
            <w:vAlign w:val="center"/>
          </w:tcPr>
          <w:p w14:paraId="13E735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Ajuga decumbens</w:t>
            </w:r>
          </w:p>
        </w:tc>
        <w:tc>
          <w:tcPr>
            <w:tcW w:w="1977" w:type="dxa"/>
            <w:noWrap w:val="0"/>
            <w:vAlign w:val="center"/>
          </w:tcPr>
          <w:p w14:paraId="311DE6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02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1AFD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107.风轮菜属</w:t>
            </w:r>
          </w:p>
        </w:tc>
        <w:tc>
          <w:tcPr>
            <w:tcW w:w="3969" w:type="dxa"/>
            <w:noWrap w:val="0"/>
            <w:vAlign w:val="center"/>
          </w:tcPr>
          <w:p w14:paraId="718D506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Clinopodium</w:t>
            </w:r>
          </w:p>
        </w:tc>
        <w:tc>
          <w:tcPr>
            <w:tcW w:w="1977" w:type="dxa"/>
            <w:noWrap w:val="0"/>
            <w:vAlign w:val="center"/>
          </w:tcPr>
          <w:p w14:paraId="1977AE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67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978FB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（163）匍匐风轮菜</w:t>
            </w:r>
          </w:p>
        </w:tc>
        <w:tc>
          <w:tcPr>
            <w:tcW w:w="3969" w:type="dxa"/>
            <w:noWrap w:val="0"/>
            <w:vAlign w:val="center"/>
          </w:tcPr>
          <w:p w14:paraId="35D600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Clinopodium repens</w:t>
            </w:r>
          </w:p>
        </w:tc>
        <w:tc>
          <w:tcPr>
            <w:tcW w:w="1977" w:type="dxa"/>
            <w:noWrap w:val="0"/>
            <w:vAlign w:val="center"/>
          </w:tcPr>
          <w:p w14:paraId="5BB109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53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8B94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（164）风轮菜</w:t>
            </w:r>
          </w:p>
        </w:tc>
        <w:tc>
          <w:tcPr>
            <w:tcW w:w="3969" w:type="dxa"/>
            <w:noWrap w:val="0"/>
            <w:vAlign w:val="center"/>
          </w:tcPr>
          <w:p w14:paraId="7DE5C8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Clinopodium chinense</w:t>
            </w:r>
          </w:p>
        </w:tc>
        <w:tc>
          <w:tcPr>
            <w:tcW w:w="1977" w:type="dxa"/>
            <w:noWrap w:val="0"/>
            <w:vAlign w:val="center"/>
          </w:tcPr>
          <w:p w14:paraId="5D0115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E89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989AE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（165）邻近风轮菜</w:t>
            </w:r>
          </w:p>
        </w:tc>
        <w:tc>
          <w:tcPr>
            <w:tcW w:w="3969" w:type="dxa"/>
            <w:noWrap w:val="0"/>
            <w:vAlign w:val="center"/>
          </w:tcPr>
          <w:p w14:paraId="53A99C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Clinopodium confine</w:t>
            </w:r>
          </w:p>
        </w:tc>
        <w:tc>
          <w:tcPr>
            <w:tcW w:w="1977" w:type="dxa"/>
            <w:noWrap w:val="0"/>
            <w:vAlign w:val="center"/>
          </w:tcPr>
          <w:p w14:paraId="47E1BE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62C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E61C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（167）细风轮菜</w:t>
            </w:r>
          </w:p>
        </w:tc>
        <w:tc>
          <w:tcPr>
            <w:tcW w:w="3969" w:type="dxa"/>
            <w:noWrap w:val="0"/>
            <w:vAlign w:val="center"/>
          </w:tcPr>
          <w:p w14:paraId="79414E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Clinopodium gracile</w:t>
            </w:r>
          </w:p>
        </w:tc>
        <w:tc>
          <w:tcPr>
            <w:tcW w:w="1977" w:type="dxa"/>
            <w:noWrap w:val="0"/>
            <w:vAlign w:val="center"/>
          </w:tcPr>
          <w:p w14:paraId="7BBC90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DA8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2F92B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108.香薷属</w:t>
            </w:r>
          </w:p>
        </w:tc>
        <w:tc>
          <w:tcPr>
            <w:tcW w:w="3969" w:type="dxa"/>
            <w:noWrap w:val="0"/>
            <w:vAlign w:val="center"/>
          </w:tcPr>
          <w:p w14:paraId="5076D7F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Elsholtzia</w:t>
            </w:r>
          </w:p>
        </w:tc>
        <w:tc>
          <w:tcPr>
            <w:tcW w:w="1977" w:type="dxa"/>
            <w:noWrap w:val="0"/>
            <w:vAlign w:val="center"/>
          </w:tcPr>
          <w:p w14:paraId="00431EF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26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A48B7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（168）香薷</w:t>
            </w:r>
          </w:p>
        </w:tc>
        <w:tc>
          <w:tcPr>
            <w:tcW w:w="3969" w:type="dxa"/>
            <w:noWrap w:val="0"/>
            <w:vAlign w:val="center"/>
          </w:tcPr>
          <w:p w14:paraId="0CE127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Elsholtzia ciliata</w:t>
            </w:r>
          </w:p>
        </w:tc>
        <w:tc>
          <w:tcPr>
            <w:tcW w:w="1977" w:type="dxa"/>
            <w:noWrap w:val="0"/>
            <w:vAlign w:val="center"/>
          </w:tcPr>
          <w:p w14:paraId="64D688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889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2EE5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109.小野芝麻属</w:t>
            </w:r>
          </w:p>
        </w:tc>
        <w:tc>
          <w:tcPr>
            <w:tcW w:w="3969" w:type="dxa"/>
            <w:noWrap w:val="0"/>
            <w:vAlign w:val="center"/>
          </w:tcPr>
          <w:p w14:paraId="00CB6D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Galeobdolon</w:t>
            </w:r>
          </w:p>
        </w:tc>
        <w:tc>
          <w:tcPr>
            <w:tcW w:w="1977" w:type="dxa"/>
            <w:noWrap w:val="0"/>
            <w:vAlign w:val="center"/>
          </w:tcPr>
          <w:p w14:paraId="55927A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09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3AB5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（169）块根小野芝麻</w:t>
            </w:r>
          </w:p>
        </w:tc>
        <w:tc>
          <w:tcPr>
            <w:tcW w:w="3969" w:type="dxa"/>
            <w:noWrap w:val="0"/>
            <w:vAlign w:val="center"/>
          </w:tcPr>
          <w:p w14:paraId="1FD95C3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Galeobdolon tuberiferum</w:t>
            </w:r>
          </w:p>
        </w:tc>
        <w:tc>
          <w:tcPr>
            <w:tcW w:w="1977" w:type="dxa"/>
            <w:noWrap w:val="0"/>
            <w:vAlign w:val="center"/>
          </w:tcPr>
          <w:p w14:paraId="4B083C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C02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F3EF9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110.野芝麻属</w:t>
            </w:r>
          </w:p>
        </w:tc>
        <w:tc>
          <w:tcPr>
            <w:tcW w:w="3969" w:type="dxa"/>
            <w:noWrap w:val="0"/>
            <w:vAlign w:val="center"/>
          </w:tcPr>
          <w:p w14:paraId="195E91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Lamium</w:t>
            </w:r>
          </w:p>
        </w:tc>
        <w:tc>
          <w:tcPr>
            <w:tcW w:w="1977" w:type="dxa"/>
            <w:noWrap w:val="0"/>
            <w:vAlign w:val="center"/>
          </w:tcPr>
          <w:p w14:paraId="6E9B60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CC0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AD6BA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（170）宝盖草</w:t>
            </w:r>
          </w:p>
        </w:tc>
        <w:tc>
          <w:tcPr>
            <w:tcW w:w="3969" w:type="dxa"/>
            <w:noWrap w:val="0"/>
            <w:vAlign w:val="center"/>
          </w:tcPr>
          <w:p w14:paraId="1DD4AA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Lamium amplexicaule</w:t>
            </w:r>
          </w:p>
        </w:tc>
        <w:tc>
          <w:tcPr>
            <w:tcW w:w="1977" w:type="dxa"/>
            <w:noWrap w:val="0"/>
            <w:vAlign w:val="center"/>
          </w:tcPr>
          <w:p w14:paraId="76EF12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905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BE62D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（171）野芝麻</w:t>
            </w:r>
          </w:p>
        </w:tc>
        <w:tc>
          <w:tcPr>
            <w:tcW w:w="3969" w:type="dxa"/>
            <w:noWrap w:val="0"/>
            <w:vAlign w:val="center"/>
          </w:tcPr>
          <w:p w14:paraId="2F15F9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Lamium barbatum</w:t>
            </w:r>
          </w:p>
        </w:tc>
        <w:tc>
          <w:tcPr>
            <w:tcW w:w="1977" w:type="dxa"/>
            <w:noWrap w:val="0"/>
            <w:vAlign w:val="center"/>
          </w:tcPr>
          <w:p w14:paraId="4F1D4A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A9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CFCD9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111.油菜花属</w:t>
            </w:r>
          </w:p>
        </w:tc>
        <w:tc>
          <w:tcPr>
            <w:tcW w:w="3969" w:type="dxa"/>
            <w:noWrap w:val="0"/>
            <w:vAlign w:val="center"/>
          </w:tcPr>
          <w:p w14:paraId="2DA187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en-US" w:eastAsia="zh-CN"/>
              </w:rPr>
              <w:t>Brassica</w:t>
            </w:r>
          </w:p>
        </w:tc>
        <w:tc>
          <w:tcPr>
            <w:tcW w:w="1977" w:type="dxa"/>
            <w:noWrap w:val="0"/>
            <w:vAlign w:val="center"/>
          </w:tcPr>
          <w:p w14:paraId="082B44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0D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D690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（172）油菜花</w:t>
            </w:r>
          </w:p>
        </w:tc>
        <w:tc>
          <w:tcPr>
            <w:tcW w:w="3969" w:type="dxa"/>
            <w:noWrap w:val="0"/>
            <w:vAlign w:val="center"/>
          </w:tcPr>
          <w:p w14:paraId="0E8C47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Brassica campestris</w:t>
            </w:r>
          </w:p>
        </w:tc>
        <w:tc>
          <w:tcPr>
            <w:tcW w:w="1977" w:type="dxa"/>
            <w:noWrap w:val="0"/>
            <w:vAlign w:val="center"/>
          </w:tcPr>
          <w:p w14:paraId="16DE78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A5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456CE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112.薄荷属</w:t>
            </w:r>
          </w:p>
        </w:tc>
        <w:tc>
          <w:tcPr>
            <w:tcW w:w="3969" w:type="dxa"/>
            <w:noWrap w:val="0"/>
            <w:vAlign w:val="center"/>
          </w:tcPr>
          <w:p w14:paraId="3B93DB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Mentha</w:t>
            </w:r>
          </w:p>
        </w:tc>
        <w:tc>
          <w:tcPr>
            <w:tcW w:w="1977" w:type="dxa"/>
            <w:noWrap w:val="0"/>
            <w:vAlign w:val="center"/>
          </w:tcPr>
          <w:p w14:paraId="051C55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EE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4505E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（173）薄荷</w:t>
            </w:r>
          </w:p>
        </w:tc>
        <w:tc>
          <w:tcPr>
            <w:tcW w:w="3969" w:type="dxa"/>
            <w:noWrap w:val="0"/>
            <w:vAlign w:val="center"/>
          </w:tcPr>
          <w:p w14:paraId="6AB0D4A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Mentha canadensis</w:t>
            </w:r>
          </w:p>
        </w:tc>
        <w:tc>
          <w:tcPr>
            <w:tcW w:w="1977" w:type="dxa"/>
            <w:noWrap w:val="0"/>
            <w:vAlign w:val="center"/>
          </w:tcPr>
          <w:p w14:paraId="334380D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A7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3670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113.石荠宁属</w:t>
            </w:r>
          </w:p>
        </w:tc>
        <w:tc>
          <w:tcPr>
            <w:tcW w:w="3969" w:type="dxa"/>
            <w:noWrap w:val="0"/>
            <w:vAlign w:val="center"/>
          </w:tcPr>
          <w:p w14:paraId="318796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Mosla</w:t>
            </w:r>
          </w:p>
        </w:tc>
        <w:tc>
          <w:tcPr>
            <w:tcW w:w="1977" w:type="dxa"/>
            <w:noWrap w:val="0"/>
            <w:vAlign w:val="center"/>
          </w:tcPr>
          <w:p w14:paraId="3BF32E7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8F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2F73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（174）石香薷</w:t>
            </w:r>
          </w:p>
        </w:tc>
        <w:tc>
          <w:tcPr>
            <w:tcW w:w="3969" w:type="dxa"/>
            <w:noWrap w:val="0"/>
            <w:vAlign w:val="center"/>
          </w:tcPr>
          <w:p w14:paraId="3E7855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Mosla canadensis</w:t>
            </w:r>
          </w:p>
        </w:tc>
        <w:tc>
          <w:tcPr>
            <w:tcW w:w="1977" w:type="dxa"/>
            <w:noWrap w:val="0"/>
            <w:vAlign w:val="center"/>
          </w:tcPr>
          <w:p w14:paraId="0F3B89A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9C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D3DE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（175）小鱼仙草</w:t>
            </w:r>
          </w:p>
        </w:tc>
        <w:tc>
          <w:tcPr>
            <w:tcW w:w="3969" w:type="dxa"/>
            <w:noWrap w:val="0"/>
            <w:vAlign w:val="center"/>
          </w:tcPr>
          <w:p w14:paraId="43FC22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Mosla dianthera</w:t>
            </w:r>
          </w:p>
        </w:tc>
        <w:tc>
          <w:tcPr>
            <w:tcW w:w="1977" w:type="dxa"/>
            <w:noWrap w:val="0"/>
            <w:vAlign w:val="center"/>
          </w:tcPr>
          <w:p w14:paraId="7EEBF7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525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A3FF6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114.紫苏属</w:t>
            </w:r>
          </w:p>
        </w:tc>
        <w:tc>
          <w:tcPr>
            <w:tcW w:w="3969" w:type="dxa"/>
            <w:noWrap w:val="0"/>
            <w:vAlign w:val="center"/>
          </w:tcPr>
          <w:p w14:paraId="1E0AB5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Perilla</w:t>
            </w:r>
          </w:p>
        </w:tc>
        <w:tc>
          <w:tcPr>
            <w:tcW w:w="1977" w:type="dxa"/>
            <w:noWrap w:val="0"/>
            <w:vAlign w:val="center"/>
          </w:tcPr>
          <w:p w14:paraId="64E413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A4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48C3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（176）紫苏</w:t>
            </w:r>
          </w:p>
        </w:tc>
        <w:tc>
          <w:tcPr>
            <w:tcW w:w="3969" w:type="dxa"/>
            <w:noWrap w:val="0"/>
            <w:vAlign w:val="center"/>
          </w:tcPr>
          <w:p w14:paraId="6AE4B0C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Perilla frutescens</w:t>
            </w:r>
          </w:p>
        </w:tc>
        <w:tc>
          <w:tcPr>
            <w:tcW w:w="1977" w:type="dxa"/>
            <w:noWrap w:val="0"/>
            <w:vAlign w:val="center"/>
          </w:tcPr>
          <w:p w14:paraId="24AC9E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16C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3BBAD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115.夏枯草属</w:t>
            </w:r>
          </w:p>
        </w:tc>
        <w:tc>
          <w:tcPr>
            <w:tcW w:w="3969" w:type="dxa"/>
            <w:noWrap w:val="0"/>
            <w:vAlign w:val="center"/>
          </w:tcPr>
          <w:p w14:paraId="3EC94C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Prunella</w:t>
            </w:r>
          </w:p>
        </w:tc>
        <w:tc>
          <w:tcPr>
            <w:tcW w:w="1977" w:type="dxa"/>
            <w:noWrap w:val="0"/>
            <w:vAlign w:val="center"/>
          </w:tcPr>
          <w:p w14:paraId="39C2E0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B3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2EDB8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（177）夏枯草</w:t>
            </w:r>
          </w:p>
        </w:tc>
        <w:tc>
          <w:tcPr>
            <w:tcW w:w="3969" w:type="dxa"/>
            <w:noWrap w:val="0"/>
            <w:vAlign w:val="center"/>
          </w:tcPr>
          <w:p w14:paraId="17F171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Prunella vulgaris</w:t>
            </w:r>
          </w:p>
        </w:tc>
        <w:tc>
          <w:tcPr>
            <w:tcW w:w="1977" w:type="dxa"/>
            <w:noWrap w:val="0"/>
            <w:vAlign w:val="center"/>
          </w:tcPr>
          <w:p w14:paraId="522B4E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90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E0EC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116.鼠尾草属</w:t>
            </w:r>
          </w:p>
        </w:tc>
        <w:tc>
          <w:tcPr>
            <w:tcW w:w="3969" w:type="dxa"/>
            <w:noWrap w:val="0"/>
            <w:vAlign w:val="center"/>
          </w:tcPr>
          <w:p w14:paraId="51BA0E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Salvia</w:t>
            </w:r>
          </w:p>
        </w:tc>
        <w:tc>
          <w:tcPr>
            <w:tcW w:w="1977" w:type="dxa"/>
            <w:noWrap w:val="0"/>
            <w:vAlign w:val="center"/>
          </w:tcPr>
          <w:p w14:paraId="25D3BC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FC1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CE1B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（178）丹参</w:t>
            </w:r>
          </w:p>
        </w:tc>
        <w:tc>
          <w:tcPr>
            <w:tcW w:w="3969" w:type="dxa"/>
            <w:noWrap w:val="0"/>
            <w:vAlign w:val="center"/>
          </w:tcPr>
          <w:p w14:paraId="2E9C3F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Salvia miltiorrhiza</w:t>
            </w:r>
          </w:p>
        </w:tc>
        <w:tc>
          <w:tcPr>
            <w:tcW w:w="1977" w:type="dxa"/>
            <w:noWrap w:val="0"/>
            <w:vAlign w:val="center"/>
          </w:tcPr>
          <w:p w14:paraId="22489C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71A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62EF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（179）荔枝草</w:t>
            </w:r>
          </w:p>
        </w:tc>
        <w:tc>
          <w:tcPr>
            <w:tcW w:w="3969" w:type="dxa"/>
            <w:noWrap w:val="0"/>
            <w:vAlign w:val="center"/>
          </w:tcPr>
          <w:p w14:paraId="1BDBDC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Salvia plebeia</w:t>
            </w:r>
          </w:p>
        </w:tc>
        <w:tc>
          <w:tcPr>
            <w:tcW w:w="1977" w:type="dxa"/>
            <w:noWrap w:val="0"/>
            <w:vAlign w:val="center"/>
          </w:tcPr>
          <w:p w14:paraId="78B266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718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EF732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117.水苏属</w:t>
            </w:r>
          </w:p>
        </w:tc>
        <w:tc>
          <w:tcPr>
            <w:tcW w:w="3969" w:type="dxa"/>
            <w:noWrap w:val="0"/>
            <w:vAlign w:val="center"/>
          </w:tcPr>
          <w:p w14:paraId="0805CA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Stachys</w:t>
            </w:r>
          </w:p>
        </w:tc>
        <w:tc>
          <w:tcPr>
            <w:tcW w:w="1977" w:type="dxa"/>
            <w:noWrap w:val="0"/>
            <w:vAlign w:val="center"/>
          </w:tcPr>
          <w:p w14:paraId="003455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72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C2540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（180）水苏</w:t>
            </w:r>
          </w:p>
        </w:tc>
        <w:tc>
          <w:tcPr>
            <w:tcW w:w="3969" w:type="dxa"/>
            <w:noWrap w:val="0"/>
            <w:vAlign w:val="center"/>
          </w:tcPr>
          <w:p w14:paraId="4B5275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Stachys japonica</w:t>
            </w:r>
          </w:p>
        </w:tc>
        <w:tc>
          <w:tcPr>
            <w:tcW w:w="1977" w:type="dxa"/>
            <w:noWrap w:val="0"/>
            <w:vAlign w:val="center"/>
          </w:tcPr>
          <w:p w14:paraId="7F969B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482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0511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（181）针筒菜</w:t>
            </w:r>
          </w:p>
        </w:tc>
        <w:tc>
          <w:tcPr>
            <w:tcW w:w="3969" w:type="dxa"/>
            <w:noWrap w:val="0"/>
            <w:vAlign w:val="center"/>
          </w:tcPr>
          <w:p w14:paraId="518516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Stachys oblongifolia</w:t>
            </w:r>
          </w:p>
        </w:tc>
        <w:tc>
          <w:tcPr>
            <w:tcW w:w="1977" w:type="dxa"/>
            <w:noWrap w:val="0"/>
            <w:vAlign w:val="center"/>
          </w:tcPr>
          <w:p w14:paraId="4ACDB7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A0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179E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（182）地蚕</w:t>
            </w:r>
          </w:p>
        </w:tc>
        <w:tc>
          <w:tcPr>
            <w:tcW w:w="3969" w:type="dxa"/>
            <w:noWrap w:val="0"/>
            <w:vAlign w:val="center"/>
          </w:tcPr>
          <w:p w14:paraId="6BB89C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Stachys geobombycis</w:t>
            </w:r>
          </w:p>
        </w:tc>
        <w:tc>
          <w:tcPr>
            <w:tcW w:w="1977" w:type="dxa"/>
            <w:noWrap w:val="0"/>
            <w:vAlign w:val="center"/>
          </w:tcPr>
          <w:p w14:paraId="624303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BE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C475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118.黄苓属</w:t>
            </w:r>
          </w:p>
        </w:tc>
        <w:tc>
          <w:tcPr>
            <w:tcW w:w="3969" w:type="dxa"/>
            <w:noWrap w:val="0"/>
            <w:vAlign w:val="center"/>
          </w:tcPr>
          <w:p w14:paraId="428DE9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en-US" w:eastAsia="zh-CN"/>
              </w:rPr>
              <w:t>Scutellaria</w:t>
            </w:r>
          </w:p>
        </w:tc>
        <w:tc>
          <w:tcPr>
            <w:tcW w:w="1977" w:type="dxa"/>
            <w:noWrap w:val="0"/>
            <w:vAlign w:val="center"/>
          </w:tcPr>
          <w:p w14:paraId="16A779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3B8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76B89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（183）半枝莲</w:t>
            </w:r>
          </w:p>
        </w:tc>
        <w:tc>
          <w:tcPr>
            <w:tcW w:w="3969" w:type="dxa"/>
            <w:noWrap w:val="0"/>
            <w:vAlign w:val="center"/>
          </w:tcPr>
          <w:p w14:paraId="6C1E08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Scutellaria barbata</w:t>
            </w:r>
          </w:p>
        </w:tc>
        <w:tc>
          <w:tcPr>
            <w:tcW w:w="1977" w:type="dxa"/>
            <w:noWrap w:val="0"/>
            <w:vAlign w:val="center"/>
          </w:tcPr>
          <w:p w14:paraId="146304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A1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BB7A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（184）韩信草</w:t>
            </w:r>
          </w:p>
        </w:tc>
        <w:tc>
          <w:tcPr>
            <w:tcW w:w="3969" w:type="dxa"/>
            <w:noWrap w:val="0"/>
            <w:vAlign w:val="center"/>
          </w:tcPr>
          <w:p w14:paraId="7CE966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Scutellaria indica</w:t>
            </w:r>
          </w:p>
        </w:tc>
        <w:tc>
          <w:tcPr>
            <w:tcW w:w="1977" w:type="dxa"/>
            <w:noWrap w:val="0"/>
            <w:vAlign w:val="center"/>
          </w:tcPr>
          <w:p w14:paraId="5B3D54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B6C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1427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119.香科科属</w:t>
            </w:r>
          </w:p>
        </w:tc>
        <w:tc>
          <w:tcPr>
            <w:tcW w:w="3969" w:type="dxa"/>
            <w:noWrap w:val="0"/>
            <w:vAlign w:val="center"/>
          </w:tcPr>
          <w:p w14:paraId="78BBC0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Teucrium</w:t>
            </w:r>
          </w:p>
        </w:tc>
        <w:tc>
          <w:tcPr>
            <w:tcW w:w="1977" w:type="dxa"/>
            <w:noWrap w:val="0"/>
            <w:vAlign w:val="center"/>
          </w:tcPr>
          <w:p w14:paraId="25A278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CB1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2934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（185）血见愁</w:t>
            </w:r>
          </w:p>
        </w:tc>
        <w:tc>
          <w:tcPr>
            <w:tcW w:w="3969" w:type="dxa"/>
            <w:noWrap w:val="0"/>
            <w:vAlign w:val="center"/>
          </w:tcPr>
          <w:p w14:paraId="3CEC8A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Teucrium viscidum</w:t>
            </w:r>
          </w:p>
        </w:tc>
        <w:tc>
          <w:tcPr>
            <w:tcW w:w="1977" w:type="dxa"/>
            <w:noWrap w:val="0"/>
            <w:vAlign w:val="center"/>
          </w:tcPr>
          <w:p w14:paraId="026337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911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2DB5E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五十七、茄科</w:t>
            </w:r>
          </w:p>
        </w:tc>
        <w:tc>
          <w:tcPr>
            <w:tcW w:w="3969" w:type="dxa"/>
            <w:noWrap w:val="0"/>
            <w:vAlign w:val="center"/>
          </w:tcPr>
          <w:p w14:paraId="5EFB4E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Solanaceae</w:t>
            </w:r>
          </w:p>
        </w:tc>
        <w:tc>
          <w:tcPr>
            <w:tcW w:w="1977" w:type="dxa"/>
            <w:noWrap w:val="0"/>
            <w:vAlign w:val="center"/>
          </w:tcPr>
          <w:p w14:paraId="1CC87B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94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047D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120.辣椒属</w:t>
            </w:r>
          </w:p>
        </w:tc>
        <w:tc>
          <w:tcPr>
            <w:tcW w:w="3969" w:type="dxa"/>
            <w:noWrap w:val="0"/>
            <w:vAlign w:val="center"/>
          </w:tcPr>
          <w:p w14:paraId="0DE0F8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Capsicum</w:t>
            </w:r>
          </w:p>
        </w:tc>
        <w:tc>
          <w:tcPr>
            <w:tcW w:w="1977" w:type="dxa"/>
            <w:noWrap w:val="0"/>
            <w:vAlign w:val="center"/>
          </w:tcPr>
          <w:p w14:paraId="5CA009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86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097D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（186）辣椒</w:t>
            </w:r>
          </w:p>
        </w:tc>
        <w:tc>
          <w:tcPr>
            <w:tcW w:w="3969" w:type="dxa"/>
            <w:noWrap w:val="0"/>
            <w:vAlign w:val="center"/>
          </w:tcPr>
          <w:p w14:paraId="08110C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Capsicum annuum</w:t>
            </w:r>
          </w:p>
        </w:tc>
        <w:tc>
          <w:tcPr>
            <w:tcW w:w="1977" w:type="dxa"/>
            <w:noWrap w:val="0"/>
            <w:vAlign w:val="center"/>
          </w:tcPr>
          <w:p w14:paraId="5B9D9C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A12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3C09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121.番茄属</w:t>
            </w:r>
          </w:p>
        </w:tc>
        <w:tc>
          <w:tcPr>
            <w:tcW w:w="3969" w:type="dxa"/>
            <w:noWrap w:val="0"/>
            <w:vAlign w:val="center"/>
          </w:tcPr>
          <w:p w14:paraId="6A2D0E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Lycopersicon</w:t>
            </w:r>
          </w:p>
        </w:tc>
        <w:tc>
          <w:tcPr>
            <w:tcW w:w="1977" w:type="dxa"/>
            <w:noWrap w:val="0"/>
            <w:vAlign w:val="center"/>
          </w:tcPr>
          <w:p w14:paraId="4DF2C41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FC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1C47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（187）番茄</w:t>
            </w:r>
          </w:p>
        </w:tc>
        <w:tc>
          <w:tcPr>
            <w:tcW w:w="3969" w:type="dxa"/>
            <w:noWrap w:val="0"/>
            <w:vAlign w:val="center"/>
          </w:tcPr>
          <w:p w14:paraId="487CF3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Lycopersicon esculentum</w:t>
            </w:r>
          </w:p>
        </w:tc>
        <w:tc>
          <w:tcPr>
            <w:tcW w:w="1977" w:type="dxa"/>
            <w:noWrap w:val="0"/>
            <w:vAlign w:val="center"/>
          </w:tcPr>
          <w:p w14:paraId="056433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9F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F655E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122.酸浆属</w:t>
            </w:r>
          </w:p>
        </w:tc>
        <w:tc>
          <w:tcPr>
            <w:tcW w:w="3969" w:type="dxa"/>
            <w:noWrap w:val="0"/>
            <w:vAlign w:val="center"/>
          </w:tcPr>
          <w:p w14:paraId="027D36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Physalis</w:t>
            </w:r>
          </w:p>
        </w:tc>
        <w:tc>
          <w:tcPr>
            <w:tcW w:w="1977" w:type="dxa"/>
            <w:noWrap w:val="0"/>
            <w:vAlign w:val="center"/>
          </w:tcPr>
          <w:p w14:paraId="198A98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D2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F4A9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（188）苦职</w:t>
            </w:r>
          </w:p>
        </w:tc>
        <w:tc>
          <w:tcPr>
            <w:tcW w:w="3969" w:type="dxa"/>
            <w:noWrap w:val="0"/>
            <w:vAlign w:val="center"/>
          </w:tcPr>
          <w:p w14:paraId="5AD4EE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Physalis angulata</w:t>
            </w:r>
          </w:p>
        </w:tc>
        <w:tc>
          <w:tcPr>
            <w:tcW w:w="1977" w:type="dxa"/>
            <w:noWrap w:val="0"/>
            <w:vAlign w:val="center"/>
          </w:tcPr>
          <w:p w14:paraId="00F9E7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91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FBFF4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123.茄属</w:t>
            </w:r>
          </w:p>
        </w:tc>
        <w:tc>
          <w:tcPr>
            <w:tcW w:w="3969" w:type="dxa"/>
            <w:noWrap w:val="0"/>
            <w:vAlign w:val="center"/>
          </w:tcPr>
          <w:p w14:paraId="43DE74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Solanum</w:t>
            </w:r>
          </w:p>
        </w:tc>
        <w:tc>
          <w:tcPr>
            <w:tcW w:w="1977" w:type="dxa"/>
            <w:noWrap w:val="0"/>
            <w:vAlign w:val="center"/>
          </w:tcPr>
          <w:p w14:paraId="435EB6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BD5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1BB6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（189）马铃薯</w:t>
            </w:r>
          </w:p>
        </w:tc>
        <w:tc>
          <w:tcPr>
            <w:tcW w:w="3969" w:type="dxa"/>
            <w:noWrap w:val="0"/>
            <w:vAlign w:val="center"/>
          </w:tcPr>
          <w:p w14:paraId="7A59AA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Solanum tuberosum</w:t>
            </w:r>
          </w:p>
        </w:tc>
        <w:tc>
          <w:tcPr>
            <w:tcW w:w="1977" w:type="dxa"/>
            <w:noWrap w:val="0"/>
            <w:vAlign w:val="center"/>
          </w:tcPr>
          <w:p w14:paraId="6C77C4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71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8E00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（190）白英</w:t>
            </w:r>
          </w:p>
        </w:tc>
        <w:tc>
          <w:tcPr>
            <w:tcW w:w="3969" w:type="dxa"/>
            <w:noWrap w:val="0"/>
            <w:vAlign w:val="center"/>
          </w:tcPr>
          <w:p w14:paraId="12D3EE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Solanum lyratum</w:t>
            </w:r>
          </w:p>
        </w:tc>
        <w:tc>
          <w:tcPr>
            <w:tcW w:w="1977" w:type="dxa"/>
            <w:noWrap w:val="0"/>
            <w:vAlign w:val="center"/>
          </w:tcPr>
          <w:p w14:paraId="0CE1C6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94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1AF3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（191）龙葵</w:t>
            </w:r>
          </w:p>
        </w:tc>
        <w:tc>
          <w:tcPr>
            <w:tcW w:w="3969" w:type="dxa"/>
            <w:noWrap w:val="0"/>
            <w:vAlign w:val="center"/>
          </w:tcPr>
          <w:p w14:paraId="049002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Solanum nigrum</w:t>
            </w:r>
          </w:p>
        </w:tc>
        <w:tc>
          <w:tcPr>
            <w:tcW w:w="1977" w:type="dxa"/>
            <w:noWrap w:val="0"/>
            <w:vAlign w:val="center"/>
          </w:tcPr>
          <w:p w14:paraId="7D56E1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17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CE39A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五十八、玄参科</w:t>
            </w:r>
          </w:p>
        </w:tc>
        <w:tc>
          <w:tcPr>
            <w:tcW w:w="3969" w:type="dxa"/>
            <w:noWrap w:val="0"/>
            <w:vAlign w:val="center"/>
          </w:tcPr>
          <w:p w14:paraId="19C82F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Scrophulariaceae</w:t>
            </w:r>
          </w:p>
        </w:tc>
        <w:tc>
          <w:tcPr>
            <w:tcW w:w="1977" w:type="dxa"/>
            <w:noWrap w:val="0"/>
            <w:vAlign w:val="center"/>
          </w:tcPr>
          <w:p w14:paraId="3A3580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EFE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B738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123.母草属</w:t>
            </w:r>
          </w:p>
        </w:tc>
        <w:tc>
          <w:tcPr>
            <w:tcW w:w="3969" w:type="dxa"/>
            <w:noWrap w:val="0"/>
            <w:vAlign w:val="center"/>
          </w:tcPr>
          <w:p w14:paraId="3DDCD2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Lindernia</w:t>
            </w:r>
          </w:p>
        </w:tc>
        <w:tc>
          <w:tcPr>
            <w:tcW w:w="1977" w:type="dxa"/>
            <w:noWrap w:val="0"/>
            <w:vAlign w:val="center"/>
          </w:tcPr>
          <w:p w14:paraId="1D81FF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C1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7100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（192）狭叶母草</w:t>
            </w:r>
          </w:p>
        </w:tc>
        <w:tc>
          <w:tcPr>
            <w:tcW w:w="3969" w:type="dxa"/>
            <w:noWrap w:val="0"/>
            <w:vAlign w:val="center"/>
          </w:tcPr>
          <w:p w14:paraId="7AB8A1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Lindernia angustifolia</w:t>
            </w:r>
          </w:p>
        </w:tc>
        <w:tc>
          <w:tcPr>
            <w:tcW w:w="1977" w:type="dxa"/>
            <w:noWrap w:val="0"/>
            <w:vAlign w:val="center"/>
          </w:tcPr>
          <w:p w14:paraId="7926CF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83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EC3EB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（193）陌上菜</w:t>
            </w:r>
          </w:p>
        </w:tc>
        <w:tc>
          <w:tcPr>
            <w:tcW w:w="3969" w:type="dxa"/>
            <w:noWrap w:val="0"/>
            <w:vAlign w:val="center"/>
          </w:tcPr>
          <w:p w14:paraId="740CD7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Lindernia procumbens</w:t>
            </w:r>
          </w:p>
        </w:tc>
        <w:tc>
          <w:tcPr>
            <w:tcW w:w="1977" w:type="dxa"/>
            <w:noWrap w:val="0"/>
            <w:vAlign w:val="center"/>
          </w:tcPr>
          <w:p w14:paraId="138BB2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F0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52B7F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（194）母草</w:t>
            </w:r>
          </w:p>
        </w:tc>
        <w:tc>
          <w:tcPr>
            <w:tcW w:w="3969" w:type="dxa"/>
            <w:noWrap w:val="0"/>
            <w:vAlign w:val="center"/>
          </w:tcPr>
          <w:p w14:paraId="11C56A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Lindernia crustacea</w:t>
            </w:r>
          </w:p>
        </w:tc>
        <w:tc>
          <w:tcPr>
            <w:tcW w:w="1977" w:type="dxa"/>
            <w:noWrap w:val="0"/>
            <w:vAlign w:val="center"/>
          </w:tcPr>
          <w:p w14:paraId="2CBC7E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29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A928E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124.通泉草属</w:t>
            </w:r>
          </w:p>
        </w:tc>
        <w:tc>
          <w:tcPr>
            <w:tcW w:w="3969" w:type="dxa"/>
            <w:noWrap w:val="0"/>
            <w:vAlign w:val="center"/>
          </w:tcPr>
          <w:p w14:paraId="60C605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Mazus</w:t>
            </w:r>
          </w:p>
        </w:tc>
        <w:tc>
          <w:tcPr>
            <w:tcW w:w="1977" w:type="dxa"/>
            <w:noWrap w:val="0"/>
            <w:vAlign w:val="center"/>
          </w:tcPr>
          <w:p w14:paraId="6BF2071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C3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9EF92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（195）通泉草</w:t>
            </w:r>
          </w:p>
        </w:tc>
        <w:tc>
          <w:tcPr>
            <w:tcW w:w="3969" w:type="dxa"/>
            <w:noWrap w:val="0"/>
            <w:vAlign w:val="center"/>
          </w:tcPr>
          <w:p w14:paraId="034DB1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Mazus japonicus</w:t>
            </w:r>
          </w:p>
        </w:tc>
        <w:tc>
          <w:tcPr>
            <w:tcW w:w="1977" w:type="dxa"/>
            <w:noWrap w:val="0"/>
            <w:vAlign w:val="center"/>
          </w:tcPr>
          <w:p w14:paraId="0821FE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1D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EB97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125.泡桐属</w:t>
            </w:r>
          </w:p>
        </w:tc>
        <w:tc>
          <w:tcPr>
            <w:tcW w:w="3969" w:type="dxa"/>
            <w:noWrap w:val="0"/>
            <w:vAlign w:val="center"/>
          </w:tcPr>
          <w:p w14:paraId="688F72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Paulownia</w:t>
            </w:r>
          </w:p>
        </w:tc>
        <w:tc>
          <w:tcPr>
            <w:tcW w:w="1977" w:type="dxa"/>
            <w:noWrap w:val="0"/>
            <w:vAlign w:val="center"/>
          </w:tcPr>
          <w:p w14:paraId="3E88B5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52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849F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（196）白花泡桐</w:t>
            </w:r>
          </w:p>
        </w:tc>
        <w:tc>
          <w:tcPr>
            <w:tcW w:w="3969" w:type="dxa"/>
            <w:noWrap w:val="0"/>
            <w:vAlign w:val="center"/>
          </w:tcPr>
          <w:p w14:paraId="25B010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Paulownia fortunei</w:t>
            </w:r>
          </w:p>
        </w:tc>
        <w:tc>
          <w:tcPr>
            <w:tcW w:w="1977" w:type="dxa"/>
            <w:noWrap w:val="0"/>
            <w:vAlign w:val="center"/>
          </w:tcPr>
          <w:p w14:paraId="651B75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9D3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EB0C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126.阴行草属</w:t>
            </w:r>
          </w:p>
        </w:tc>
        <w:tc>
          <w:tcPr>
            <w:tcW w:w="3969" w:type="dxa"/>
            <w:noWrap w:val="0"/>
            <w:vAlign w:val="center"/>
          </w:tcPr>
          <w:p w14:paraId="0F5CE5C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Siphonostegia</w:t>
            </w:r>
          </w:p>
        </w:tc>
        <w:tc>
          <w:tcPr>
            <w:tcW w:w="1977" w:type="dxa"/>
            <w:noWrap w:val="0"/>
            <w:vAlign w:val="center"/>
          </w:tcPr>
          <w:p w14:paraId="7898FB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7A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CB6EB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（197）阴行草</w:t>
            </w:r>
          </w:p>
        </w:tc>
        <w:tc>
          <w:tcPr>
            <w:tcW w:w="3969" w:type="dxa"/>
            <w:noWrap w:val="0"/>
            <w:vAlign w:val="center"/>
          </w:tcPr>
          <w:p w14:paraId="64990C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Siphonostegia chinensis</w:t>
            </w:r>
          </w:p>
        </w:tc>
        <w:tc>
          <w:tcPr>
            <w:tcW w:w="1977" w:type="dxa"/>
            <w:noWrap w:val="0"/>
            <w:vAlign w:val="center"/>
          </w:tcPr>
          <w:p w14:paraId="4BBA42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8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4A0E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127.婆婆纳属</w:t>
            </w:r>
          </w:p>
        </w:tc>
        <w:tc>
          <w:tcPr>
            <w:tcW w:w="3969" w:type="dxa"/>
            <w:noWrap w:val="0"/>
            <w:vAlign w:val="center"/>
          </w:tcPr>
          <w:p w14:paraId="612952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Veronica</w:t>
            </w:r>
          </w:p>
        </w:tc>
        <w:tc>
          <w:tcPr>
            <w:tcW w:w="1977" w:type="dxa"/>
            <w:noWrap w:val="0"/>
            <w:vAlign w:val="center"/>
          </w:tcPr>
          <w:p w14:paraId="1B9DD9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A1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AB4E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（198）蚊母草</w:t>
            </w:r>
          </w:p>
        </w:tc>
        <w:tc>
          <w:tcPr>
            <w:tcW w:w="3969" w:type="dxa"/>
            <w:noWrap w:val="0"/>
            <w:vAlign w:val="center"/>
          </w:tcPr>
          <w:p w14:paraId="2943BF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Veronica peregrina</w:t>
            </w:r>
          </w:p>
        </w:tc>
        <w:tc>
          <w:tcPr>
            <w:tcW w:w="1977" w:type="dxa"/>
            <w:noWrap w:val="0"/>
            <w:vAlign w:val="center"/>
          </w:tcPr>
          <w:p w14:paraId="23E6E9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8C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ECA3D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（199）水苦荬</w:t>
            </w:r>
          </w:p>
        </w:tc>
        <w:tc>
          <w:tcPr>
            <w:tcW w:w="3969" w:type="dxa"/>
            <w:noWrap w:val="0"/>
            <w:vAlign w:val="center"/>
          </w:tcPr>
          <w:p w14:paraId="38259B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Veronica undulata</w:t>
            </w:r>
          </w:p>
        </w:tc>
        <w:tc>
          <w:tcPr>
            <w:tcW w:w="1977" w:type="dxa"/>
            <w:noWrap w:val="0"/>
            <w:vAlign w:val="center"/>
          </w:tcPr>
          <w:p w14:paraId="64A3E5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F0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0DB2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（200）婆婆纳</w:t>
            </w:r>
          </w:p>
        </w:tc>
        <w:tc>
          <w:tcPr>
            <w:tcW w:w="3969" w:type="dxa"/>
            <w:noWrap w:val="0"/>
            <w:vAlign w:val="center"/>
          </w:tcPr>
          <w:p w14:paraId="271FA9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Veronica didyma</w:t>
            </w:r>
          </w:p>
        </w:tc>
        <w:tc>
          <w:tcPr>
            <w:tcW w:w="1977" w:type="dxa"/>
            <w:noWrap w:val="0"/>
            <w:vAlign w:val="center"/>
          </w:tcPr>
          <w:p w14:paraId="6044BF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258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BAFE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（201）阿拉伯婆婆纳</w:t>
            </w:r>
          </w:p>
        </w:tc>
        <w:tc>
          <w:tcPr>
            <w:tcW w:w="3969" w:type="dxa"/>
            <w:noWrap w:val="0"/>
            <w:vAlign w:val="center"/>
          </w:tcPr>
          <w:p w14:paraId="6E5818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Veronica persica</w:t>
            </w:r>
          </w:p>
        </w:tc>
        <w:tc>
          <w:tcPr>
            <w:tcW w:w="1977" w:type="dxa"/>
            <w:noWrap w:val="0"/>
            <w:vAlign w:val="center"/>
          </w:tcPr>
          <w:p w14:paraId="7644C9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D3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6734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五十九、胡麻科</w:t>
            </w:r>
          </w:p>
        </w:tc>
        <w:tc>
          <w:tcPr>
            <w:tcW w:w="3969" w:type="dxa"/>
            <w:noWrap w:val="0"/>
            <w:vAlign w:val="center"/>
          </w:tcPr>
          <w:p w14:paraId="4E951C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Pedaliaceae</w:t>
            </w:r>
          </w:p>
        </w:tc>
        <w:tc>
          <w:tcPr>
            <w:tcW w:w="1977" w:type="dxa"/>
            <w:noWrap w:val="0"/>
            <w:vAlign w:val="center"/>
          </w:tcPr>
          <w:p w14:paraId="11F0EE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AC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A3B7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128.胡麻属</w:t>
            </w:r>
          </w:p>
        </w:tc>
        <w:tc>
          <w:tcPr>
            <w:tcW w:w="3969" w:type="dxa"/>
            <w:noWrap w:val="0"/>
            <w:vAlign w:val="center"/>
          </w:tcPr>
          <w:p w14:paraId="364DAE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Sesamum</w:t>
            </w:r>
          </w:p>
        </w:tc>
        <w:tc>
          <w:tcPr>
            <w:tcW w:w="1977" w:type="dxa"/>
            <w:noWrap w:val="0"/>
            <w:vAlign w:val="center"/>
          </w:tcPr>
          <w:p w14:paraId="3F37AA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90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C23D5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(202)芝麻</w:t>
            </w:r>
          </w:p>
        </w:tc>
        <w:tc>
          <w:tcPr>
            <w:tcW w:w="3969" w:type="dxa"/>
            <w:noWrap w:val="0"/>
            <w:vAlign w:val="center"/>
          </w:tcPr>
          <w:p w14:paraId="1AEDCC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Sesamum indicum</w:t>
            </w:r>
          </w:p>
        </w:tc>
        <w:tc>
          <w:tcPr>
            <w:tcW w:w="1977" w:type="dxa"/>
            <w:noWrap w:val="0"/>
            <w:vAlign w:val="center"/>
          </w:tcPr>
          <w:p w14:paraId="79E4F1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556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9D088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六十、狸藻科</w:t>
            </w:r>
          </w:p>
        </w:tc>
        <w:tc>
          <w:tcPr>
            <w:tcW w:w="3969" w:type="dxa"/>
            <w:noWrap w:val="0"/>
            <w:vAlign w:val="center"/>
          </w:tcPr>
          <w:p w14:paraId="0A935B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Lentibulariaceae</w:t>
            </w:r>
          </w:p>
        </w:tc>
        <w:tc>
          <w:tcPr>
            <w:tcW w:w="1977" w:type="dxa"/>
            <w:noWrap w:val="0"/>
            <w:vAlign w:val="center"/>
          </w:tcPr>
          <w:p w14:paraId="5862BC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A76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9EEE7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129.狸藻属</w:t>
            </w:r>
          </w:p>
        </w:tc>
        <w:tc>
          <w:tcPr>
            <w:tcW w:w="3969" w:type="dxa"/>
            <w:noWrap w:val="0"/>
            <w:vAlign w:val="center"/>
          </w:tcPr>
          <w:p w14:paraId="2F24E8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Utricularia</w:t>
            </w:r>
          </w:p>
        </w:tc>
        <w:tc>
          <w:tcPr>
            <w:tcW w:w="1977" w:type="dxa"/>
            <w:noWrap w:val="0"/>
            <w:vAlign w:val="center"/>
          </w:tcPr>
          <w:p w14:paraId="5DDBFF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2F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81CC1E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(203)黄花狸藻</w:t>
            </w:r>
          </w:p>
        </w:tc>
        <w:tc>
          <w:tcPr>
            <w:tcW w:w="3969" w:type="dxa"/>
            <w:noWrap w:val="0"/>
            <w:vAlign w:val="center"/>
          </w:tcPr>
          <w:p w14:paraId="7C8660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Utricularia aurea</w:t>
            </w:r>
          </w:p>
        </w:tc>
        <w:tc>
          <w:tcPr>
            <w:tcW w:w="1977" w:type="dxa"/>
            <w:noWrap w:val="0"/>
            <w:vAlign w:val="center"/>
          </w:tcPr>
          <w:p w14:paraId="7D12FB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6A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3425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(204)挖耳草</w:t>
            </w:r>
          </w:p>
        </w:tc>
        <w:tc>
          <w:tcPr>
            <w:tcW w:w="3969" w:type="dxa"/>
            <w:noWrap w:val="0"/>
            <w:vAlign w:val="center"/>
          </w:tcPr>
          <w:p w14:paraId="353A38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Utricularia bifida</w:t>
            </w:r>
          </w:p>
        </w:tc>
        <w:tc>
          <w:tcPr>
            <w:tcW w:w="1977" w:type="dxa"/>
            <w:noWrap w:val="0"/>
            <w:vAlign w:val="center"/>
          </w:tcPr>
          <w:p w14:paraId="5FC08C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CF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8F4AD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六十一、.爵床科</w:t>
            </w:r>
          </w:p>
        </w:tc>
        <w:tc>
          <w:tcPr>
            <w:tcW w:w="3969" w:type="dxa"/>
            <w:noWrap w:val="0"/>
            <w:vAlign w:val="center"/>
          </w:tcPr>
          <w:p w14:paraId="3986BC9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Acanthaceae</w:t>
            </w:r>
          </w:p>
        </w:tc>
        <w:tc>
          <w:tcPr>
            <w:tcW w:w="1977" w:type="dxa"/>
            <w:noWrap w:val="0"/>
            <w:vAlign w:val="center"/>
          </w:tcPr>
          <w:p w14:paraId="1C5A6A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C9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2E095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130.水蓑衣属</w:t>
            </w:r>
          </w:p>
        </w:tc>
        <w:tc>
          <w:tcPr>
            <w:tcW w:w="3969" w:type="dxa"/>
            <w:noWrap w:val="0"/>
            <w:vAlign w:val="center"/>
          </w:tcPr>
          <w:p w14:paraId="326A64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Hygrophila</w:t>
            </w:r>
          </w:p>
        </w:tc>
        <w:tc>
          <w:tcPr>
            <w:tcW w:w="1977" w:type="dxa"/>
            <w:noWrap w:val="0"/>
            <w:vAlign w:val="center"/>
          </w:tcPr>
          <w:p w14:paraId="748DCE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4D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09CED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(205)水蓑衣</w:t>
            </w:r>
          </w:p>
        </w:tc>
        <w:tc>
          <w:tcPr>
            <w:tcW w:w="3969" w:type="dxa"/>
            <w:noWrap w:val="0"/>
            <w:vAlign w:val="center"/>
          </w:tcPr>
          <w:p w14:paraId="43F837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Hygrophila salicifolia</w:t>
            </w:r>
          </w:p>
        </w:tc>
        <w:tc>
          <w:tcPr>
            <w:tcW w:w="1977" w:type="dxa"/>
            <w:noWrap w:val="0"/>
            <w:vAlign w:val="center"/>
          </w:tcPr>
          <w:p w14:paraId="6A735B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2A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F5BA5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131.爵床属</w:t>
            </w:r>
          </w:p>
        </w:tc>
        <w:tc>
          <w:tcPr>
            <w:tcW w:w="3969" w:type="dxa"/>
            <w:noWrap w:val="0"/>
            <w:vAlign w:val="center"/>
          </w:tcPr>
          <w:p w14:paraId="39F434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Rostellularia</w:t>
            </w:r>
          </w:p>
        </w:tc>
        <w:tc>
          <w:tcPr>
            <w:tcW w:w="1977" w:type="dxa"/>
            <w:noWrap w:val="0"/>
            <w:vAlign w:val="center"/>
          </w:tcPr>
          <w:p w14:paraId="3540E4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FF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389A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(206)爵床</w:t>
            </w:r>
          </w:p>
        </w:tc>
        <w:tc>
          <w:tcPr>
            <w:tcW w:w="3969" w:type="dxa"/>
            <w:noWrap w:val="0"/>
            <w:vAlign w:val="center"/>
          </w:tcPr>
          <w:p w14:paraId="13AFAF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Rostellularia procumbens</w:t>
            </w:r>
          </w:p>
        </w:tc>
        <w:tc>
          <w:tcPr>
            <w:tcW w:w="1977" w:type="dxa"/>
            <w:noWrap w:val="0"/>
            <w:vAlign w:val="center"/>
          </w:tcPr>
          <w:p w14:paraId="25BF69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F9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A345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六十二、车前草科</w:t>
            </w:r>
          </w:p>
        </w:tc>
        <w:tc>
          <w:tcPr>
            <w:tcW w:w="3969" w:type="dxa"/>
            <w:noWrap w:val="0"/>
            <w:vAlign w:val="center"/>
          </w:tcPr>
          <w:p w14:paraId="41CEBF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Plantaginaceae</w:t>
            </w:r>
          </w:p>
        </w:tc>
        <w:tc>
          <w:tcPr>
            <w:tcW w:w="1977" w:type="dxa"/>
            <w:noWrap w:val="0"/>
            <w:vAlign w:val="center"/>
          </w:tcPr>
          <w:p w14:paraId="3DA65B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D9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B10F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132.车前属</w:t>
            </w:r>
          </w:p>
        </w:tc>
        <w:tc>
          <w:tcPr>
            <w:tcW w:w="3969" w:type="dxa"/>
            <w:noWrap w:val="0"/>
            <w:vAlign w:val="center"/>
          </w:tcPr>
          <w:p w14:paraId="614F74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Plantago</w:t>
            </w:r>
          </w:p>
        </w:tc>
        <w:tc>
          <w:tcPr>
            <w:tcW w:w="1977" w:type="dxa"/>
            <w:noWrap w:val="0"/>
            <w:vAlign w:val="center"/>
          </w:tcPr>
          <w:p w14:paraId="58B67F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A51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27B02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（207）车前草</w:t>
            </w:r>
          </w:p>
        </w:tc>
        <w:tc>
          <w:tcPr>
            <w:tcW w:w="3969" w:type="dxa"/>
            <w:noWrap w:val="0"/>
            <w:vAlign w:val="center"/>
          </w:tcPr>
          <w:p w14:paraId="3A923EA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Plantago asiatica</w:t>
            </w:r>
          </w:p>
        </w:tc>
        <w:tc>
          <w:tcPr>
            <w:tcW w:w="1977" w:type="dxa"/>
            <w:noWrap w:val="0"/>
            <w:vAlign w:val="center"/>
          </w:tcPr>
          <w:p w14:paraId="4F455C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79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1AA0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六十三、茜草科</w:t>
            </w:r>
          </w:p>
        </w:tc>
        <w:tc>
          <w:tcPr>
            <w:tcW w:w="3969" w:type="dxa"/>
            <w:noWrap w:val="0"/>
            <w:vAlign w:val="center"/>
          </w:tcPr>
          <w:p w14:paraId="1215BD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Rubiaceae</w:t>
            </w:r>
          </w:p>
        </w:tc>
        <w:tc>
          <w:tcPr>
            <w:tcW w:w="1977" w:type="dxa"/>
            <w:noWrap w:val="0"/>
            <w:vAlign w:val="center"/>
          </w:tcPr>
          <w:p w14:paraId="3DC8E6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A0C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D2FA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133.拉拉藤属</w:t>
            </w:r>
          </w:p>
        </w:tc>
        <w:tc>
          <w:tcPr>
            <w:tcW w:w="3969" w:type="dxa"/>
            <w:noWrap w:val="0"/>
            <w:vAlign w:val="center"/>
          </w:tcPr>
          <w:p w14:paraId="542E17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Galium</w:t>
            </w:r>
          </w:p>
        </w:tc>
        <w:tc>
          <w:tcPr>
            <w:tcW w:w="1977" w:type="dxa"/>
            <w:noWrap w:val="0"/>
            <w:vAlign w:val="center"/>
          </w:tcPr>
          <w:p w14:paraId="2B56CE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51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4095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（208）猪殃殃</w:t>
            </w:r>
          </w:p>
        </w:tc>
        <w:tc>
          <w:tcPr>
            <w:tcW w:w="3969" w:type="dxa"/>
            <w:noWrap w:val="0"/>
            <w:vAlign w:val="center"/>
          </w:tcPr>
          <w:p w14:paraId="36A7C4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Galium aparine</w:t>
            </w:r>
          </w:p>
        </w:tc>
        <w:tc>
          <w:tcPr>
            <w:tcW w:w="1977" w:type="dxa"/>
            <w:noWrap w:val="0"/>
            <w:vAlign w:val="center"/>
          </w:tcPr>
          <w:p w14:paraId="5580FD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E35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D8B2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（209）四叶葎</w:t>
            </w:r>
          </w:p>
        </w:tc>
        <w:tc>
          <w:tcPr>
            <w:tcW w:w="3969" w:type="dxa"/>
            <w:noWrap w:val="0"/>
            <w:vAlign w:val="center"/>
          </w:tcPr>
          <w:p w14:paraId="13C5DE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Galium bungei</w:t>
            </w:r>
          </w:p>
        </w:tc>
        <w:tc>
          <w:tcPr>
            <w:tcW w:w="1977" w:type="dxa"/>
            <w:noWrap w:val="0"/>
            <w:vAlign w:val="center"/>
          </w:tcPr>
          <w:p w14:paraId="403925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4A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BFC30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134.栀子属</w:t>
            </w:r>
          </w:p>
        </w:tc>
        <w:tc>
          <w:tcPr>
            <w:tcW w:w="3969" w:type="dxa"/>
            <w:noWrap w:val="0"/>
            <w:vAlign w:val="center"/>
          </w:tcPr>
          <w:p w14:paraId="297269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Gardenia</w:t>
            </w:r>
          </w:p>
        </w:tc>
        <w:tc>
          <w:tcPr>
            <w:tcW w:w="1977" w:type="dxa"/>
            <w:noWrap w:val="0"/>
            <w:vAlign w:val="center"/>
          </w:tcPr>
          <w:p w14:paraId="19C4787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98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532D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（210）栀子花</w:t>
            </w:r>
          </w:p>
        </w:tc>
        <w:tc>
          <w:tcPr>
            <w:tcW w:w="3969" w:type="dxa"/>
            <w:noWrap w:val="0"/>
            <w:vAlign w:val="center"/>
          </w:tcPr>
          <w:p w14:paraId="2304F0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Gardenia jasminoides</w:t>
            </w:r>
          </w:p>
        </w:tc>
        <w:tc>
          <w:tcPr>
            <w:tcW w:w="1977" w:type="dxa"/>
            <w:noWrap w:val="0"/>
            <w:vAlign w:val="center"/>
          </w:tcPr>
          <w:p w14:paraId="089FF2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CF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A38E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135.耳草属</w:t>
            </w:r>
          </w:p>
        </w:tc>
        <w:tc>
          <w:tcPr>
            <w:tcW w:w="3969" w:type="dxa"/>
            <w:noWrap w:val="0"/>
            <w:vAlign w:val="center"/>
          </w:tcPr>
          <w:p w14:paraId="209C1D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Hedyotis</w:t>
            </w:r>
          </w:p>
        </w:tc>
        <w:tc>
          <w:tcPr>
            <w:tcW w:w="1977" w:type="dxa"/>
            <w:noWrap w:val="0"/>
            <w:vAlign w:val="center"/>
          </w:tcPr>
          <w:p w14:paraId="7DEA55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55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2FBEA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（211）金毛耳草</w:t>
            </w:r>
          </w:p>
        </w:tc>
        <w:tc>
          <w:tcPr>
            <w:tcW w:w="3969" w:type="dxa"/>
            <w:noWrap w:val="0"/>
            <w:vAlign w:val="center"/>
          </w:tcPr>
          <w:p w14:paraId="60EB81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Hedyotis chrysotricha</w:t>
            </w:r>
          </w:p>
        </w:tc>
        <w:tc>
          <w:tcPr>
            <w:tcW w:w="1977" w:type="dxa"/>
            <w:noWrap w:val="0"/>
            <w:vAlign w:val="center"/>
          </w:tcPr>
          <w:p w14:paraId="038B44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19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C8260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136.鸡矢藤属</w:t>
            </w:r>
          </w:p>
        </w:tc>
        <w:tc>
          <w:tcPr>
            <w:tcW w:w="3969" w:type="dxa"/>
            <w:noWrap w:val="0"/>
            <w:vAlign w:val="center"/>
          </w:tcPr>
          <w:p w14:paraId="543D55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Paederia</w:t>
            </w:r>
          </w:p>
        </w:tc>
        <w:tc>
          <w:tcPr>
            <w:tcW w:w="1977" w:type="dxa"/>
            <w:noWrap w:val="0"/>
            <w:vAlign w:val="center"/>
          </w:tcPr>
          <w:p w14:paraId="25F027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34A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CC4D8A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（212）鸡矢藤</w:t>
            </w:r>
          </w:p>
        </w:tc>
        <w:tc>
          <w:tcPr>
            <w:tcW w:w="3969" w:type="dxa"/>
            <w:noWrap w:val="0"/>
            <w:vAlign w:val="center"/>
          </w:tcPr>
          <w:p w14:paraId="51045B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Paederia scandens</w:t>
            </w:r>
          </w:p>
        </w:tc>
        <w:tc>
          <w:tcPr>
            <w:tcW w:w="1977" w:type="dxa"/>
            <w:noWrap w:val="0"/>
            <w:vAlign w:val="center"/>
          </w:tcPr>
          <w:p w14:paraId="1A357A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D1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5C2B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137.六月雪属</w:t>
            </w:r>
          </w:p>
        </w:tc>
        <w:tc>
          <w:tcPr>
            <w:tcW w:w="3969" w:type="dxa"/>
            <w:noWrap w:val="0"/>
            <w:vAlign w:val="center"/>
          </w:tcPr>
          <w:p w14:paraId="505C10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Serissa</w:t>
            </w:r>
          </w:p>
        </w:tc>
        <w:tc>
          <w:tcPr>
            <w:tcW w:w="1977" w:type="dxa"/>
            <w:noWrap w:val="0"/>
            <w:vAlign w:val="center"/>
          </w:tcPr>
          <w:p w14:paraId="2D24EC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95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71E19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（213）六月雪</w:t>
            </w:r>
          </w:p>
        </w:tc>
        <w:tc>
          <w:tcPr>
            <w:tcW w:w="3969" w:type="dxa"/>
            <w:noWrap w:val="0"/>
            <w:vAlign w:val="center"/>
          </w:tcPr>
          <w:p w14:paraId="443284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Serissa japonica</w:t>
            </w:r>
          </w:p>
        </w:tc>
        <w:tc>
          <w:tcPr>
            <w:tcW w:w="1977" w:type="dxa"/>
            <w:noWrap w:val="0"/>
            <w:vAlign w:val="center"/>
          </w:tcPr>
          <w:p w14:paraId="77A514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11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7ADC5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六十四、.忍冬科</w:t>
            </w:r>
          </w:p>
        </w:tc>
        <w:tc>
          <w:tcPr>
            <w:tcW w:w="3969" w:type="dxa"/>
            <w:noWrap w:val="0"/>
            <w:vAlign w:val="center"/>
          </w:tcPr>
          <w:p w14:paraId="0699C1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Caprifoliaceae</w:t>
            </w:r>
          </w:p>
        </w:tc>
        <w:tc>
          <w:tcPr>
            <w:tcW w:w="1977" w:type="dxa"/>
            <w:noWrap w:val="0"/>
            <w:vAlign w:val="center"/>
          </w:tcPr>
          <w:p w14:paraId="3F6201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F0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71C0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138.接骨木属</w:t>
            </w:r>
          </w:p>
        </w:tc>
        <w:tc>
          <w:tcPr>
            <w:tcW w:w="3969" w:type="dxa"/>
            <w:noWrap w:val="0"/>
            <w:vAlign w:val="center"/>
          </w:tcPr>
          <w:p w14:paraId="516B40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Sambucus</w:t>
            </w:r>
          </w:p>
        </w:tc>
        <w:tc>
          <w:tcPr>
            <w:tcW w:w="1977" w:type="dxa"/>
            <w:noWrap w:val="0"/>
            <w:vAlign w:val="center"/>
          </w:tcPr>
          <w:p w14:paraId="6B257F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45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ECDB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(214)接骨草</w:t>
            </w:r>
          </w:p>
        </w:tc>
        <w:tc>
          <w:tcPr>
            <w:tcW w:w="3969" w:type="dxa"/>
            <w:noWrap w:val="0"/>
            <w:vAlign w:val="center"/>
          </w:tcPr>
          <w:p w14:paraId="63D15A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Sambucus chinensis</w:t>
            </w:r>
          </w:p>
        </w:tc>
        <w:tc>
          <w:tcPr>
            <w:tcW w:w="1977" w:type="dxa"/>
            <w:noWrap w:val="0"/>
            <w:vAlign w:val="center"/>
          </w:tcPr>
          <w:p w14:paraId="54265C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C0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24B0E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六十五、败酱科</w:t>
            </w:r>
          </w:p>
        </w:tc>
        <w:tc>
          <w:tcPr>
            <w:tcW w:w="3969" w:type="dxa"/>
            <w:noWrap w:val="0"/>
            <w:vAlign w:val="center"/>
          </w:tcPr>
          <w:p w14:paraId="5673723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Valerlanaceae</w:t>
            </w:r>
          </w:p>
        </w:tc>
        <w:tc>
          <w:tcPr>
            <w:tcW w:w="1977" w:type="dxa"/>
            <w:noWrap w:val="0"/>
            <w:vAlign w:val="center"/>
          </w:tcPr>
          <w:p w14:paraId="61B48E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2F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3E317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139.败酱属</w:t>
            </w:r>
          </w:p>
        </w:tc>
        <w:tc>
          <w:tcPr>
            <w:tcW w:w="3969" w:type="dxa"/>
            <w:noWrap w:val="0"/>
            <w:vAlign w:val="center"/>
          </w:tcPr>
          <w:p w14:paraId="1C9A8F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Patrinia</w:t>
            </w:r>
          </w:p>
        </w:tc>
        <w:tc>
          <w:tcPr>
            <w:tcW w:w="1977" w:type="dxa"/>
            <w:noWrap w:val="0"/>
            <w:vAlign w:val="center"/>
          </w:tcPr>
          <w:p w14:paraId="1E65B67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2C2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BB0C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（215）败酱</w:t>
            </w:r>
          </w:p>
        </w:tc>
        <w:tc>
          <w:tcPr>
            <w:tcW w:w="3969" w:type="dxa"/>
            <w:noWrap w:val="0"/>
            <w:vAlign w:val="center"/>
          </w:tcPr>
          <w:p w14:paraId="392B126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Patrinia scabiosaefolia</w:t>
            </w:r>
          </w:p>
        </w:tc>
        <w:tc>
          <w:tcPr>
            <w:tcW w:w="1977" w:type="dxa"/>
            <w:noWrap w:val="0"/>
            <w:vAlign w:val="center"/>
          </w:tcPr>
          <w:p w14:paraId="76ABA3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632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C301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六十六、葫芦科</w:t>
            </w:r>
          </w:p>
        </w:tc>
        <w:tc>
          <w:tcPr>
            <w:tcW w:w="3969" w:type="dxa"/>
            <w:noWrap w:val="0"/>
            <w:vAlign w:val="center"/>
          </w:tcPr>
          <w:p w14:paraId="28FF39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Cucurbitaceae</w:t>
            </w:r>
          </w:p>
        </w:tc>
        <w:tc>
          <w:tcPr>
            <w:tcW w:w="1977" w:type="dxa"/>
            <w:noWrap w:val="0"/>
            <w:vAlign w:val="center"/>
          </w:tcPr>
          <w:p w14:paraId="4008B6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46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4F86D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140.冬瓜属</w:t>
            </w:r>
          </w:p>
        </w:tc>
        <w:tc>
          <w:tcPr>
            <w:tcW w:w="3969" w:type="dxa"/>
            <w:noWrap w:val="0"/>
            <w:vAlign w:val="center"/>
          </w:tcPr>
          <w:p w14:paraId="3E2856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Benincasa</w:t>
            </w:r>
          </w:p>
        </w:tc>
        <w:tc>
          <w:tcPr>
            <w:tcW w:w="1977" w:type="dxa"/>
            <w:noWrap w:val="0"/>
            <w:vAlign w:val="center"/>
          </w:tcPr>
          <w:p w14:paraId="05AEC3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00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AB04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（216）冬瓜</w:t>
            </w:r>
          </w:p>
        </w:tc>
        <w:tc>
          <w:tcPr>
            <w:tcW w:w="3969" w:type="dxa"/>
            <w:noWrap w:val="0"/>
            <w:vAlign w:val="center"/>
          </w:tcPr>
          <w:p w14:paraId="70B01B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Benincasa hispida</w:t>
            </w:r>
          </w:p>
        </w:tc>
        <w:tc>
          <w:tcPr>
            <w:tcW w:w="1977" w:type="dxa"/>
            <w:noWrap w:val="0"/>
            <w:vAlign w:val="center"/>
          </w:tcPr>
          <w:p w14:paraId="602F4F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1A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224F8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141.西瓜属</w:t>
            </w:r>
          </w:p>
        </w:tc>
        <w:tc>
          <w:tcPr>
            <w:tcW w:w="3969" w:type="dxa"/>
            <w:noWrap w:val="0"/>
            <w:vAlign w:val="center"/>
          </w:tcPr>
          <w:p w14:paraId="464BDB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Citrullus</w:t>
            </w:r>
          </w:p>
        </w:tc>
        <w:tc>
          <w:tcPr>
            <w:tcW w:w="1977" w:type="dxa"/>
            <w:noWrap w:val="0"/>
            <w:vAlign w:val="center"/>
          </w:tcPr>
          <w:p w14:paraId="17945E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45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84E8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（217）西瓜</w:t>
            </w:r>
          </w:p>
        </w:tc>
        <w:tc>
          <w:tcPr>
            <w:tcW w:w="3969" w:type="dxa"/>
            <w:noWrap w:val="0"/>
            <w:vAlign w:val="center"/>
          </w:tcPr>
          <w:p w14:paraId="12E690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Citrullus lanatus</w:t>
            </w:r>
          </w:p>
        </w:tc>
        <w:tc>
          <w:tcPr>
            <w:tcW w:w="1977" w:type="dxa"/>
            <w:noWrap w:val="0"/>
            <w:vAlign w:val="center"/>
          </w:tcPr>
          <w:p w14:paraId="3AC97D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AE9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E85E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142.南瓜属</w:t>
            </w:r>
          </w:p>
        </w:tc>
        <w:tc>
          <w:tcPr>
            <w:tcW w:w="3969" w:type="dxa"/>
            <w:noWrap w:val="0"/>
            <w:vAlign w:val="center"/>
          </w:tcPr>
          <w:p w14:paraId="5DF9A4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Cucurbita</w:t>
            </w:r>
          </w:p>
        </w:tc>
        <w:tc>
          <w:tcPr>
            <w:tcW w:w="1977" w:type="dxa"/>
            <w:noWrap w:val="0"/>
            <w:vAlign w:val="center"/>
          </w:tcPr>
          <w:p w14:paraId="2339DD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AC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4910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（218）南瓜</w:t>
            </w:r>
          </w:p>
        </w:tc>
        <w:tc>
          <w:tcPr>
            <w:tcW w:w="3969" w:type="dxa"/>
            <w:noWrap w:val="0"/>
            <w:vAlign w:val="center"/>
          </w:tcPr>
          <w:p w14:paraId="4A66D7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Cucurbita moschata</w:t>
            </w:r>
          </w:p>
        </w:tc>
        <w:tc>
          <w:tcPr>
            <w:tcW w:w="1977" w:type="dxa"/>
            <w:noWrap w:val="0"/>
            <w:vAlign w:val="center"/>
          </w:tcPr>
          <w:p w14:paraId="1DB665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0A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4753A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143.丝瓜属</w:t>
            </w:r>
          </w:p>
        </w:tc>
        <w:tc>
          <w:tcPr>
            <w:tcW w:w="3969" w:type="dxa"/>
            <w:noWrap w:val="0"/>
            <w:vAlign w:val="center"/>
          </w:tcPr>
          <w:p w14:paraId="1D9F22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Luffa</w:t>
            </w:r>
          </w:p>
        </w:tc>
        <w:tc>
          <w:tcPr>
            <w:tcW w:w="1977" w:type="dxa"/>
            <w:noWrap w:val="0"/>
            <w:vAlign w:val="center"/>
          </w:tcPr>
          <w:p w14:paraId="1A72057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EC9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128D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（219）丝瓜</w:t>
            </w:r>
          </w:p>
        </w:tc>
        <w:tc>
          <w:tcPr>
            <w:tcW w:w="3969" w:type="dxa"/>
            <w:noWrap w:val="0"/>
            <w:vAlign w:val="center"/>
          </w:tcPr>
          <w:p w14:paraId="41B7D5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Luffa cylindrica</w:t>
            </w:r>
          </w:p>
        </w:tc>
        <w:tc>
          <w:tcPr>
            <w:tcW w:w="1977" w:type="dxa"/>
            <w:noWrap w:val="0"/>
            <w:vAlign w:val="center"/>
          </w:tcPr>
          <w:p w14:paraId="49FA69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9F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4DCF5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144.葫芦属</w:t>
            </w:r>
          </w:p>
        </w:tc>
        <w:tc>
          <w:tcPr>
            <w:tcW w:w="3969" w:type="dxa"/>
            <w:noWrap w:val="0"/>
            <w:vAlign w:val="center"/>
          </w:tcPr>
          <w:p w14:paraId="4C7B68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Lagenaria</w:t>
            </w:r>
          </w:p>
        </w:tc>
        <w:tc>
          <w:tcPr>
            <w:tcW w:w="1977" w:type="dxa"/>
            <w:noWrap w:val="0"/>
            <w:vAlign w:val="center"/>
          </w:tcPr>
          <w:p w14:paraId="0D8C79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1F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065B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（220）葫芦</w:t>
            </w:r>
          </w:p>
        </w:tc>
        <w:tc>
          <w:tcPr>
            <w:tcW w:w="3969" w:type="dxa"/>
            <w:noWrap w:val="0"/>
            <w:vAlign w:val="center"/>
          </w:tcPr>
          <w:p w14:paraId="3F7847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Lagenaria siceraria</w:t>
            </w:r>
          </w:p>
        </w:tc>
        <w:tc>
          <w:tcPr>
            <w:tcW w:w="1977" w:type="dxa"/>
            <w:noWrap w:val="0"/>
            <w:vAlign w:val="center"/>
          </w:tcPr>
          <w:p w14:paraId="2D74F22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B9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724B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145.苦瓜属</w:t>
            </w:r>
          </w:p>
        </w:tc>
        <w:tc>
          <w:tcPr>
            <w:tcW w:w="3969" w:type="dxa"/>
            <w:noWrap w:val="0"/>
            <w:vAlign w:val="center"/>
          </w:tcPr>
          <w:p w14:paraId="14790D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Momordica</w:t>
            </w:r>
          </w:p>
        </w:tc>
        <w:tc>
          <w:tcPr>
            <w:tcW w:w="1977" w:type="dxa"/>
            <w:noWrap w:val="0"/>
            <w:vAlign w:val="center"/>
          </w:tcPr>
          <w:p w14:paraId="3C633D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88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F0CF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（221）苦瓜</w:t>
            </w:r>
          </w:p>
        </w:tc>
        <w:tc>
          <w:tcPr>
            <w:tcW w:w="3969" w:type="dxa"/>
            <w:noWrap w:val="0"/>
            <w:vAlign w:val="center"/>
          </w:tcPr>
          <w:p w14:paraId="2267A91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Momordica charantia</w:t>
            </w:r>
          </w:p>
        </w:tc>
        <w:tc>
          <w:tcPr>
            <w:tcW w:w="1977" w:type="dxa"/>
            <w:noWrap w:val="0"/>
            <w:vAlign w:val="center"/>
          </w:tcPr>
          <w:p w14:paraId="418F4D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3BA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7494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146.栝楼属</w:t>
            </w:r>
          </w:p>
        </w:tc>
        <w:tc>
          <w:tcPr>
            <w:tcW w:w="3969" w:type="dxa"/>
            <w:noWrap w:val="0"/>
            <w:vAlign w:val="center"/>
          </w:tcPr>
          <w:p w14:paraId="2DEA44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Trichosanthes</w:t>
            </w:r>
          </w:p>
        </w:tc>
        <w:tc>
          <w:tcPr>
            <w:tcW w:w="1977" w:type="dxa"/>
            <w:noWrap w:val="0"/>
            <w:vAlign w:val="center"/>
          </w:tcPr>
          <w:p w14:paraId="0561ED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0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0D3A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（222）栝楼</w:t>
            </w:r>
          </w:p>
        </w:tc>
        <w:tc>
          <w:tcPr>
            <w:tcW w:w="3969" w:type="dxa"/>
            <w:noWrap w:val="0"/>
            <w:vAlign w:val="center"/>
          </w:tcPr>
          <w:p w14:paraId="3BA34BE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Trichosanthes kirilowii</w:t>
            </w:r>
          </w:p>
        </w:tc>
        <w:tc>
          <w:tcPr>
            <w:tcW w:w="1977" w:type="dxa"/>
            <w:noWrap w:val="0"/>
            <w:vAlign w:val="center"/>
          </w:tcPr>
          <w:p w14:paraId="20E692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74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D3C5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六十七、桔梗科</w:t>
            </w:r>
          </w:p>
        </w:tc>
        <w:tc>
          <w:tcPr>
            <w:tcW w:w="3969" w:type="dxa"/>
            <w:noWrap w:val="0"/>
            <w:vAlign w:val="center"/>
          </w:tcPr>
          <w:p w14:paraId="59CB00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Campanulaceae</w:t>
            </w:r>
          </w:p>
        </w:tc>
        <w:tc>
          <w:tcPr>
            <w:tcW w:w="1977" w:type="dxa"/>
            <w:noWrap w:val="0"/>
            <w:vAlign w:val="center"/>
          </w:tcPr>
          <w:p w14:paraId="54274A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6AE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4DA4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147.半边莲属</w:t>
            </w:r>
          </w:p>
        </w:tc>
        <w:tc>
          <w:tcPr>
            <w:tcW w:w="3969" w:type="dxa"/>
            <w:noWrap w:val="0"/>
            <w:vAlign w:val="center"/>
          </w:tcPr>
          <w:p w14:paraId="618685D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Lobelia</w:t>
            </w:r>
          </w:p>
        </w:tc>
        <w:tc>
          <w:tcPr>
            <w:tcW w:w="1977" w:type="dxa"/>
            <w:noWrap w:val="0"/>
            <w:vAlign w:val="center"/>
          </w:tcPr>
          <w:p w14:paraId="1CB8E5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DC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430EE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(223)半边莲</w:t>
            </w:r>
          </w:p>
        </w:tc>
        <w:tc>
          <w:tcPr>
            <w:tcW w:w="3969" w:type="dxa"/>
            <w:noWrap w:val="0"/>
            <w:vAlign w:val="center"/>
          </w:tcPr>
          <w:p w14:paraId="7805A9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Lobelia chinensis</w:t>
            </w:r>
          </w:p>
        </w:tc>
        <w:tc>
          <w:tcPr>
            <w:tcW w:w="1977" w:type="dxa"/>
            <w:noWrap w:val="0"/>
            <w:vAlign w:val="center"/>
          </w:tcPr>
          <w:p w14:paraId="49B0F8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6E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1053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六十八、菊科</w:t>
            </w:r>
          </w:p>
        </w:tc>
        <w:tc>
          <w:tcPr>
            <w:tcW w:w="3969" w:type="dxa"/>
            <w:noWrap w:val="0"/>
            <w:vAlign w:val="center"/>
          </w:tcPr>
          <w:p w14:paraId="37D69F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Compositae</w:t>
            </w:r>
          </w:p>
        </w:tc>
        <w:tc>
          <w:tcPr>
            <w:tcW w:w="1977" w:type="dxa"/>
            <w:noWrap w:val="0"/>
            <w:vAlign w:val="center"/>
          </w:tcPr>
          <w:p w14:paraId="7B1CDF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1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AC4A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147.胜红蓟属</w:t>
            </w:r>
          </w:p>
        </w:tc>
        <w:tc>
          <w:tcPr>
            <w:tcW w:w="3969" w:type="dxa"/>
            <w:noWrap w:val="0"/>
            <w:vAlign w:val="center"/>
          </w:tcPr>
          <w:p w14:paraId="0449EC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Ageratum</w:t>
            </w:r>
          </w:p>
        </w:tc>
        <w:tc>
          <w:tcPr>
            <w:tcW w:w="1977" w:type="dxa"/>
            <w:noWrap w:val="0"/>
            <w:vAlign w:val="center"/>
          </w:tcPr>
          <w:p w14:paraId="0EAECB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4D9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971E4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（224）胜红蓟</w:t>
            </w:r>
          </w:p>
        </w:tc>
        <w:tc>
          <w:tcPr>
            <w:tcW w:w="3969" w:type="dxa"/>
            <w:noWrap w:val="0"/>
            <w:vAlign w:val="center"/>
          </w:tcPr>
          <w:p w14:paraId="26CCB1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Ageratum conyzoides</w:t>
            </w:r>
          </w:p>
        </w:tc>
        <w:tc>
          <w:tcPr>
            <w:tcW w:w="1977" w:type="dxa"/>
            <w:noWrap w:val="0"/>
            <w:vAlign w:val="center"/>
          </w:tcPr>
          <w:p w14:paraId="256005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9D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173E08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148.豚草属</w:t>
            </w:r>
          </w:p>
        </w:tc>
        <w:tc>
          <w:tcPr>
            <w:tcW w:w="3969" w:type="dxa"/>
            <w:noWrap w:val="0"/>
            <w:vAlign w:val="center"/>
          </w:tcPr>
          <w:p w14:paraId="7273CC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Ambrosia</w:t>
            </w:r>
          </w:p>
        </w:tc>
        <w:tc>
          <w:tcPr>
            <w:tcW w:w="1977" w:type="dxa"/>
            <w:noWrap w:val="0"/>
            <w:vAlign w:val="center"/>
          </w:tcPr>
          <w:p w14:paraId="1A8380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A0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721D8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（225）豚草</w:t>
            </w:r>
          </w:p>
        </w:tc>
        <w:tc>
          <w:tcPr>
            <w:tcW w:w="3969" w:type="dxa"/>
            <w:noWrap w:val="0"/>
            <w:vAlign w:val="center"/>
          </w:tcPr>
          <w:p w14:paraId="216F82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Ambrosia artemissifolia</w:t>
            </w:r>
          </w:p>
        </w:tc>
        <w:tc>
          <w:tcPr>
            <w:tcW w:w="1977" w:type="dxa"/>
            <w:noWrap w:val="0"/>
            <w:vAlign w:val="center"/>
          </w:tcPr>
          <w:p w14:paraId="52A1BA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26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82D3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149.蒿属</w:t>
            </w:r>
          </w:p>
        </w:tc>
        <w:tc>
          <w:tcPr>
            <w:tcW w:w="3969" w:type="dxa"/>
            <w:noWrap w:val="0"/>
            <w:vAlign w:val="center"/>
          </w:tcPr>
          <w:p w14:paraId="45CA18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w:t>
            </w:r>
          </w:p>
        </w:tc>
        <w:tc>
          <w:tcPr>
            <w:tcW w:w="1977" w:type="dxa"/>
            <w:noWrap w:val="0"/>
            <w:vAlign w:val="center"/>
          </w:tcPr>
          <w:p w14:paraId="06DF67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088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0B9F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（226）野艾蒿</w:t>
            </w:r>
          </w:p>
        </w:tc>
        <w:tc>
          <w:tcPr>
            <w:tcW w:w="3969" w:type="dxa"/>
            <w:noWrap w:val="0"/>
            <w:vAlign w:val="center"/>
          </w:tcPr>
          <w:p w14:paraId="237C8A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lavandulaefolia</w:t>
            </w:r>
          </w:p>
        </w:tc>
        <w:tc>
          <w:tcPr>
            <w:tcW w:w="1977" w:type="dxa"/>
            <w:noWrap w:val="0"/>
            <w:vAlign w:val="center"/>
          </w:tcPr>
          <w:p w14:paraId="0F0E93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23E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7BD4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（227）艾蒿</w:t>
            </w:r>
          </w:p>
        </w:tc>
        <w:tc>
          <w:tcPr>
            <w:tcW w:w="3969" w:type="dxa"/>
            <w:noWrap w:val="0"/>
            <w:vAlign w:val="center"/>
          </w:tcPr>
          <w:p w14:paraId="6F291E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argyi</w:t>
            </w:r>
          </w:p>
        </w:tc>
        <w:tc>
          <w:tcPr>
            <w:tcW w:w="1977" w:type="dxa"/>
            <w:noWrap w:val="0"/>
            <w:vAlign w:val="center"/>
          </w:tcPr>
          <w:p w14:paraId="33C5B3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B8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BFFB6D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（228）牡蒿</w:t>
            </w:r>
          </w:p>
        </w:tc>
        <w:tc>
          <w:tcPr>
            <w:tcW w:w="3969" w:type="dxa"/>
            <w:noWrap w:val="0"/>
            <w:vAlign w:val="center"/>
          </w:tcPr>
          <w:p w14:paraId="14456C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japonica</w:t>
            </w:r>
          </w:p>
        </w:tc>
        <w:tc>
          <w:tcPr>
            <w:tcW w:w="1977" w:type="dxa"/>
            <w:noWrap w:val="0"/>
            <w:vAlign w:val="center"/>
          </w:tcPr>
          <w:p w14:paraId="77DDA15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5E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6A8E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（229）青蒿</w:t>
            </w:r>
          </w:p>
        </w:tc>
        <w:tc>
          <w:tcPr>
            <w:tcW w:w="3969" w:type="dxa"/>
            <w:noWrap w:val="0"/>
            <w:vAlign w:val="center"/>
          </w:tcPr>
          <w:p w14:paraId="30B4B4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caruifolia</w:t>
            </w:r>
          </w:p>
        </w:tc>
        <w:tc>
          <w:tcPr>
            <w:tcW w:w="1977" w:type="dxa"/>
            <w:noWrap w:val="0"/>
            <w:vAlign w:val="center"/>
          </w:tcPr>
          <w:p w14:paraId="1611C6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3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97A2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（230）猪毛蒿</w:t>
            </w:r>
          </w:p>
        </w:tc>
        <w:tc>
          <w:tcPr>
            <w:tcW w:w="3969" w:type="dxa"/>
            <w:noWrap w:val="0"/>
            <w:vAlign w:val="center"/>
          </w:tcPr>
          <w:p w14:paraId="6986075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scoparia</w:t>
            </w:r>
          </w:p>
        </w:tc>
        <w:tc>
          <w:tcPr>
            <w:tcW w:w="1977" w:type="dxa"/>
            <w:noWrap w:val="0"/>
            <w:vAlign w:val="center"/>
          </w:tcPr>
          <w:p w14:paraId="5D101A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0B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7BFD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（231）蒌蒿</w:t>
            </w:r>
          </w:p>
        </w:tc>
        <w:tc>
          <w:tcPr>
            <w:tcW w:w="3969" w:type="dxa"/>
            <w:noWrap w:val="0"/>
            <w:vAlign w:val="center"/>
          </w:tcPr>
          <w:p w14:paraId="4E1E7E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selengensis</w:t>
            </w:r>
          </w:p>
        </w:tc>
        <w:tc>
          <w:tcPr>
            <w:tcW w:w="1977" w:type="dxa"/>
            <w:noWrap w:val="0"/>
            <w:vAlign w:val="center"/>
          </w:tcPr>
          <w:p w14:paraId="66EECF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31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A2DE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（232）黄花蒿</w:t>
            </w:r>
          </w:p>
        </w:tc>
        <w:tc>
          <w:tcPr>
            <w:tcW w:w="3969" w:type="dxa"/>
            <w:noWrap w:val="0"/>
            <w:vAlign w:val="center"/>
          </w:tcPr>
          <w:p w14:paraId="0FA328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Artemisia annua</w:t>
            </w:r>
          </w:p>
        </w:tc>
        <w:tc>
          <w:tcPr>
            <w:tcW w:w="1977" w:type="dxa"/>
            <w:noWrap w:val="0"/>
            <w:vAlign w:val="center"/>
          </w:tcPr>
          <w:p w14:paraId="51C0BF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74E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E7990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150.紫苑属</w:t>
            </w:r>
          </w:p>
        </w:tc>
        <w:tc>
          <w:tcPr>
            <w:tcW w:w="3969" w:type="dxa"/>
            <w:noWrap w:val="0"/>
            <w:vAlign w:val="center"/>
          </w:tcPr>
          <w:p w14:paraId="7374EF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Aster</w:t>
            </w:r>
          </w:p>
        </w:tc>
        <w:tc>
          <w:tcPr>
            <w:tcW w:w="1977" w:type="dxa"/>
            <w:noWrap w:val="0"/>
            <w:vAlign w:val="center"/>
          </w:tcPr>
          <w:p w14:paraId="7B4E82A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11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51EA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（233）三脉紫苑</w:t>
            </w:r>
          </w:p>
        </w:tc>
        <w:tc>
          <w:tcPr>
            <w:tcW w:w="3969" w:type="dxa"/>
            <w:noWrap w:val="0"/>
            <w:vAlign w:val="center"/>
          </w:tcPr>
          <w:p w14:paraId="269FB4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Aster ageratoides</w:t>
            </w:r>
          </w:p>
        </w:tc>
        <w:tc>
          <w:tcPr>
            <w:tcW w:w="1977" w:type="dxa"/>
            <w:noWrap w:val="0"/>
            <w:vAlign w:val="center"/>
          </w:tcPr>
          <w:p w14:paraId="738BBB7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CDE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5C42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151.鬼针草属</w:t>
            </w:r>
          </w:p>
        </w:tc>
        <w:tc>
          <w:tcPr>
            <w:tcW w:w="3969" w:type="dxa"/>
            <w:noWrap w:val="0"/>
            <w:vAlign w:val="center"/>
          </w:tcPr>
          <w:p w14:paraId="1459EB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Bidens</w:t>
            </w:r>
          </w:p>
        </w:tc>
        <w:tc>
          <w:tcPr>
            <w:tcW w:w="1977" w:type="dxa"/>
            <w:noWrap w:val="0"/>
            <w:vAlign w:val="center"/>
          </w:tcPr>
          <w:p w14:paraId="4D5B4C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25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28AF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（234）鬼针草</w:t>
            </w:r>
          </w:p>
        </w:tc>
        <w:tc>
          <w:tcPr>
            <w:tcW w:w="3969" w:type="dxa"/>
            <w:noWrap w:val="0"/>
            <w:vAlign w:val="center"/>
          </w:tcPr>
          <w:p w14:paraId="07A8A6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Bidens pilosa</w:t>
            </w:r>
          </w:p>
        </w:tc>
        <w:tc>
          <w:tcPr>
            <w:tcW w:w="1977" w:type="dxa"/>
            <w:noWrap w:val="0"/>
            <w:vAlign w:val="center"/>
          </w:tcPr>
          <w:p w14:paraId="1E37BE0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EE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97E8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（235）狼巴草</w:t>
            </w:r>
          </w:p>
        </w:tc>
        <w:tc>
          <w:tcPr>
            <w:tcW w:w="3969" w:type="dxa"/>
            <w:noWrap w:val="0"/>
            <w:vAlign w:val="center"/>
          </w:tcPr>
          <w:p w14:paraId="416FAA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Bidens tripartita</w:t>
            </w:r>
          </w:p>
        </w:tc>
        <w:tc>
          <w:tcPr>
            <w:tcW w:w="1977" w:type="dxa"/>
            <w:noWrap w:val="0"/>
            <w:vAlign w:val="center"/>
          </w:tcPr>
          <w:p w14:paraId="443B98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0E2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12875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152.飞廉属</w:t>
            </w:r>
          </w:p>
        </w:tc>
        <w:tc>
          <w:tcPr>
            <w:tcW w:w="3969" w:type="dxa"/>
            <w:noWrap w:val="0"/>
            <w:vAlign w:val="center"/>
          </w:tcPr>
          <w:p w14:paraId="4D952A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Carduus</w:t>
            </w:r>
          </w:p>
        </w:tc>
        <w:tc>
          <w:tcPr>
            <w:tcW w:w="1977" w:type="dxa"/>
            <w:noWrap w:val="0"/>
            <w:vAlign w:val="center"/>
          </w:tcPr>
          <w:p w14:paraId="635DE0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EC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94A9C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（236）飞廉</w:t>
            </w:r>
          </w:p>
        </w:tc>
        <w:tc>
          <w:tcPr>
            <w:tcW w:w="3969" w:type="dxa"/>
            <w:noWrap w:val="0"/>
            <w:vAlign w:val="center"/>
          </w:tcPr>
          <w:p w14:paraId="28B35A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Carduusnutans</w:t>
            </w:r>
          </w:p>
        </w:tc>
        <w:tc>
          <w:tcPr>
            <w:tcW w:w="1977" w:type="dxa"/>
            <w:noWrap w:val="0"/>
            <w:vAlign w:val="center"/>
          </w:tcPr>
          <w:p w14:paraId="73ECBC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FF3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1CA8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153.天名精属</w:t>
            </w:r>
          </w:p>
        </w:tc>
        <w:tc>
          <w:tcPr>
            <w:tcW w:w="3969" w:type="dxa"/>
            <w:noWrap w:val="0"/>
            <w:vAlign w:val="center"/>
          </w:tcPr>
          <w:p w14:paraId="13B475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Carpesium</w:t>
            </w:r>
          </w:p>
        </w:tc>
        <w:tc>
          <w:tcPr>
            <w:tcW w:w="1977" w:type="dxa"/>
            <w:noWrap w:val="0"/>
            <w:vAlign w:val="center"/>
          </w:tcPr>
          <w:p w14:paraId="508A4F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100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1610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（237）烟管头草</w:t>
            </w:r>
          </w:p>
        </w:tc>
        <w:tc>
          <w:tcPr>
            <w:tcW w:w="3969" w:type="dxa"/>
            <w:noWrap w:val="0"/>
            <w:vAlign w:val="center"/>
          </w:tcPr>
          <w:p w14:paraId="1D11D0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Carpesium cernuum</w:t>
            </w:r>
          </w:p>
        </w:tc>
        <w:tc>
          <w:tcPr>
            <w:tcW w:w="1977" w:type="dxa"/>
            <w:noWrap w:val="0"/>
            <w:vAlign w:val="center"/>
          </w:tcPr>
          <w:p w14:paraId="3ADD96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A2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662A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（238）天名精</w:t>
            </w:r>
          </w:p>
        </w:tc>
        <w:tc>
          <w:tcPr>
            <w:tcW w:w="3969" w:type="dxa"/>
            <w:noWrap w:val="0"/>
            <w:vAlign w:val="center"/>
          </w:tcPr>
          <w:p w14:paraId="718CC4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Carpesium abrotanoides</w:t>
            </w:r>
          </w:p>
        </w:tc>
        <w:tc>
          <w:tcPr>
            <w:tcW w:w="1977" w:type="dxa"/>
            <w:noWrap w:val="0"/>
            <w:vAlign w:val="center"/>
          </w:tcPr>
          <w:p w14:paraId="4489C3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7D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AC641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（239）金挖耳</w:t>
            </w:r>
          </w:p>
        </w:tc>
        <w:tc>
          <w:tcPr>
            <w:tcW w:w="3969" w:type="dxa"/>
            <w:noWrap w:val="0"/>
            <w:vAlign w:val="center"/>
          </w:tcPr>
          <w:p w14:paraId="4D8622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Carpesium divaricatum</w:t>
            </w:r>
          </w:p>
        </w:tc>
        <w:tc>
          <w:tcPr>
            <w:tcW w:w="1977" w:type="dxa"/>
            <w:noWrap w:val="0"/>
            <w:vAlign w:val="center"/>
          </w:tcPr>
          <w:p w14:paraId="15943A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281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1ACEB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154.蓟属</w:t>
            </w:r>
          </w:p>
        </w:tc>
        <w:tc>
          <w:tcPr>
            <w:tcW w:w="3969" w:type="dxa"/>
            <w:noWrap w:val="0"/>
            <w:vAlign w:val="center"/>
          </w:tcPr>
          <w:p w14:paraId="02D118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Cirsium</w:t>
            </w:r>
          </w:p>
        </w:tc>
        <w:tc>
          <w:tcPr>
            <w:tcW w:w="1977" w:type="dxa"/>
            <w:noWrap w:val="0"/>
            <w:vAlign w:val="center"/>
          </w:tcPr>
          <w:p w14:paraId="4F4B5C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B7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5AA5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（240）蓟</w:t>
            </w:r>
          </w:p>
        </w:tc>
        <w:tc>
          <w:tcPr>
            <w:tcW w:w="3969" w:type="dxa"/>
            <w:noWrap w:val="0"/>
            <w:vAlign w:val="center"/>
          </w:tcPr>
          <w:p w14:paraId="5A0CBE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Cirsium japonicum</w:t>
            </w:r>
          </w:p>
        </w:tc>
        <w:tc>
          <w:tcPr>
            <w:tcW w:w="1977" w:type="dxa"/>
            <w:noWrap w:val="0"/>
            <w:vAlign w:val="center"/>
          </w:tcPr>
          <w:p w14:paraId="59D82E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37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E1EBC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（241）小蓟</w:t>
            </w:r>
          </w:p>
        </w:tc>
        <w:tc>
          <w:tcPr>
            <w:tcW w:w="3969" w:type="dxa"/>
            <w:noWrap w:val="0"/>
            <w:vAlign w:val="center"/>
          </w:tcPr>
          <w:p w14:paraId="6D5237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Cirsium setosum</w:t>
            </w:r>
          </w:p>
        </w:tc>
        <w:tc>
          <w:tcPr>
            <w:tcW w:w="1977" w:type="dxa"/>
            <w:noWrap w:val="0"/>
            <w:vAlign w:val="center"/>
          </w:tcPr>
          <w:p w14:paraId="6009AE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25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2FA0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155.茼蒿属</w:t>
            </w:r>
          </w:p>
        </w:tc>
        <w:tc>
          <w:tcPr>
            <w:tcW w:w="3969" w:type="dxa"/>
            <w:noWrap w:val="0"/>
            <w:vAlign w:val="center"/>
          </w:tcPr>
          <w:p w14:paraId="16AB8A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Chrysanthemum</w:t>
            </w:r>
          </w:p>
        </w:tc>
        <w:tc>
          <w:tcPr>
            <w:tcW w:w="1977" w:type="dxa"/>
            <w:noWrap w:val="0"/>
            <w:vAlign w:val="center"/>
          </w:tcPr>
          <w:p w14:paraId="3D460C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D4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89B6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（242）茼蒿</w:t>
            </w:r>
          </w:p>
        </w:tc>
        <w:tc>
          <w:tcPr>
            <w:tcW w:w="3969" w:type="dxa"/>
            <w:noWrap w:val="0"/>
            <w:vAlign w:val="center"/>
          </w:tcPr>
          <w:p w14:paraId="0AE624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Chrysanthemum coronarium</w:t>
            </w:r>
          </w:p>
        </w:tc>
        <w:tc>
          <w:tcPr>
            <w:tcW w:w="1977" w:type="dxa"/>
            <w:noWrap w:val="0"/>
            <w:vAlign w:val="center"/>
          </w:tcPr>
          <w:p w14:paraId="0CB163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FC3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2F09D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156.白酒草属</w:t>
            </w:r>
          </w:p>
        </w:tc>
        <w:tc>
          <w:tcPr>
            <w:tcW w:w="3969" w:type="dxa"/>
            <w:noWrap w:val="0"/>
            <w:vAlign w:val="center"/>
          </w:tcPr>
          <w:p w14:paraId="5FBE7C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Conyza</w:t>
            </w:r>
          </w:p>
        </w:tc>
        <w:tc>
          <w:tcPr>
            <w:tcW w:w="1977" w:type="dxa"/>
            <w:noWrap w:val="0"/>
            <w:vAlign w:val="center"/>
          </w:tcPr>
          <w:p w14:paraId="1554F5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C34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0E1F8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（243）小飞蓬</w:t>
            </w:r>
          </w:p>
        </w:tc>
        <w:tc>
          <w:tcPr>
            <w:tcW w:w="3969" w:type="dxa"/>
            <w:noWrap w:val="0"/>
            <w:vAlign w:val="center"/>
          </w:tcPr>
          <w:p w14:paraId="65402C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Conyza canadensis</w:t>
            </w:r>
          </w:p>
        </w:tc>
        <w:tc>
          <w:tcPr>
            <w:tcW w:w="1977" w:type="dxa"/>
            <w:noWrap w:val="0"/>
            <w:vAlign w:val="center"/>
          </w:tcPr>
          <w:p w14:paraId="4A902A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1F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0FC53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157.菊属</w:t>
            </w:r>
          </w:p>
        </w:tc>
        <w:tc>
          <w:tcPr>
            <w:tcW w:w="3969" w:type="dxa"/>
            <w:noWrap w:val="0"/>
            <w:vAlign w:val="center"/>
          </w:tcPr>
          <w:p w14:paraId="5EDF20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Dendranthema</w:t>
            </w:r>
          </w:p>
        </w:tc>
        <w:tc>
          <w:tcPr>
            <w:tcW w:w="1977" w:type="dxa"/>
            <w:noWrap w:val="0"/>
            <w:vAlign w:val="center"/>
          </w:tcPr>
          <w:p w14:paraId="2346BF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6E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85FC5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（244）野菊</w:t>
            </w:r>
          </w:p>
        </w:tc>
        <w:tc>
          <w:tcPr>
            <w:tcW w:w="3969" w:type="dxa"/>
            <w:noWrap w:val="0"/>
            <w:vAlign w:val="center"/>
          </w:tcPr>
          <w:p w14:paraId="7F00BF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Dendranthema indicum</w:t>
            </w:r>
          </w:p>
        </w:tc>
        <w:tc>
          <w:tcPr>
            <w:tcW w:w="1977" w:type="dxa"/>
            <w:noWrap w:val="0"/>
            <w:vAlign w:val="center"/>
          </w:tcPr>
          <w:p w14:paraId="3F69DB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0A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EB1C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（245）播娘蒿</w:t>
            </w:r>
          </w:p>
        </w:tc>
        <w:tc>
          <w:tcPr>
            <w:tcW w:w="3969" w:type="dxa"/>
            <w:noWrap w:val="0"/>
            <w:vAlign w:val="center"/>
          </w:tcPr>
          <w:p w14:paraId="620DFC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Descurainia sophia</w:t>
            </w:r>
          </w:p>
        </w:tc>
        <w:tc>
          <w:tcPr>
            <w:tcW w:w="1977" w:type="dxa"/>
            <w:noWrap w:val="0"/>
            <w:vAlign w:val="center"/>
          </w:tcPr>
          <w:p w14:paraId="6D2EF9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AB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EF0307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158.东风菜属</w:t>
            </w:r>
          </w:p>
        </w:tc>
        <w:tc>
          <w:tcPr>
            <w:tcW w:w="3969" w:type="dxa"/>
            <w:noWrap w:val="0"/>
            <w:vAlign w:val="center"/>
          </w:tcPr>
          <w:p w14:paraId="3716FB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Doellingeria</w:t>
            </w:r>
          </w:p>
        </w:tc>
        <w:tc>
          <w:tcPr>
            <w:tcW w:w="1977" w:type="dxa"/>
            <w:noWrap w:val="0"/>
            <w:vAlign w:val="center"/>
          </w:tcPr>
          <w:p w14:paraId="73ABBA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FA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064AD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（246）东风菜</w:t>
            </w:r>
          </w:p>
        </w:tc>
        <w:tc>
          <w:tcPr>
            <w:tcW w:w="3969" w:type="dxa"/>
            <w:noWrap w:val="0"/>
            <w:vAlign w:val="center"/>
          </w:tcPr>
          <w:p w14:paraId="1E6A36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Doellingeria scaber</w:t>
            </w:r>
          </w:p>
        </w:tc>
        <w:tc>
          <w:tcPr>
            <w:tcW w:w="1977" w:type="dxa"/>
            <w:noWrap w:val="0"/>
            <w:vAlign w:val="center"/>
          </w:tcPr>
          <w:p w14:paraId="516B20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AE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A3F4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159.一点红属</w:t>
            </w:r>
          </w:p>
        </w:tc>
        <w:tc>
          <w:tcPr>
            <w:tcW w:w="3969" w:type="dxa"/>
            <w:noWrap w:val="0"/>
            <w:vAlign w:val="center"/>
          </w:tcPr>
          <w:p w14:paraId="0F22E3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Emilia</w:t>
            </w:r>
          </w:p>
        </w:tc>
        <w:tc>
          <w:tcPr>
            <w:tcW w:w="1977" w:type="dxa"/>
            <w:noWrap w:val="0"/>
            <w:vAlign w:val="center"/>
          </w:tcPr>
          <w:p w14:paraId="0BB329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020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4B07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（247）一点红</w:t>
            </w:r>
          </w:p>
        </w:tc>
        <w:tc>
          <w:tcPr>
            <w:tcW w:w="3969" w:type="dxa"/>
            <w:noWrap w:val="0"/>
            <w:vAlign w:val="center"/>
          </w:tcPr>
          <w:p w14:paraId="398741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Emilia sonchifolia</w:t>
            </w:r>
          </w:p>
        </w:tc>
        <w:tc>
          <w:tcPr>
            <w:tcW w:w="1977" w:type="dxa"/>
            <w:noWrap w:val="0"/>
            <w:vAlign w:val="center"/>
          </w:tcPr>
          <w:p w14:paraId="4CE00BF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29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D307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160.飞蓬草属</w:t>
            </w:r>
          </w:p>
        </w:tc>
        <w:tc>
          <w:tcPr>
            <w:tcW w:w="3969" w:type="dxa"/>
            <w:noWrap w:val="0"/>
            <w:vAlign w:val="center"/>
          </w:tcPr>
          <w:p w14:paraId="4B5669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Erigeron</w:t>
            </w:r>
          </w:p>
        </w:tc>
        <w:tc>
          <w:tcPr>
            <w:tcW w:w="1977" w:type="dxa"/>
            <w:noWrap w:val="0"/>
            <w:vAlign w:val="center"/>
          </w:tcPr>
          <w:p w14:paraId="05D3F0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41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2DB5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（248）一年蓬</w:t>
            </w:r>
          </w:p>
        </w:tc>
        <w:tc>
          <w:tcPr>
            <w:tcW w:w="3969" w:type="dxa"/>
            <w:noWrap w:val="0"/>
            <w:vAlign w:val="center"/>
          </w:tcPr>
          <w:p w14:paraId="347CCC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Erigeron annuus</w:t>
            </w:r>
          </w:p>
        </w:tc>
        <w:tc>
          <w:tcPr>
            <w:tcW w:w="1977" w:type="dxa"/>
            <w:noWrap w:val="0"/>
            <w:vAlign w:val="center"/>
          </w:tcPr>
          <w:p w14:paraId="3D5EC6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DD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48C0A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161.泽兰属</w:t>
            </w:r>
          </w:p>
        </w:tc>
        <w:tc>
          <w:tcPr>
            <w:tcW w:w="3969" w:type="dxa"/>
            <w:noWrap w:val="0"/>
            <w:vAlign w:val="center"/>
          </w:tcPr>
          <w:p w14:paraId="22D3EC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Eupatorium</w:t>
            </w:r>
          </w:p>
        </w:tc>
        <w:tc>
          <w:tcPr>
            <w:tcW w:w="1977" w:type="dxa"/>
            <w:noWrap w:val="0"/>
            <w:vAlign w:val="center"/>
          </w:tcPr>
          <w:p w14:paraId="01835A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9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52B39B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（249）泽兰</w:t>
            </w:r>
          </w:p>
        </w:tc>
        <w:tc>
          <w:tcPr>
            <w:tcW w:w="3969" w:type="dxa"/>
            <w:noWrap w:val="0"/>
            <w:vAlign w:val="center"/>
          </w:tcPr>
          <w:p w14:paraId="75CCA6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Eupatorium japonicum</w:t>
            </w:r>
          </w:p>
        </w:tc>
        <w:tc>
          <w:tcPr>
            <w:tcW w:w="1977" w:type="dxa"/>
            <w:noWrap w:val="0"/>
            <w:vAlign w:val="center"/>
          </w:tcPr>
          <w:p w14:paraId="13EED5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1E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10869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162.鳢肠属</w:t>
            </w:r>
          </w:p>
        </w:tc>
        <w:tc>
          <w:tcPr>
            <w:tcW w:w="3969" w:type="dxa"/>
            <w:noWrap w:val="0"/>
            <w:vAlign w:val="center"/>
          </w:tcPr>
          <w:p w14:paraId="5490D5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Eclipta</w:t>
            </w:r>
          </w:p>
        </w:tc>
        <w:tc>
          <w:tcPr>
            <w:tcW w:w="1977" w:type="dxa"/>
            <w:noWrap w:val="0"/>
            <w:vAlign w:val="center"/>
          </w:tcPr>
          <w:p w14:paraId="693917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6EE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D09EB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（250）鳢肠</w:t>
            </w:r>
          </w:p>
        </w:tc>
        <w:tc>
          <w:tcPr>
            <w:tcW w:w="3969" w:type="dxa"/>
            <w:noWrap w:val="0"/>
            <w:vAlign w:val="center"/>
          </w:tcPr>
          <w:p w14:paraId="150148A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Eclipta prostrata</w:t>
            </w:r>
          </w:p>
        </w:tc>
        <w:tc>
          <w:tcPr>
            <w:tcW w:w="1977" w:type="dxa"/>
            <w:noWrap w:val="0"/>
            <w:vAlign w:val="center"/>
          </w:tcPr>
          <w:p w14:paraId="7E31C5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6BD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B52CA7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163.鼠麴草属</w:t>
            </w:r>
          </w:p>
        </w:tc>
        <w:tc>
          <w:tcPr>
            <w:tcW w:w="3969" w:type="dxa"/>
            <w:noWrap w:val="0"/>
            <w:vAlign w:val="center"/>
          </w:tcPr>
          <w:p w14:paraId="70F94C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Gnaphalium</w:t>
            </w:r>
          </w:p>
        </w:tc>
        <w:tc>
          <w:tcPr>
            <w:tcW w:w="1977" w:type="dxa"/>
            <w:noWrap w:val="0"/>
            <w:vAlign w:val="center"/>
          </w:tcPr>
          <w:p w14:paraId="4E3E4F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1A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1F26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（251）鼠麴草</w:t>
            </w:r>
          </w:p>
        </w:tc>
        <w:tc>
          <w:tcPr>
            <w:tcW w:w="3969" w:type="dxa"/>
            <w:noWrap w:val="0"/>
            <w:vAlign w:val="center"/>
          </w:tcPr>
          <w:p w14:paraId="4B78D2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Gnaphalium affine</w:t>
            </w:r>
          </w:p>
        </w:tc>
        <w:tc>
          <w:tcPr>
            <w:tcW w:w="1977" w:type="dxa"/>
            <w:noWrap w:val="0"/>
            <w:vAlign w:val="center"/>
          </w:tcPr>
          <w:p w14:paraId="2D4C79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BB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85657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164.向日葵属</w:t>
            </w:r>
          </w:p>
        </w:tc>
        <w:tc>
          <w:tcPr>
            <w:tcW w:w="3969" w:type="dxa"/>
            <w:noWrap w:val="0"/>
            <w:vAlign w:val="center"/>
          </w:tcPr>
          <w:p w14:paraId="22F302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Helianthus</w:t>
            </w:r>
          </w:p>
        </w:tc>
        <w:tc>
          <w:tcPr>
            <w:tcW w:w="1977" w:type="dxa"/>
            <w:noWrap w:val="0"/>
            <w:vAlign w:val="center"/>
          </w:tcPr>
          <w:p w14:paraId="26F7C5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E1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551CD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（252）菊芋</w:t>
            </w:r>
          </w:p>
        </w:tc>
        <w:tc>
          <w:tcPr>
            <w:tcW w:w="3969" w:type="dxa"/>
            <w:noWrap w:val="0"/>
            <w:vAlign w:val="center"/>
          </w:tcPr>
          <w:p w14:paraId="192F5C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Helianthus tuberosus</w:t>
            </w:r>
          </w:p>
        </w:tc>
        <w:tc>
          <w:tcPr>
            <w:tcW w:w="1977" w:type="dxa"/>
            <w:noWrap w:val="0"/>
            <w:vAlign w:val="center"/>
          </w:tcPr>
          <w:p w14:paraId="3C0036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CB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931F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165.泥胡菜属</w:t>
            </w:r>
          </w:p>
        </w:tc>
        <w:tc>
          <w:tcPr>
            <w:tcW w:w="3969" w:type="dxa"/>
            <w:noWrap w:val="0"/>
            <w:vAlign w:val="center"/>
          </w:tcPr>
          <w:p w14:paraId="4C8096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Hemistepta</w:t>
            </w:r>
          </w:p>
        </w:tc>
        <w:tc>
          <w:tcPr>
            <w:tcW w:w="1977" w:type="dxa"/>
            <w:noWrap w:val="0"/>
            <w:vAlign w:val="center"/>
          </w:tcPr>
          <w:p w14:paraId="56B9925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ACE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87F79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（253）泥胡菜</w:t>
            </w:r>
          </w:p>
        </w:tc>
        <w:tc>
          <w:tcPr>
            <w:tcW w:w="3969" w:type="dxa"/>
            <w:noWrap w:val="0"/>
            <w:vAlign w:val="center"/>
          </w:tcPr>
          <w:p w14:paraId="436050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Hemistepta lyrata</w:t>
            </w:r>
          </w:p>
        </w:tc>
        <w:tc>
          <w:tcPr>
            <w:tcW w:w="1977" w:type="dxa"/>
            <w:noWrap w:val="0"/>
            <w:vAlign w:val="center"/>
          </w:tcPr>
          <w:p w14:paraId="7075E6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487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B295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167.旋覆花属</w:t>
            </w:r>
          </w:p>
        </w:tc>
        <w:tc>
          <w:tcPr>
            <w:tcW w:w="3969" w:type="dxa"/>
            <w:noWrap w:val="0"/>
            <w:vAlign w:val="center"/>
          </w:tcPr>
          <w:p w14:paraId="455F58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Inula</w:t>
            </w:r>
          </w:p>
        </w:tc>
        <w:tc>
          <w:tcPr>
            <w:tcW w:w="1977" w:type="dxa"/>
            <w:noWrap w:val="0"/>
            <w:vAlign w:val="center"/>
          </w:tcPr>
          <w:p w14:paraId="58D9B83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C1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99A5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（254）旋覆花</w:t>
            </w:r>
          </w:p>
        </w:tc>
        <w:tc>
          <w:tcPr>
            <w:tcW w:w="3969" w:type="dxa"/>
            <w:noWrap w:val="0"/>
            <w:vAlign w:val="center"/>
          </w:tcPr>
          <w:p w14:paraId="77EA59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Inula japonica</w:t>
            </w:r>
          </w:p>
        </w:tc>
        <w:tc>
          <w:tcPr>
            <w:tcW w:w="1977" w:type="dxa"/>
            <w:noWrap w:val="0"/>
            <w:vAlign w:val="center"/>
          </w:tcPr>
          <w:p w14:paraId="4CC57D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B0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52FB1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（255）线叶旋覆花</w:t>
            </w:r>
          </w:p>
        </w:tc>
        <w:tc>
          <w:tcPr>
            <w:tcW w:w="3969" w:type="dxa"/>
            <w:noWrap w:val="0"/>
            <w:vAlign w:val="center"/>
          </w:tcPr>
          <w:p w14:paraId="414AFE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Inula lineariifolia</w:t>
            </w:r>
          </w:p>
        </w:tc>
        <w:tc>
          <w:tcPr>
            <w:tcW w:w="1977" w:type="dxa"/>
            <w:noWrap w:val="0"/>
            <w:vAlign w:val="center"/>
          </w:tcPr>
          <w:p w14:paraId="5FFAC2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0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4EDA42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168.苦荬菜属</w:t>
            </w:r>
          </w:p>
        </w:tc>
        <w:tc>
          <w:tcPr>
            <w:tcW w:w="3969" w:type="dxa"/>
            <w:noWrap w:val="0"/>
            <w:vAlign w:val="center"/>
          </w:tcPr>
          <w:p w14:paraId="7EA15C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Ixeris</w:t>
            </w:r>
          </w:p>
        </w:tc>
        <w:tc>
          <w:tcPr>
            <w:tcW w:w="1977" w:type="dxa"/>
            <w:noWrap w:val="0"/>
            <w:vAlign w:val="center"/>
          </w:tcPr>
          <w:p w14:paraId="56C903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1E8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97C7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（256）山苦荬</w:t>
            </w:r>
          </w:p>
        </w:tc>
        <w:tc>
          <w:tcPr>
            <w:tcW w:w="3969" w:type="dxa"/>
            <w:noWrap w:val="0"/>
            <w:vAlign w:val="center"/>
          </w:tcPr>
          <w:p w14:paraId="7E1C86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Ixeris chinensis</w:t>
            </w:r>
          </w:p>
        </w:tc>
        <w:tc>
          <w:tcPr>
            <w:tcW w:w="1977" w:type="dxa"/>
            <w:noWrap w:val="0"/>
            <w:vAlign w:val="center"/>
          </w:tcPr>
          <w:p w14:paraId="5CF03F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59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D97AD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（257）苦荬菜</w:t>
            </w:r>
          </w:p>
        </w:tc>
        <w:tc>
          <w:tcPr>
            <w:tcW w:w="3969" w:type="dxa"/>
            <w:noWrap w:val="0"/>
            <w:vAlign w:val="center"/>
          </w:tcPr>
          <w:p w14:paraId="0E3B0F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Ixeris polycephala</w:t>
            </w:r>
          </w:p>
        </w:tc>
        <w:tc>
          <w:tcPr>
            <w:tcW w:w="1977" w:type="dxa"/>
            <w:noWrap w:val="0"/>
            <w:vAlign w:val="center"/>
          </w:tcPr>
          <w:p w14:paraId="70ACB6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7E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9EB7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（258）细叶小苦荬</w:t>
            </w:r>
          </w:p>
        </w:tc>
        <w:tc>
          <w:tcPr>
            <w:tcW w:w="3969" w:type="dxa"/>
            <w:noWrap w:val="0"/>
            <w:vAlign w:val="center"/>
          </w:tcPr>
          <w:p w14:paraId="361A3B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Ixeridium gracile</w:t>
            </w:r>
          </w:p>
        </w:tc>
        <w:tc>
          <w:tcPr>
            <w:tcW w:w="1977" w:type="dxa"/>
            <w:noWrap w:val="0"/>
            <w:vAlign w:val="center"/>
          </w:tcPr>
          <w:p w14:paraId="3940A95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F9A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700CA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169.马兰属</w:t>
            </w:r>
          </w:p>
        </w:tc>
        <w:tc>
          <w:tcPr>
            <w:tcW w:w="3969" w:type="dxa"/>
            <w:noWrap w:val="0"/>
            <w:vAlign w:val="center"/>
          </w:tcPr>
          <w:p w14:paraId="6D0D6E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Kalimeris</w:t>
            </w:r>
          </w:p>
        </w:tc>
        <w:tc>
          <w:tcPr>
            <w:tcW w:w="1977" w:type="dxa"/>
            <w:noWrap w:val="0"/>
            <w:vAlign w:val="center"/>
          </w:tcPr>
          <w:p w14:paraId="7016D7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45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9B8C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(259)马兰</w:t>
            </w:r>
          </w:p>
        </w:tc>
        <w:tc>
          <w:tcPr>
            <w:tcW w:w="3969" w:type="dxa"/>
            <w:noWrap w:val="0"/>
            <w:vAlign w:val="center"/>
          </w:tcPr>
          <w:p w14:paraId="79952C0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Kalimeris indica</w:t>
            </w:r>
          </w:p>
        </w:tc>
        <w:tc>
          <w:tcPr>
            <w:tcW w:w="1977" w:type="dxa"/>
            <w:noWrap w:val="0"/>
            <w:vAlign w:val="center"/>
          </w:tcPr>
          <w:p w14:paraId="6CCF29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58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4EA14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170.稻搓菜属</w:t>
            </w:r>
          </w:p>
        </w:tc>
        <w:tc>
          <w:tcPr>
            <w:tcW w:w="3969" w:type="dxa"/>
            <w:noWrap w:val="0"/>
            <w:vAlign w:val="center"/>
          </w:tcPr>
          <w:p w14:paraId="045EE0C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Lapsana</w:t>
            </w:r>
          </w:p>
        </w:tc>
        <w:tc>
          <w:tcPr>
            <w:tcW w:w="1977" w:type="dxa"/>
            <w:noWrap w:val="0"/>
            <w:vAlign w:val="center"/>
          </w:tcPr>
          <w:p w14:paraId="357669E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E1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29D5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(260)稻搓菜</w:t>
            </w:r>
          </w:p>
        </w:tc>
        <w:tc>
          <w:tcPr>
            <w:tcW w:w="3969" w:type="dxa"/>
            <w:noWrap w:val="0"/>
            <w:vAlign w:val="center"/>
          </w:tcPr>
          <w:p w14:paraId="371C2C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Lapsana apogonoides</w:t>
            </w:r>
          </w:p>
        </w:tc>
        <w:tc>
          <w:tcPr>
            <w:tcW w:w="1977" w:type="dxa"/>
            <w:noWrap w:val="0"/>
            <w:vAlign w:val="center"/>
          </w:tcPr>
          <w:p w14:paraId="6A43AC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38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DFDFA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171.莴苣属</w:t>
            </w:r>
          </w:p>
        </w:tc>
        <w:tc>
          <w:tcPr>
            <w:tcW w:w="3969" w:type="dxa"/>
            <w:noWrap w:val="0"/>
            <w:vAlign w:val="center"/>
          </w:tcPr>
          <w:p w14:paraId="479456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Lagedium</w:t>
            </w:r>
          </w:p>
        </w:tc>
        <w:tc>
          <w:tcPr>
            <w:tcW w:w="1977" w:type="dxa"/>
            <w:noWrap w:val="0"/>
            <w:vAlign w:val="center"/>
          </w:tcPr>
          <w:p w14:paraId="37B26B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F22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796DC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(261)山莴苣</w:t>
            </w:r>
          </w:p>
        </w:tc>
        <w:tc>
          <w:tcPr>
            <w:tcW w:w="3969" w:type="dxa"/>
            <w:noWrap w:val="0"/>
            <w:vAlign w:val="center"/>
          </w:tcPr>
          <w:p w14:paraId="47D4D6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Lagedium sibiricum</w:t>
            </w:r>
          </w:p>
        </w:tc>
        <w:tc>
          <w:tcPr>
            <w:tcW w:w="1977" w:type="dxa"/>
            <w:noWrap w:val="0"/>
            <w:vAlign w:val="center"/>
          </w:tcPr>
          <w:p w14:paraId="284DC7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A7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7FD1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172.苦苣菜属</w:t>
            </w:r>
          </w:p>
        </w:tc>
        <w:tc>
          <w:tcPr>
            <w:tcW w:w="3969" w:type="dxa"/>
            <w:noWrap w:val="0"/>
            <w:vAlign w:val="center"/>
          </w:tcPr>
          <w:p w14:paraId="44C1EC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Sonchus</w:t>
            </w:r>
          </w:p>
        </w:tc>
        <w:tc>
          <w:tcPr>
            <w:tcW w:w="1977" w:type="dxa"/>
            <w:noWrap w:val="0"/>
            <w:vAlign w:val="center"/>
          </w:tcPr>
          <w:p w14:paraId="292619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DC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D558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(262)苦苣菜</w:t>
            </w:r>
          </w:p>
        </w:tc>
        <w:tc>
          <w:tcPr>
            <w:tcW w:w="3969" w:type="dxa"/>
            <w:noWrap w:val="0"/>
            <w:vAlign w:val="center"/>
          </w:tcPr>
          <w:p w14:paraId="00B9CC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Sonchus oleraceus</w:t>
            </w:r>
          </w:p>
        </w:tc>
        <w:tc>
          <w:tcPr>
            <w:tcW w:w="1977" w:type="dxa"/>
            <w:noWrap w:val="0"/>
            <w:vAlign w:val="center"/>
          </w:tcPr>
          <w:p w14:paraId="31B170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C31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978F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(263)苣荬菜</w:t>
            </w:r>
          </w:p>
        </w:tc>
        <w:tc>
          <w:tcPr>
            <w:tcW w:w="3969" w:type="dxa"/>
            <w:noWrap w:val="0"/>
            <w:vAlign w:val="center"/>
          </w:tcPr>
          <w:p w14:paraId="7FEE00F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Sonchus arvensis</w:t>
            </w:r>
          </w:p>
        </w:tc>
        <w:tc>
          <w:tcPr>
            <w:tcW w:w="1977" w:type="dxa"/>
            <w:noWrap w:val="0"/>
            <w:vAlign w:val="center"/>
          </w:tcPr>
          <w:p w14:paraId="03D4E9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C1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969D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173.蒲公英属</w:t>
            </w:r>
          </w:p>
        </w:tc>
        <w:tc>
          <w:tcPr>
            <w:tcW w:w="3969" w:type="dxa"/>
            <w:noWrap w:val="0"/>
            <w:vAlign w:val="center"/>
          </w:tcPr>
          <w:p w14:paraId="195E14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en-US" w:eastAsia="zh-CN"/>
              </w:rPr>
              <w:t>Taraxacum</w:t>
            </w:r>
          </w:p>
        </w:tc>
        <w:tc>
          <w:tcPr>
            <w:tcW w:w="1977" w:type="dxa"/>
            <w:noWrap w:val="0"/>
            <w:vAlign w:val="center"/>
          </w:tcPr>
          <w:p w14:paraId="435076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28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5AFA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(264)蒲公英</w:t>
            </w:r>
          </w:p>
        </w:tc>
        <w:tc>
          <w:tcPr>
            <w:tcW w:w="3969" w:type="dxa"/>
            <w:noWrap w:val="0"/>
            <w:vAlign w:val="center"/>
          </w:tcPr>
          <w:p w14:paraId="6FDF9CC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Taraxacum mongolicum</w:t>
            </w:r>
          </w:p>
        </w:tc>
        <w:tc>
          <w:tcPr>
            <w:tcW w:w="1977" w:type="dxa"/>
            <w:noWrap w:val="0"/>
            <w:vAlign w:val="center"/>
          </w:tcPr>
          <w:p w14:paraId="076114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CC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65235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174.苍耳属</w:t>
            </w:r>
          </w:p>
        </w:tc>
        <w:tc>
          <w:tcPr>
            <w:tcW w:w="3969" w:type="dxa"/>
            <w:noWrap w:val="0"/>
            <w:vAlign w:val="center"/>
          </w:tcPr>
          <w:p w14:paraId="5F5BF9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Xanthium</w:t>
            </w:r>
          </w:p>
        </w:tc>
        <w:tc>
          <w:tcPr>
            <w:tcW w:w="1977" w:type="dxa"/>
            <w:noWrap w:val="0"/>
            <w:vAlign w:val="center"/>
          </w:tcPr>
          <w:p w14:paraId="75C85E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CB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E3EFD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(265)苍耳</w:t>
            </w:r>
          </w:p>
        </w:tc>
        <w:tc>
          <w:tcPr>
            <w:tcW w:w="3969" w:type="dxa"/>
            <w:noWrap w:val="0"/>
            <w:vAlign w:val="center"/>
          </w:tcPr>
          <w:p w14:paraId="78AC29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Xanthium sibiricum</w:t>
            </w:r>
          </w:p>
        </w:tc>
        <w:tc>
          <w:tcPr>
            <w:tcW w:w="1977" w:type="dxa"/>
            <w:noWrap w:val="0"/>
            <w:vAlign w:val="center"/>
          </w:tcPr>
          <w:p w14:paraId="4B722C4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75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1897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175.黄鹌菜属</w:t>
            </w:r>
          </w:p>
        </w:tc>
        <w:tc>
          <w:tcPr>
            <w:tcW w:w="3969" w:type="dxa"/>
            <w:noWrap w:val="0"/>
            <w:vAlign w:val="center"/>
          </w:tcPr>
          <w:p w14:paraId="6997A2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Youngia</w:t>
            </w:r>
          </w:p>
        </w:tc>
        <w:tc>
          <w:tcPr>
            <w:tcW w:w="1977" w:type="dxa"/>
            <w:noWrap w:val="0"/>
            <w:vAlign w:val="center"/>
          </w:tcPr>
          <w:p w14:paraId="05E3FC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84B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B6A1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(267)黄鹌菜</w:t>
            </w:r>
          </w:p>
        </w:tc>
        <w:tc>
          <w:tcPr>
            <w:tcW w:w="3969" w:type="dxa"/>
            <w:noWrap w:val="0"/>
            <w:vAlign w:val="center"/>
          </w:tcPr>
          <w:p w14:paraId="65F2B7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Youngia japonica</w:t>
            </w:r>
          </w:p>
        </w:tc>
        <w:tc>
          <w:tcPr>
            <w:tcW w:w="1977" w:type="dxa"/>
            <w:noWrap w:val="0"/>
            <w:vAlign w:val="center"/>
          </w:tcPr>
          <w:p w14:paraId="0A0E54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F0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38EC2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（Ⅱ）单子叶植物纲</w:t>
            </w:r>
          </w:p>
        </w:tc>
        <w:tc>
          <w:tcPr>
            <w:tcW w:w="3969" w:type="dxa"/>
            <w:noWrap w:val="0"/>
            <w:vAlign w:val="center"/>
          </w:tcPr>
          <w:p w14:paraId="2E5A3D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Monocotyledoneae</w:t>
            </w:r>
          </w:p>
        </w:tc>
        <w:tc>
          <w:tcPr>
            <w:tcW w:w="1977" w:type="dxa"/>
            <w:noWrap w:val="0"/>
            <w:vAlign w:val="center"/>
          </w:tcPr>
          <w:p w14:paraId="625402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5E1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4F02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六十九、香蒲科</w:t>
            </w:r>
          </w:p>
        </w:tc>
        <w:tc>
          <w:tcPr>
            <w:tcW w:w="3969" w:type="dxa"/>
            <w:noWrap w:val="0"/>
            <w:vAlign w:val="center"/>
          </w:tcPr>
          <w:p w14:paraId="5246BB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Typhaceae</w:t>
            </w:r>
          </w:p>
        </w:tc>
        <w:tc>
          <w:tcPr>
            <w:tcW w:w="1977" w:type="dxa"/>
            <w:noWrap w:val="0"/>
            <w:vAlign w:val="center"/>
          </w:tcPr>
          <w:p w14:paraId="2084E1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A38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C9C6C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176.香蒲属</w:t>
            </w:r>
          </w:p>
        </w:tc>
        <w:tc>
          <w:tcPr>
            <w:tcW w:w="3969" w:type="dxa"/>
            <w:noWrap w:val="0"/>
            <w:vAlign w:val="center"/>
          </w:tcPr>
          <w:p w14:paraId="3430427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Typha</w:t>
            </w:r>
          </w:p>
        </w:tc>
        <w:tc>
          <w:tcPr>
            <w:tcW w:w="1977" w:type="dxa"/>
            <w:noWrap w:val="0"/>
            <w:vAlign w:val="center"/>
          </w:tcPr>
          <w:p w14:paraId="31AEF6A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AAD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33721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（268）香蒲</w:t>
            </w:r>
          </w:p>
        </w:tc>
        <w:tc>
          <w:tcPr>
            <w:tcW w:w="3969" w:type="dxa"/>
            <w:noWrap w:val="0"/>
            <w:vAlign w:val="center"/>
          </w:tcPr>
          <w:p w14:paraId="34F6224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Typha orientalis</w:t>
            </w:r>
          </w:p>
        </w:tc>
        <w:tc>
          <w:tcPr>
            <w:tcW w:w="1977" w:type="dxa"/>
            <w:noWrap w:val="0"/>
            <w:vAlign w:val="center"/>
          </w:tcPr>
          <w:p w14:paraId="00208D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0D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B0A9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七十、眼子菜科</w:t>
            </w:r>
          </w:p>
        </w:tc>
        <w:tc>
          <w:tcPr>
            <w:tcW w:w="3969" w:type="dxa"/>
            <w:noWrap w:val="0"/>
            <w:vAlign w:val="center"/>
          </w:tcPr>
          <w:p w14:paraId="454812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Potamogetonaceae</w:t>
            </w:r>
          </w:p>
        </w:tc>
        <w:tc>
          <w:tcPr>
            <w:tcW w:w="1977" w:type="dxa"/>
            <w:noWrap w:val="0"/>
            <w:vAlign w:val="center"/>
          </w:tcPr>
          <w:p w14:paraId="3C3349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8CB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30595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177.眼子菜属</w:t>
            </w:r>
          </w:p>
        </w:tc>
        <w:tc>
          <w:tcPr>
            <w:tcW w:w="3969" w:type="dxa"/>
            <w:noWrap w:val="0"/>
            <w:vAlign w:val="center"/>
          </w:tcPr>
          <w:p w14:paraId="7E1F9E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Potamogeton</w:t>
            </w:r>
          </w:p>
        </w:tc>
        <w:tc>
          <w:tcPr>
            <w:tcW w:w="1977" w:type="dxa"/>
            <w:noWrap w:val="0"/>
            <w:vAlign w:val="center"/>
          </w:tcPr>
          <w:p w14:paraId="31DAE1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F9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E3AE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（269）菹草</w:t>
            </w:r>
          </w:p>
        </w:tc>
        <w:tc>
          <w:tcPr>
            <w:tcW w:w="3969" w:type="dxa"/>
            <w:noWrap w:val="0"/>
            <w:vAlign w:val="center"/>
          </w:tcPr>
          <w:p w14:paraId="462542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Potamogeton crispus</w:t>
            </w:r>
          </w:p>
        </w:tc>
        <w:tc>
          <w:tcPr>
            <w:tcW w:w="1977" w:type="dxa"/>
            <w:noWrap w:val="0"/>
            <w:vAlign w:val="center"/>
          </w:tcPr>
          <w:p w14:paraId="1F5A2B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9F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109FD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（270）湖北眼子菜</w:t>
            </w:r>
          </w:p>
        </w:tc>
        <w:tc>
          <w:tcPr>
            <w:tcW w:w="3969" w:type="dxa"/>
            <w:noWrap w:val="0"/>
            <w:vAlign w:val="center"/>
          </w:tcPr>
          <w:p w14:paraId="01EF9D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de-DE" w:eastAsia="zh-CN"/>
              </w:rPr>
            </w:pPr>
            <w:r>
              <w:rPr>
                <w:rFonts w:hint="default" w:ascii="Times New Roman" w:hAnsi="Times New Roman" w:eastAsia="宋体" w:cs="Times New Roman"/>
                <w:b w:val="0"/>
                <w:bCs w:val="0"/>
                <w:color w:val="auto"/>
                <w:sz w:val="21"/>
                <w:szCs w:val="21"/>
                <w:u w:val="none" w:color="auto"/>
                <w:lang w:val="de-DE" w:eastAsia="zh-CN"/>
              </w:rPr>
              <w:t>Potamogeton hubeiensis</w:t>
            </w:r>
          </w:p>
        </w:tc>
        <w:tc>
          <w:tcPr>
            <w:tcW w:w="1977" w:type="dxa"/>
            <w:noWrap w:val="0"/>
            <w:vAlign w:val="center"/>
          </w:tcPr>
          <w:p w14:paraId="6E4418E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0B7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FC225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（271）竹叶眼子菜</w:t>
            </w:r>
          </w:p>
        </w:tc>
        <w:tc>
          <w:tcPr>
            <w:tcW w:w="3969" w:type="dxa"/>
            <w:noWrap w:val="0"/>
            <w:vAlign w:val="center"/>
          </w:tcPr>
          <w:p w14:paraId="323245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Potamogeton malaianus</w:t>
            </w:r>
          </w:p>
        </w:tc>
        <w:tc>
          <w:tcPr>
            <w:tcW w:w="1977" w:type="dxa"/>
            <w:noWrap w:val="0"/>
            <w:vAlign w:val="center"/>
          </w:tcPr>
          <w:p w14:paraId="20ED21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9B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1CAE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七十一、茨藻科</w:t>
            </w:r>
          </w:p>
        </w:tc>
        <w:tc>
          <w:tcPr>
            <w:tcW w:w="3969" w:type="dxa"/>
            <w:noWrap w:val="0"/>
            <w:vAlign w:val="center"/>
          </w:tcPr>
          <w:p w14:paraId="2AD2C6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Najadaceae</w:t>
            </w:r>
          </w:p>
        </w:tc>
        <w:tc>
          <w:tcPr>
            <w:tcW w:w="1977" w:type="dxa"/>
            <w:noWrap w:val="0"/>
            <w:vAlign w:val="center"/>
          </w:tcPr>
          <w:p w14:paraId="57B487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E4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6C3E5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178.茨藻属</w:t>
            </w:r>
          </w:p>
        </w:tc>
        <w:tc>
          <w:tcPr>
            <w:tcW w:w="3969" w:type="dxa"/>
            <w:noWrap w:val="0"/>
            <w:vAlign w:val="center"/>
          </w:tcPr>
          <w:p w14:paraId="1042D3F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Najas</w:t>
            </w:r>
          </w:p>
        </w:tc>
        <w:tc>
          <w:tcPr>
            <w:tcW w:w="1977" w:type="dxa"/>
            <w:noWrap w:val="0"/>
            <w:vAlign w:val="center"/>
          </w:tcPr>
          <w:p w14:paraId="01A773C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E3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1691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（272）纤细茨藻</w:t>
            </w:r>
          </w:p>
        </w:tc>
        <w:tc>
          <w:tcPr>
            <w:tcW w:w="3969" w:type="dxa"/>
            <w:noWrap w:val="0"/>
            <w:vAlign w:val="center"/>
          </w:tcPr>
          <w:p w14:paraId="34DF401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Najas gracillima</w:t>
            </w:r>
          </w:p>
        </w:tc>
        <w:tc>
          <w:tcPr>
            <w:tcW w:w="1977" w:type="dxa"/>
            <w:noWrap w:val="0"/>
            <w:vAlign w:val="center"/>
          </w:tcPr>
          <w:p w14:paraId="612095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771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9C2E5A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（273）草茨藻</w:t>
            </w:r>
          </w:p>
        </w:tc>
        <w:tc>
          <w:tcPr>
            <w:tcW w:w="3969" w:type="dxa"/>
            <w:noWrap w:val="0"/>
            <w:vAlign w:val="center"/>
          </w:tcPr>
          <w:p w14:paraId="4B8A69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Najas graminea</w:t>
            </w:r>
          </w:p>
        </w:tc>
        <w:tc>
          <w:tcPr>
            <w:tcW w:w="1977" w:type="dxa"/>
            <w:noWrap w:val="0"/>
            <w:vAlign w:val="center"/>
          </w:tcPr>
          <w:p w14:paraId="31A9CB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96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4D68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（274）大茨藻</w:t>
            </w:r>
          </w:p>
        </w:tc>
        <w:tc>
          <w:tcPr>
            <w:tcW w:w="3969" w:type="dxa"/>
            <w:noWrap w:val="0"/>
            <w:vAlign w:val="center"/>
          </w:tcPr>
          <w:p w14:paraId="187F15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Najas marina</w:t>
            </w:r>
          </w:p>
        </w:tc>
        <w:tc>
          <w:tcPr>
            <w:tcW w:w="1977" w:type="dxa"/>
            <w:noWrap w:val="0"/>
            <w:vAlign w:val="center"/>
          </w:tcPr>
          <w:p w14:paraId="3C56625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CC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74EB9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七十二、泽泻科</w:t>
            </w:r>
          </w:p>
        </w:tc>
        <w:tc>
          <w:tcPr>
            <w:tcW w:w="3969" w:type="dxa"/>
            <w:noWrap w:val="0"/>
            <w:vAlign w:val="center"/>
          </w:tcPr>
          <w:p w14:paraId="704942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Alismataceae</w:t>
            </w:r>
          </w:p>
        </w:tc>
        <w:tc>
          <w:tcPr>
            <w:tcW w:w="1977" w:type="dxa"/>
            <w:noWrap w:val="0"/>
            <w:vAlign w:val="center"/>
          </w:tcPr>
          <w:p w14:paraId="2C7034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FAB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64705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179.慈姑属</w:t>
            </w:r>
          </w:p>
        </w:tc>
        <w:tc>
          <w:tcPr>
            <w:tcW w:w="3969" w:type="dxa"/>
            <w:noWrap w:val="0"/>
            <w:vAlign w:val="center"/>
          </w:tcPr>
          <w:p w14:paraId="446A7E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Sagittaria</w:t>
            </w:r>
          </w:p>
        </w:tc>
        <w:tc>
          <w:tcPr>
            <w:tcW w:w="1977" w:type="dxa"/>
            <w:noWrap w:val="0"/>
            <w:vAlign w:val="center"/>
          </w:tcPr>
          <w:p w14:paraId="382D2D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B9C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9902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（275）短慈姑</w:t>
            </w:r>
          </w:p>
        </w:tc>
        <w:tc>
          <w:tcPr>
            <w:tcW w:w="3969" w:type="dxa"/>
            <w:noWrap w:val="0"/>
            <w:vAlign w:val="center"/>
          </w:tcPr>
          <w:p w14:paraId="5630FD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Sagittaria pygmaea</w:t>
            </w:r>
          </w:p>
        </w:tc>
        <w:tc>
          <w:tcPr>
            <w:tcW w:w="1977" w:type="dxa"/>
            <w:noWrap w:val="0"/>
            <w:vAlign w:val="center"/>
          </w:tcPr>
          <w:p w14:paraId="74DD60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DDF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3C2F9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（276）野慈姑</w:t>
            </w:r>
          </w:p>
        </w:tc>
        <w:tc>
          <w:tcPr>
            <w:tcW w:w="3969" w:type="dxa"/>
            <w:noWrap w:val="0"/>
            <w:vAlign w:val="center"/>
          </w:tcPr>
          <w:p w14:paraId="2310C5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Sagittaria trifolia</w:t>
            </w:r>
          </w:p>
        </w:tc>
        <w:tc>
          <w:tcPr>
            <w:tcW w:w="1977" w:type="dxa"/>
            <w:noWrap w:val="0"/>
            <w:vAlign w:val="center"/>
          </w:tcPr>
          <w:p w14:paraId="60AC99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44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185931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（277）慈姑</w:t>
            </w:r>
          </w:p>
        </w:tc>
        <w:tc>
          <w:tcPr>
            <w:tcW w:w="3969" w:type="dxa"/>
            <w:noWrap w:val="0"/>
            <w:vAlign w:val="center"/>
          </w:tcPr>
          <w:p w14:paraId="51D14E5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Sagittaria trifolia var.sinensis</w:t>
            </w:r>
          </w:p>
        </w:tc>
        <w:tc>
          <w:tcPr>
            <w:tcW w:w="1977" w:type="dxa"/>
            <w:noWrap w:val="0"/>
            <w:vAlign w:val="center"/>
          </w:tcPr>
          <w:p w14:paraId="30343C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09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64037F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七十三、水鳖科</w:t>
            </w:r>
          </w:p>
        </w:tc>
        <w:tc>
          <w:tcPr>
            <w:tcW w:w="3969" w:type="dxa"/>
            <w:noWrap w:val="0"/>
            <w:vAlign w:val="center"/>
          </w:tcPr>
          <w:p w14:paraId="15063D8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Hydrocharitaceae</w:t>
            </w:r>
          </w:p>
        </w:tc>
        <w:tc>
          <w:tcPr>
            <w:tcW w:w="1977" w:type="dxa"/>
            <w:noWrap w:val="0"/>
            <w:vAlign w:val="center"/>
          </w:tcPr>
          <w:p w14:paraId="24C77D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4A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ED00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180.黑藻属</w:t>
            </w:r>
          </w:p>
        </w:tc>
        <w:tc>
          <w:tcPr>
            <w:tcW w:w="3969" w:type="dxa"/>
            <w:noWrap w:val="0"/>
            <w:vAlign w:val="center"/>
          </w:tcPr>
          <w:p w14:paraId="4C255C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Hydrilla</w:t>
            </w:r>
          </w:p>
        </w:tc>
        <w:tc>
          <w:tcPr>
            <w:tcW w:w="1977" w:type="dxa"/>
            <w:noWrap w:val="0"/>
            <w:vAlign w:val="center"/>
          </w:tcPr>
          <w:p w14:paraId="58C7F5E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73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7539C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（278）黑藻</w:t>
            </w:r>
          </w:p>
        </w:tc>
        <w:tc>
          <w:tcPr>
            <w:tcW w:w="3969" w:type="dxa"/>
            <w:noWrap w:val="0"/>
            <w:vAlign w:val="center"/>
          </w:tcPr>
          <w:p w14:paraId="3D928E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Hydrilla verticillata</w:t>
            </w:r>
          </w:p>
        </w:tc>
        <w:tc>
          <w:tcPr>
            <w:tcW w:w="1977" w:type="dxa"/>
            <w:noWrap w:val="0"/>
            <w:vAlign w:val="center"/>
          </w:tcPr>
          <w:p w14:paraId="130334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A23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3590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（279）水鳖</w:t>
            </w:r>
          </w:p>
        </w:tc>
        <w:tc>
          <w:tcPr>
            <w:tcW w:w="3969" w:type="dxa"/>
            <w:noWrap w:val="0"/>
            <w:vAlign w:val="center"/>
          </w:tcPr>
          <w:p w14:paraId="4F4862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Hydroecharis dubia</w:t>
            </w:r>
          </w:p>
        </w:tc>
        <w:tc>
          <w:tcPr>
            <w:tcW w:w="1977" w:type="dxa"/>
            <w:noWrap w:val="0"/>
            <w:vAlign w:val="center"/>
          </w:tcPr>
          <w:p w14:paraId="0D1F79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B4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2839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181.水车前属</w:t>
            </w:r>
          </w:p>
        </w:tc>
        <w:tc>
          <w:tcPr>
            <w:tcW w:w="3969" w:type="dxa"/>
            <w:noWrap w:val="0"/>
            <w:vAlign w:val="center"/>
          </w:tcPr>
          <w:p w14:paraId="2FCB2A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Ottelia</w:t>
            </w:r>
          </w:p>
        </w:tc>
        <w:tc>
          <w:tcPr>
            <w:tcW w:w="1977" w:type="dxa"/>
            <w:noWrap w:val="0"/>
            <w:vAlign w:val="center"/>
          </w:tcPr>
          <w:p w14:paraId="451637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281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1474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（280）龙舌草</w:t>
            </w:r>
          </w:p>
        </w:tc>
        <w:tc>
          <w:tcPr>
            <w:tcW w:w="3969" w:type="dxa"/>
            <w:noWrap w:val="0"/>
            <w:vAlign w:val="center"/>
          </w:tcPr>
          <w:p w14:paraId="165B57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Ottelia alismoides</w:t>
            </w:r>
          </w:p>
        </w:tc>
        <w:tc>
          <w:tcPr>
            <w:tcW w:w="1977" w:type="dxa"/>
            <w:noWrap w:val="0"/>
            <w:vAlign w:val="center"/>
          </w:tcPr>
          <w:p w14:paraId="03F966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B0B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0B5E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182.苦草属</w:t>
            </w:r>
          </w:p>
        </w:tc>
        <w:tc>
          <w:tcPr>
            <w:tcW w:w="3969" w:type="dxa"/>
            <w:noWrap w:val="0"/>
            <w:vAlign w:val="center"/>
          </w:tcPr>
          <w:p w14:paraId="6DAA54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Vallisneria</w:t>
            </w:r>
          </w:p>
        </w:tc>
        <w:tc>
          <w:tcPr>
            <w:tcW w:w="1977" w:type="dxa"/>
            <w:noWrap w:val="0"/>
            <w:vAlign w:val="center"/>
          </w:tcPr>
          <w:p w14:paraId="69D31C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9EC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F135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（281）苦草</w:t>
            </w:r>
          </w:p>
        </w:tc>
        <w:tc>
          <w:tcPr>
            <w:tcW w:w="3969" w:type="dxa"/>
            <w:noWrap w:val="0"/>
            <w:vAlign w:val="center"/>
          </w:tcPr>
          <w:p w14:paraId="238DAD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Vallisneria natans</w:t>
            </w:r>
          </w:p>
        </w:tc>
        <w:tc>
          <w:tcPr>
            <w:tcW w:w="1977" w:type="dxa"/>
            <w:noWrap w:val="0"/>
            <w:vAlign w:val="center"/>
          </w:tcPr>
          <w:p w14:paraId="08D535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5F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EAFF2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七十四、禾本科</w:t>
            </w:r>
          </w:p>
        </w:tc>
        <w:tc>
          <w:tcPr>
            <w:tcW w:w="3969" w:type="dxa"/>
            <w:noWrap w:val="0"/>
            <w:vAlign w:val="center"/>
          </w:tcPr>
          <w:p w14:paraId="1D40B5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Gramineae</w:t>
            </w:r>
          </w:p>
        </w:tc>
        <w:tc>
          <w:tcPr>
            <w:tcW w:w="1977" w:type="dxa"/>
            <w:noWrap w:val="0"/>
            <w:vAlign w:val="center"/>
          </w:tcPr>
          <w:p w14:paraId="65F5DA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59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37A5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182.箭竹属</w:t>
            </w:r>
          </w:p>
        </w:tc>
        <w:tc>
          <w:tcPr>
            <w:tcW w:w="3969" w:type="dxa"/>
            <w:noWrap w:val="0"/>
            <w:vAlign w:val="center"/>
          </w:tcPr>
          <w:p w14:paraId="35CB0F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Bambusa</w:t>
            </w:r>
          </w:p>
        </w:tc>
        <w:tc>
          <w:tcPr>
            <w:tcW w:w="1977" w:type="dxa"/>
            <w:noWrap w:val="0"/>
            <w:vAlign w:val="center"/>
          </w:tcPr>
          <w:p w14:paraId="6EE01C8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FF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1A81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(282)篌竹（花竹）</w:t>
            </w:r>
          </w:p>
        </w:tc>
        <w:tc>
          <w:tcPr>
            <w:tcW w:w="3969" w:type="dxa"/>
            <w:noWrap w:val="0"/>
            <w:vAlign w:val="center"/>
          </w:tcPr>
          <w:p w14:paraId="1D42F5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Bambusa albolineata</w:t>
            </w:r>
          </w:p>
        </w:tc>
        <w:tc>
          <w:tcPr>
            <w:tcW w:w="1977" w:type="dxa"/>
            <w:noWrap w:val="0"/>
            <w:vAlign w:val="center"/>
          </w:tcPr>
          <w:p w14:paraId="3CB63ED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616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F36E6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183.箬竹属</w:t>
            </w:r>
          </w:p>
        </w:tc>
        <w:tc>
          <w:tcPr>
            <w:tcW w:w="3969" w:type="dxa"/>
            <w:noWrap w:val="0"/>
            <w:vAlign w:val="center"/>
          </w:tcPr>
          <w:p w14:paraId="4BAFE5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Indocalamus</w:t>
            </w:r>
          </w:p>
        </w:tc>
        <w:tc>
          <w:tcPr>
            <w:tcW w:w="1977" w:type="dxa"/>
            <w:noWrap w:val="0"/>
            <w:vAlign w:val="center"/>
          </w:tcPr>
          <w:p w14:paraId="223F5B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982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07AE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（283）箬竹</w:t>
            </w:r>
          </w:p>
        </w:tc>
        <w:tc>
          <w:tcPr>
            <w:tcW w:w="3969" w:type="dxa"/>
            <w:noWrap w:val="0"/>
            <w:vAlign w:val="center"/>
          </w:tcPr>
          <w:p w14:paraId="43A8C0C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Indocalamus tessellatus</w:t>
            </w:r>
          </w:p>
        </w:tc>
        <w:tc>
          <w:tcPr>
            <w:tcW w:w="1977" w:type="dxa"/>
            <w:noWrap w:val="0"/>
            <w:vAlign w:val="center"/>
          </w:tcPr>
          <w:p w14:paraId="5D5F0EE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82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D712B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184.毛竹属</w:t>
            </w:r>
          </w:p>
        </w:tc>
        <w:tc>
          <w:tcPr>
            <w:tcW w:w="3969" w:type="dxa"/>
            <w:noWrap w:val="0"/>
            <w:vAlign w:val="center"/>
          </w:tcPr>
          <w:p w14:paraId="203946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Phyllostachys</w:t>
            </w:r>
          </w:p>
        </w:tc>
        <w:tc>
          <w:tcPr>
            <w:tcW w:w="1977" w:type="dxa"/>
            <w:noWrap w:val="0"/>
            <w:vAlign w:val="center"/>
          </w:tcPr>
          <w:p w14:paraId="38A5CB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E6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FC22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（284）毛竹</w:t>
            </w:r>
          </w:p>
        </w:tc>
        <w:tc>
          <w:tcPr>
            <w:tcW w:w="3969" w:type="dxa"/>
            <w:noWrap w:val="0"/>
            <w:vAlign w:val="center"/>
          </w:tcPr>
          <w:p w14:paraId="43B5D4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Phyllostachys pubescens</w:t>
            </w:r>
          </w:p>
        </w:tc>
        <w:tc>
          <w:tcPr>
            <w:tcW w:w="1977" w:type="dxa"/>
            <w:noWrap w:val="0"/>
            <w:vAlign w:val="center"/>
          </w:tcPr>
          <w:p w14:paraId="452791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16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8232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185.看麦娘属</w:t>
            </w:r>
          </w:p>
        </w:tc>
        <w:tc>
          <w:tcPr>
            <w:tcW w:w="3969" w:type="dxa"/>
            <w:noWrap w:val="0"/>
            <w:vAlign w:val="center"/>
          </w:tcPr>
          <w:p w14:paraId="1027E0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Alopecurus</w:t>
            </w:r>
          </w:p>
        </w:tc>
        <w:tc>
          <w:tcPr>
            <w:tcW w:w="1977" w:type="dxa"/>
            <w:noWrap w:val="0"/>
            <w:vAlign w:val="center"/>
          </w:tcPr>
          <w:p w14:paraId="70B92C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338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FB4DA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（285）看麦娘</w:t>
            </w:r>
          </w:p>
        </w:tc>
        <w:tc>
          <w:tcPr>
            <w:tcW w:w="3969" w:type="dxa"/>
            <w:noWrap w:val="0"/>
            <w:vAlign w:val="center"/>
          </w:tcPr>
          <w:p w14:paraId="1E35E9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Alopecurus aequalis</w:t>
            </w:r>
          </w:p>
        </w:tc>
        <w:tc>
          <w:tcPr>
            <w:tcW w:w="1977" w:type="dxa"/>
            <w:noWrap w:val="0"/>
            <w:vAlign w:val="center"/>
          </w:tcPr>
          <w:p w14:paraId="1BB64E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3F5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E4F53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186.荩草属</w:t>
            </w:r>
          </w:p>
        </w:tc>
        <w:tc>
          <w:tcPr>
            <w:tcW w:w="3969" w:type="dxa"/>
            <w:noWrap w:val="0"/>
            <w:vAlign w:val="center"/>
          </w:tcPr>
          <w:p w14:paraId="2153A7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Arthraxon</w:t>
            </w:r>
          </w:p>
        </w:tc>
        <w:tc>
          <w:tcPr>
            <w:tcW w:w="1977" w:type="dxa"/>
            <w:noWrap w:val="0"/>
            <w:vAlign w:val="center"/>
          </w:tcPr>
          <w:p w14:paraId="6164C0E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87B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72D53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（286）荩草</w:t>
            </w:r>
          </w:p>
        </w:tc>
        <w:tc>
          <w:tcPr>
            <w:tcW w:w="3969" w:type="dxa"/>
            <w:noWrap w:val="0"/>
            <w:vAlign w:val="center"/>
          </w:tcPr>
          <w:p w14:paraId="3B6C40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Arthraxon hispidus</w:t>
            </w:r>
          </w:p>
        </w:tc>
        <w:tc>
          <w:tcPr>
            <w:tcW w:w="1977" w:type="dxa"/>
            <w:noWrap w:val="0"/>
            <w:vAlign w:val="center"/>
          </w:tcPr>
          <w:p w14:paraId="68DB43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8D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75DF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187.野古草属</w:t>
            </w:r>
          </w:p>
        </w:tc>
        <w:tc>
          <w:tcPr>
            <w:tcW w:w="3969" w:type="dxa"/>
            <w:noWrap w:val="0"/>
            <w:vAlign w:val="center"/>
          </w:tcPr>
          <w:p w14:paraId="480C4B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Arundinella</w:t>
            </w:r>
          </w:p>
        </w:tc>
        <w:tc>
          <w:tcPr>
            <w:tcW w:w="1977" w:type="dxa"/>
            <w:noWrap w:val="0"/>
            <w:vAlign w:val="center"/>
          </w:tcPr>
          <w:p w14:paraId="4024AD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75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048E4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（287）野古草</w:t>
            </w:r>
          </w:p>
        </w:tc>
        <w:tc>
          <w:tcPr>
            <w:tcW w:w="3969" w:type="dxa"/>
            <w:noWrap w:val="0"/>
            <w:vAlign w:val="center"/>
          </w:tcPr>
          <w:p w14:paraId="7F98F4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Arundinella anomala</w:t>
            </w:r>
          </w:p>
        </w:tc>
        <w:tc>
          <w:tcPr>
            <w:tcW w:w="1977" w:type="dxa"/>
            <w:noWrap w:val="0"/>
            <w:vAlign w:val="center"/>
          </w:tcPr>
          <w:p w14:paraId="31B6B04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5B2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21A91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188.野燕麦属</w:t>
            </w:r>
          </w:p>
        </w:tc>
        <w:tc>
          <w:tcPr>
            <w:tcW w:w="3969" w:type="dxa"/>
            <w:noWrap w:val="0"/>
            <w:vAlign w:val="center"/>
          </w:tcPr>
          <w:p w14:paraId="6B7D602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Avena</w:t>
            </w:r>
          </w:p>
        </w:tc>
        <w:tc>
          <w:tcPr>
            <w:tcW w:w="1977" w:type="dxa"/>
            <w:noWrap w:val="0"/>
            <w:vAlign w:val="center"/>
          </w:tcPr>
          <w:p w14:paraId="50F969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C8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8850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（288）野燕麦</w:t>
            </w:r>
          </w:p>
        </w:tc>
        <w:tc>
          <w:tcPr>
            <w:tcW w:w="3969" w:type="dxa"/>
            <w:noWrap w:val="0"/>
            <w:vAlign w:val="center"/>
          </w:tcPr>
          <w:p w14:paraId="2BA873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Avena fatua</w:t>
            </w:r>
          </w:p>
        </w:tc>
        <w:tc>
          <w:tcPr>
            <w:tcW w:w="1977" w:type="dxa"/>
            <w:noWrap w:val="0"/>
            <w:vAlign w:val="center"/>
          </w:tcPr>
          <w:p w14:paraId="0A38A6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BD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02AF2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（289）光轴野燕麦</w:t>
            </w:r>
          </w:p>
        </w:tc>
        <w:tc>
          <w:tcPr>
            <w:tcW w:w="3969" w:type="dxa"/>
            <w:noWrap w:val="0"/>
            <w:vAlign w:val="center"/>
          </w:tcPr>
          <w:p w14:paraId="05909A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Avena fatua var.mollis</w:t>
            </w:r>
          </w:p>
        </w:tc>
        <w:tc>
          <w:tcPr>
            <w:tcW w:w="1977" w:type="dxa"/>
            <w:noWrap w:val="0"/>
            <w:vAlign w:val="center"/>
          </w:tcPr>
          <w:p w14:paraId="29B5423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0D5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1C60E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189.菵草属</w:t>
            </w:r>
          </w:p>
        </w:tc>
        <w:tc>
          <w:tcPr>
            <w:tcW w:w="3969" w:type="dxa"/>
            <w:noWrap w:val="0"/>
            <w:vAlign w:val="center"/>
          </w:tcPr>
          <w:p w14:paraId="64AB75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Beckmannia</w:t>
            </w:r>
          </w:p>
        </w:tc>
        <w:tc>
          <w:tcPr>
            <w:tcW w:w="1977" w:type="dxa"/>
            <w:noWrap w:val="0"/>
            <w:vAlign w:val="center"/>
          </w:tcPr>
          <w:p w14:paraId="3D6C0A0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65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A139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（290）菵草</w:t>
            </w:r>
          </w:p>
        </w:tc>
        <w:tc>
          <w:tcPr>
            <w:tcW w:w="3969" w:type="dxa"/>
            <w:noWrap w:val="0"/>
            <w:vAlign w:val="center"/>
          </w:tcPr>
          <w:p w14:paraId="35C55D3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Beckmannia syzigachne</w:t>
            </w:r>
          </w:p>
        </w:tc>
        <w:tc>
          <w:tcPr>
            <w:tcW w:w="1977" w:type="dxa"/>
            <w:noWrap w:val="0"/>
            <w:vAlign w:val="center"/>
          </w:tcPr>
          <w:p w14:paraId="2C4DD4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EC6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6CC6B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190.孔颖草属</w:t>
            </w:r>
          </w:p>
        </w:tc>
        <w:tc>
          <w:tcPr>
            <w:tcW w:w="3969" w:type="dxa"/>
            <w:noWrap w:val="0"/>
            <w:vAlign w:val="center"/>
          </w:tcPr>
          <w:p w14:paraId="6126BB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Bothriochloa</w:t>
            </w:r>
          </w:p>
        </w:tc>
        <w:tc>
          <w:tcPr>
            <w:tcW w:w="1977" w:type="dxa"/>
            <w:noWrap w:val="0"/>
            <w:vAlign w:val="center"/>
          </w:tcPr>
          <w:p w14:paraId="3DCB99C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313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2589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（291）臭根子草</w:t>
            </w:r>
          </w:p>
        </w:tc>
        <w:tc>
          <w:tcPr>
            <w:tcW w:w="3969" w:type="dxa"/>
            <w:noWrap w:val="0"/>
            <w:vAlign w:val="center"/>
          </w:tcPr>
          <w:p w14:paraId="530E96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Bothriochloa bladhii</w:t>
            </w:r>
          </w:p>
        </w:tc>
        <w:tc>
          <w:tcPr>
            <w:tcW w:w="1977" w:type="dxa"/>
            <w:noWrap w:val="0"/>
            <w:vAlign w:val="center"/>
          </w:tcPr>
          <w:p w14:paraId="1496A1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CC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81F4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191.拂子茅属</w:t>
            </w:r>
          </w:p>
        </w:tc>
        <w:tc>
          <w:tcPr>
            <w:tcW w:w="3969" w:type="dxa"/>
            <w:noWrap w:val="0"/>
            <w:vAlign w:val="center"/>
          </w:tcPr>
          <w:p w14:paraId="17F5EB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Calamagrostis</w:t>
            </w:r>
          </w:p>
        </w:tc>
        <w:tc>
          <w:tcPr>
            <w:tcW w:w="1977" w:type="dxa"/>
            <w:noWrap w:val="0"/>
            <w:vAlign w:val="center"/>
          </w:tcPr>
          <w:p w14:paraId="41F47B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4A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44ECC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（292）拂子茅</w:t>
            </w:r>
          </w:p>
        </w:tc>
        <w:tc>
          <w:tcPr>
            <w:tcW w:w="3969" w:type="dxa"/>
            <w:noWrap w:val="0"/>
            <w:vAlign w:val="center"/>
          </w:tcPr>
          <w:p w14:paraId="6E2D3E0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Calamagrostis epigeios</w:t>
            </w:r>
          </w:p>
        </w:tc>
        <w:tc>
          <w:tcPr>
            <w:tcW w:w="1977" w:type="dxa"/>
            <w:noWrap w:val="0"/>
            <w:vAlign w:val="center"/>
          </w:tcPr>
          <w:p w14:paraId="7E2179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60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A84E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192.狗牙根属</w:t>
            </w:r>
          </w:p>
        </w:tc>
        <w:tc>
          <w:tcPr>
            <w:tcW w:w="3969" w:type="dxa"/>
            <w:noWrap w:val="0"/>
            <w:vAlign w:val="center"/>
          </w:tcPr>
          <w:p w14:paraId="014408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Cynodon</w:t>
            </w:r>
          </w:p>
        </w:tc>
        <w:tc>
          <w:tcPr>
            <w:tcW w:w="1977" w:type="dxa"/>
            <w:noWrap w:val="0"/>
            <w:vAlign w:val="center"/>
          </w:tcPr>
          <w:p w14:paraId="1226BC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851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96E5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（293）狗牙根</w:t>
            </w:r>
          </w:p>
        </w:tc>
        <w:tc>
          <w:tcPr>
            <w:tcW w:w="3969" w:type="dxa"/>
            <w:noWrap w:val="0"/>
            <w:vAlign w:val="center"/>
          </w:tcPr>
          <w:p w14:paraId="52F79A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Cynodon dactylon</w:t>
            </w:r>
          </w:p>
        </w:tc>
        <w:tc>
          <w:tcPr>
            <w:tcW w:w="1977" w:type="dxa"/>
            <w:noWrap w:val="0"/>
            <w:vAlign w:val="center"/>
          </w:tcPr>
          <w:p w14:paraId="26E8BC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7B6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DEE9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193.马唐属</w:t>
            </w:r>
          </w:p>
        </w:tc>
        <w:tc>
          <w:tcPr>
            <w:tcW w:w="3969" w:type="dxa"/>
            <w:noWrap w:val="0"/>
            <w:vAlign w:val="center"/>
          </w:tcPr>
          <w:p w14:paraId="460479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Digitaria</w:t>
            </w:r>
          </w:p>
        </w:tc>
        <w:tc>
          <w:tcPr>
            <w:tcW w:w="1977" w:type="dxa"/>
            <w:noWrap w:val="0"/>
            <w:vAlign w:val="center"/>
          </w:tcPr>
          <w:p w14:paraId="691540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7AA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977D3C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（294）马唐</w:t>
            </w:r>
          </w:p>
        </w:tc>
        <w:tc>
          <w:tcPr>
            <w:tcW w:w="3969" w:type="dxa"/>
            <w:noWrap w:val="0"/>
            <w:vAlign w:val="center"/>
          </w:tcPr>
          <w:p w14:paraId="289F20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Digitaria sanguinalis</w:t>
            </w:r>
          </w:p>
        </w:tc>
        <w:tc>
          <w:tcPr>
            <w:tcW w:w="1977" w:type="dxa"/>
            <w:noWrap w:val="0"/>
            <w:vAlign w:val="center"/>
          </w:tcPr>
          <w:p w14:paraId="4A995A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76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8D0CD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（295）紫马唐</w:t>
            </w:r>
          </w:p>
        </w:tc>
        <w:tc>
          <w:tcPr>
            <w:tcW w:w="3969" w:type="dxa"/>
            <w:noWrap w:val="0"/>
            <w:vAlign w:val="center"/>
          </w:tcPr>
          <w:p w14:paraId="1BCAF1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Digitaria violascens</w:t>
            </w:r>
          </w:p>
        </w:tc>
        <w:tc>
          <w:tcPr>
            <w:tcW w:w="1977" w:type="dxa"/>
            <w:noWrap w:val="0"/>
            <w:vAlign w:val="center"/>
          </w:tcPr>
          <w:p w14:paraId="29BC9C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A0E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612A0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（296）升马唐</w:t>
            </w:r>
          </w:p>
        </w:tc>
        <w:tc>
          <w:tcPr>
            <w:tcW w:w="3969" w:type="dxa"/>
            <w:noWrap w:val="0"/>
            <w:vAlign w:val="center"/>
          </w:tcPr>
          <w:p w14:paraId="252F86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Digitaria ciliatis</w:t>
            </w:r>
          </w:p>
        </w:tc>
        <w:tc>
          <w:tcPr>
            <w:tcW w:w="1977" w:type="dxa"/>
            <w:noWrap w:val="0"/>
            <w:vAlign w:val="center"/>
          </w:tcPr>
          <w:p w14:paraId="082D35C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C7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AE8B7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194.稗属</w:t>
            </w:r>
          </w:p>
        </w:tc>
        <w:tc>
          <w:tcPr>
            <w:tcW w:w="3969" w:type="dxa"/>
            <w:noWrap w:val="0"/>
            <w:vAlign w:val="center"/>
          </w:tcPr>
          <w:p w14:paraId="592946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Echinochloa</w:t>
            </w:r>
          </w:p>
        </w:tc>
        <w:tc>
          <w:tcPr>
            <w:tcW w:w="1977" w:type="dxa"/>
            <w:noWrap w:val="0"/>
            <w:vAlign w:val="center"/>
          </w:tcPr>
          <w:p w14:paraId="5E80E4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A9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7C5CC0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（297）长芒稗</w:t>
            </w:r>
          </w:p>
        </w:tc>
        <w:tc>
          <w:tcPr>
            <w:tcW w:w="3969" w:type="dxa"/>
            <w:noWrap w:val="0"/>
            <w:vAlign w:val="center"/>
          </w:tcPr>
          <w:p w14:paraId="5AD04F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Echinochloa caudata</w:t>
            </w:r>
          </w:p>
        </w:tc>
        <w:tc>
          <w:tcPr>
            <w:tcW w:w="1977" w:type="dxa"/>
            <w:noWrap w:val="0"/>
            <w:vAlign w:val="center"/>
          </w:tcPr>
          <w:p w14:paraId="360473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E24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CBF0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（298）光头稗</w:t>
            </w:r>
          </w:p>
        </w:tc>
        <w:tc>
          <w:tcPr>
            <w:tcW w:w="3969" w:type="dxa"/>
            <w:noWrap w:val="0"/>
            <w:vAlign w:val="center"/>
          </w:tcPr>
          <w:p w14:paraId="3C7DE6B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Echinochloa colonum</w:t>
            </w:r>
          </w:p>
        </w:tc>
        <w:tc>
          <w:tcPr>
            <w:tcW w:w="1977" w:type="dxa"/>
            <w:noWrap w:val="0"/>
            <w:vAlign w:val="center"/>
          </w:tcPr>
          <w:p w14:paraId="0FFE56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483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E076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（299）稗</w:t>
            </w:r>
          </w:p>
        </w:tc>
        <w:tc>
          <w:tcPr>
            <w:tcW w:w="3969" w:type="dxa"/>
            <w:noWrap w:val="0"/>
            <w:vAlign w:val="center"/>
          </w:tcPr>
          <w:p w14:paraId="42FDF7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Echinochloa crusgalli</w:t>
            </w:r>
          </w:p>
        </w:tc>
        <w:tc>
          <w:tcPr>
            <w:tcW w:w="1977" w:type="dxa"/>
            <w:noWrap w:val="0"/>
            <w:vAlign w:val="center"/>
          </w:tcPr>
          <w:p w14:paraId="10352CD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EF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4CFB9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195.蟋蟀草属</w:t>
            </w:r>
          </w:p>
        </w:tc>
        <w:tc>
          <w:tcPr>
            <w:tcW w:w="3969" w:type="dxa"/>
            <w:noWrap w:val="0"/>
            <w:vAlign w:val="center"/>
          </w:tcPr>
          <w:p w14:paraId="6882F8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Eleusine</w:t>
            </w:r>
          </w:p>
        </w:tc>
        <w:tc>
          <w:tcPr>
            <w:tcW w:w="1977" w:type="dxa"/>
            <w:noWrap w:val="0"/>
            <w:vAlign w:val="center"/>
          </w:tcPr>
          <w:p w14:paraId="303151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9C5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C328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（300）牛筋草</w:t>
            </w:r>
          </w:p>
        </w:tc>
        <w:tc>
          <w:tcPr>
            <w:tcW w:w="3969" w:type="dxa"/>
            <w:noWrap w:val="0"/>
            <w:vAlign w:val="center"/>
          </w:tcPr>
          <w:p w14:paraId="1691D2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Eleusine indica</w:t>
            </w:r>
          </w:p>
        </w:tc>
        <w:tc>
          <w:tcPr>
            <w:tcW w:w="1977" w:type="dxa"/>
            <w:noWrap w:val="0"/>
            <w:vAlign w:val="center"/>
          </w:tcPr>
          <w:p w14:paraId="4C04AE3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8F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9228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196.画眉草属</w:t>
            </w:r>
          </w:p>
        </w:tc>
        <w:tc>
          <w:tcPr>
            <w:tcW w:w="3969" w:type="dxa"/>
            <w:noWrap w:val="0"/>
            <w:vAlign w:val="center"/>
          </w:tcPr>
          <w:p w14:paraId="01EBEC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Eragrostis</w:t>
            </w:r>
          </w:p>
        </w:tc>
        <w:tc>
          <w:tcPr>
            <w:tcW w:w="1977" w:type="dxa"/>
            <w:noWrap w:val="0"/>
            <w:vAlign w:val="center"/>
          </w:tcPr>
          <w:p w14:paraId="7FBE7CA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089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E631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（301）知风草</w:t>
            </w:r>
          </w:p>
        </w:tc>
        <w:tc>
          <w:tcPr>
            <w:tcW w:w="3969" w:type="dxa"/>
            <w:noWrap w:val="0"/>
            <w:vAlign w:val="center"/>
          </w:tcPr>
          <w:p w14:paraId="5979EBF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Eragrostis ferruginea</w:t>
            </w:r>
          </w:p>
        </w:tc>
        <w:tc>
          <w:tcPr>
            <w:tcW w:w="1977" w:type="dxa"/>
            <w:noWrap w:val="0"/>
            <w:vAlign w:val="center"/>
          </w:tcPr>
          <w:p w14:paraId="0B7FD8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BC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ED6C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（302）乱草</w:t>
            </w:r>
          </w:p>
        </w:tc>
        <w:tc>
          <w:tcPr>
            <w:tcW w:w="3969" w:type="dxa"/>
            <w:noWrap w:val="0"/>
            <w:vAlign w:val="center"/>
          </w:tcPr>
          <w:p w14:paraId="430B41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Eragrostis japonica</w:t>
            </w:r>
          </w:p>
        </w:tc>
        <w:tc>
          <w:tcPr>
            <w:tcW w:w="1977" w:type="dxa"/>
            <w:noWrap w:val="0"/>
            <w:vAlign w:val="center"/>
          </w:tcPr>
          <w:p w14:paraId="2EC318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01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34CC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（303）大画眉草</w:t>
            </w:r>
          </w:p>
        </w:tc>
        <w:tc>
          <w:tcPr>
            <w:tcW w:w="3969" w:type="dxa"/>
            <w:noWrap w:val="0"/>
            <w:vAlign w:val="center"/>
          </w:tcPr>
          <w:p w14:paraId="2034B7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Eragrostis cilianensis</w:t>
            </w:r>
          </w:p>
        </w:tc>
        <w:tc>
          <w:tcPr>
            <w:tcW w:w="1977" w:type="dxa"/>
            <w:noWrap w:val="0"/>
            <w:vAlign w:val="center"/>
          </w:tcPr>
          <w:p w14:paraId="2B887C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F9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4AE14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（304）小画眉草</w:t>
            </w:r>
          </w:p>
        </w:tc>
        <w:tc>
          <w:tcPr>
            <w:tcW w:w="3969" w:type="dxa"/>
            <w:noWrap w:val="0"/>
            <w:vAlign w:val="center"/>
          </w:tcPr>
          <w:p w14:paraId="29BFCE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Eragrostis minor</w:t>
            </w:r>
          </w:p>
        </w:tc>
        <w:tc>
          <w:tcPr>
            <w:tcW w:w="1977" w:type="dxa"/>
            <w:noWrap w:val="0"/>
            <w:vAlign w:val="center"/>
          </w:tcPr>
          <w:p w14:paraId="2C7E2C3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743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9F70A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197.蜈蚣草属</w:t>
            </w:r>
          </w:p>
        </w:tc>
        <w:tc>
          <w:tcPr>
            <w:tcW w:w="3969" w:type="dxa"/>
            <w:noWrap w:val="0"/>
            <w:vAlign w:val="center"/>
          </w:tcPr>
          <w:p w14:paraId="2C3CE8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Eremochloa</w:t>
            </w:r>
          </w:p>
        </w:tc>
        <w:tc>
          <w:tcPr>
            <w:tcW w:w="1977" w:type="dxa"/>
            <w:noWrap w:val="0"/>
            <w:vAlign w:val="center"/>
          </w:tcPr>
          <w:p w14:paraId="03ECAE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D1E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0DFE46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（305）假俭草</w:t>
            </w:r>
          </w:p>
        </w:tc>
        <w:tc>
          <w:tcPr>
            <w:tcW w:w="3969" w:type="dxa"/>
            <w:noWrap w:val="0"/>
            <w:vAlign w:val="center"/>
          </w:tcPr>
          <w:p w14:paraId="44211C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Eremochloa ophiuroides</w:t>
            </w:r>
          </w:p>
        </w:tc>
        <w:tc>
          <w:tcPr>
            <w:tcW w:w="1977" w:type="dxa"/>
            <w:noWrap w:val="0"/>
            <w:vAlign w:val="center"/>
          </w:tcPr>
          <w:p w14:paraId="2377BF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59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AB5022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198.野黍属</w:t>
            </w:r>
          </w:p>
        </w:tc>
        <w:tc>
          <w:tcPr>
            <w:tcW w:w="3969" w:type="dxa"/>
            <w:noWrap w:val="0"/>
            <w:vAlign w:val="center"/>
          </w:tcPr>
          <w:p w14:paraId="018B15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Eriochloa</w:t>
            </w:r>
          </w:p>
        </w:tc>
        <w:tc>
          <w:tcPr>
            <w:tcW w:w="1977" w:type="dxa"/>
            <w:noWrap w:val="0"/>
            <w:vAlign w:val="center"/>
          </w:tcPr>
          <w:p w14:paraId="2B01B67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DBD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53C48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（306）野黍</w:t>
            </w:r>
          </w:p>
        </w:tc>
        <w:tc>
          <w:tcPr>
            <w:tcW w:w="3969" w:type="dxa"/>
            <w:noWrap w:val="0"/>
            <w:vAlign w:val="center"/>
          </w:tcPr>
          <w:p w14:paraId="5544B5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Eriochloa villosa</w:t>
            </w:r>
          </w:p>
        </w:tc>
        <w:tc>
          <w:tcPr>
            <w:tcW w:w="1977" w:type="dxa"/>
            <w:noWrap w:val="0"/>
            <w:vAlign w:val="center"/>
          </w:tcPr>
          <w:p w14:paraId="70365B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E0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35944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199.牛鞭草属</w:t>
            </w:r>
          </w:p>
        </w:tc>
        <w:tc>
          <w:tcPr>
            <w:tcW w:w="3969" w:type="dxa"/>
            <w:noWrap w:val="0"/>
            <w:vAlign w:val="center"/>
          </w:tcPr>
          <w:p w14:paraId="077108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Hemarthria</w:t>
            </w:r>
          </w:p>
        </w:tc>
        <w:tc>
          <w:tcPr>
            <w:tcW w:w="1977" w:type="dxa"/>
            <w:noWrap w:val="0"/>
            <w:vAlign w:val="center"/>
          </w:tcPr>
          <w:p w14:paraId="7C174C9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142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5BBEA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（307）牛鞭草</w:t>
            </w:r>
          </w:p>
        </w:tc>
        <w:tc>
          <w:tcPr>
            <w:tcW w:w="3969" w:type="dxa"/>
            <w:noWrap w:val="0"/>
            <w:vAlign w:val="center"/>
          </w:tcPr>
          <w:p w14:paraId="5DE97C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Hemarthria altissima</w:t>
            </w:r>
          </w:p>
        </w:tc>
        <w:tc>
          <w:tcPr>
            <w:tcW w:w="1977" w:type="dxa"/>
            <w:noWrap w:val="0"/>
            <w:vAlign w:val="center"/>
          </w:tcPr>
          <w:p w14:paraId="3AB38E8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B20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2B178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200.白茅属</w:t>
            </w:r>
          </w:p>
        </w:tc>
        <w:tc>
          <w:tcPr>
            <w:tcW w:w="3969" w:type="dxa"/>
            <w:noWrap w:val="0"/>
            <w:vAlign w:val="center"/>
          </w:tcPr>
          <w:p w14:paraId="357697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Imperata</w:t>
            </w:r>
          </w:p>
        </w:tc>
        <w:tc>
          <w:tcPr>
            <w:tcW w:w="1977" w:type="dxa"/>
            <w:noWrap w:val="0"/>
            <w:vAlign w:val="center"/>
          </w:tcPr>
          <w:p w14:paraId="53627B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43A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0CE856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（308）白茅</w:t>
            </w:r>
          </w:p>
        </w:tc>
        <w:tc>
          <w:tcPr>
            <w:tcW w:w="3969" w:type="dxa"/>
            <w:noWrap w:val="0"/>
            <w:vAlign w:val="center"/>
          </w:tcPr>
          <w:p w14:paraId="22783E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Imperata cylindrica</w:t>
            </w:r>
          </w:p>
        </w:tc>
        <w:tc>
          <w:tcPr>
            <w:tcW w:w="1977" w:type="dxa"/>
            <w:noWrap w:val="0"/>
            <w:vAlign w:val="center"/>
          </w:tcPr>
          <w:p w14:paraId="305F03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23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D0EBF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201.假稻属</w:t>
            </w:r>
          </w:p>
        </w:tc>
        <w:tc>
          <w:tcPr>
            <w:tcW w:w="3969" w:type="dxa"/>
            <w:noWrap w:val="0"/>
            <w:vAlign w:val="center"/>
          </w:tcPr>
          <w:p w14:paraId="1F756C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Leersia</w:t>
            </w:r>
          </w:p>
        </w:tc>
        <w:tc>
          <w:tcPr>
            <w:tcW w:w="1977" w:type="dxa"/>
            <w:noWrap w:val="0"/>
            <w:vAlign w:val="center"/>
          </w:tcPr>
          <w:p w14:paraId="1F40D2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601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09F7EE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（308）李氏禾</w:t>
            </w:r>
          </w:p>
        </w:tc>
        <w:tc>
          <w:tcPr>
            <w:tcW w:w="3969" w:type="dxa"/>
            <w:noWrap w:val="0"/>
            <w:vAlign w:val="center"/>
          </w:tcPr>
          <w:p w14:paraId="3B23200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Leersia hexandra</w:t>
            </w:r>
          </w:p>
        </w:tc>
        <w:tc>
          <w:tcPr>
            <w:tcW w:w="1977" w:type="dxa"/>
            <w:noWrap w:val="0"/>
            <w:vAlign w:val="center"/>
          </w:tcPr>
          <w:p w14:paraId="36E92E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186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E7911B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（309）假稻（游草）</w:t>
            </w:r>
          </w:p>
        </w:tc>
        <w:tc>
          <w:tcPr>
            <w:tcW w:w="3969" w:type="dxa"/>
            <w:noWrap w:val="0"/>
            <w:vAlign w:val="center"/>
          </w:tcPr>
          <w:p w14:paraId="3E2826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Leersia japonica</w:t>
            </w:r>
          </w:p>
        </w:tc>
        <w:tc>
          <w:tcPr>
            <w:tcW w:w="1977" w:type="dxa"/>
            <w:noWrap w:val="0"/>
            <w:vAlign w:val="center"/>
          </w:tcPr>
          <w:p w14:paraId="1890DC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86D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23110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202.千金子属</w:t>
            </w:r>
          </w:p>
        </w:tc>
        <w:tc>
          <w:tcPr>
            <w:tcW w:w="3969" w:type="dxa"/>
            <w:noWrap w:val="0"/>
            <w:vAlign w:val="center"/>
          </w:tcPr>
          <w:p w14:paraId="5CBD800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Leptochloa</w:t>
            </w:r>
          </w:p>
        </w:tc>
        <w:tc>
          <w:tcPr>
            <w:tcW w:w="1977" w:type="dxa"/>
            <w:noWrap w:val="0"/>
            <w:vAlign w:val="center"/>
          </w:tcPr>
          <w:p w14:paraId="7A1D34D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BB4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7417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（310）虮子草</w:t>
            </w:r>
          </w:p>
        </w:tc>
        <w:tc>
          <w:tcPr>
            <w:tcW w:w="3969" w:type="dxa"/>
            <w:noWrap w:val="0"/>
            <w:vAlign w:val="center"/>
          </w:tcPr>
          <w:p w14:paraId="287A24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Leptochloa panicea</w:t>
            </w:r>
          </w:p>
        </w:tc>
        <w:tc>
          <w:tcPr>
            <w:tcW w:w="1977" w:type="dxa"/>
            <w:noWrap w:val="0"/>
            <w:vAlign w:val="center"/>
          </w:tcPr>
          <w:p w14:paraId="0E63F8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C94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66F7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（312）千金子</w:t>
            </w:r>
          </w:p>
        </w:tc>
        <w:tc>
          <w:tcPr>
            <w:tcW w:w="3969" w:type="dxa"/>
            <w:noWrap w:val="0"/>
            <w:vAlign w:val="center"/>
          </w:tcPr>
          <w:p w14:paraId="1A3C0A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Leptochloa chinensis</w:t>
            </w:r>
          </w:p>
        </w:tc>
        <w:tc>
          <w:tcPr>
            <w:tcW w:w="1977" w:type="dxa"/>
            <w:noWrap w:val="0"/>
            <w:vAlign w:val="center"/>
          </w:tcPr>
          <w:p w14:paraId="09DC805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E3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E1E7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203.淡竹叶属</w:t>
            </w:r>
          </w:p>
        </w:tc>
        <w:tc>
          <w:tcPr>
            <w:tcW w:w="3969" w:type="dxa"/>
            <w:noWrap w:val="0"/>
            <w:vAlign w:val="center"/>
          </w:tcPr>
          <w:p w14:paraId="4003BE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Lophatherum</w:t>
            </w:r>
          </w:p>
        </w:tc>
        <w:tc>
          <w:tcPr>
            <w:tcW w:w="1977" w:type="dxa"/>
            <w:noWrap w:val="0"/>
            <w:vAlign w:val="center"/>
          </w:tcPr>
          <w:p w14:paraId="195E9F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78F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24599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（313）淡竹叶</w:t>
            </w:r>
          </w:p>
        </w:tc>
        <w:tc>
          <w:tcPr>
            <w:tcW w:w="3969" w:type="dxa"/>
            <w:noWrap w:val="0"/>
            <w:vAlign w:val="center"/>
          </w:tcPr>
          <w:p w14:paraId="24BFDDC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Lophatherum gracile</w:t>
            </w:r>
          </w:p>
        </w:tc>
        <w:tc>
          <w:tcPr>
            <w:tcW w:w="1977" w:type="dxa"/>
            <w:noWrap w:val="0"/>
            <w:vAlign w:val="center"/>
          </w:tcPr>
          <w:p w14:paraId="2342044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D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4352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204.芒属</w:t>
            </w:r>
          </w:p>
        </w:tc>
        <w:tc>
          <w:tcPr>
            <w:tcW w:w="3969" w:type="dxa"/>
            <w:noWrap w:val="0"/>
            <w:vAlign w:val="center"/>
          </w:tcPr>
          <w:p w14:paraId="136B69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Miscanthus</w:t>
            </w:r>
          </w:p>
        </w:tc>
        <w:tc>
          <w:tcPr>
            <w:tcW w:w="1977" w:type="dxa"/>
            <w:noWrap w:val="0"/>
            <w:vAlign w:val="center"/>
          </w:tcPr>
          <w:p w14:paraId="2C4DB6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BB9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F2B7C1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（314）五节芒（芭茅）</w:t>
            </w:r>
          </w:p>
        </w:tc>
        <w:tc>
          <w:tcPr>
            <w:tcW w:w="3969" w:type="dxa"/>
            <w:noWrap w:val="0"/>
            <w:vAlign w:val="center"/>
          </w:tcPr>
          <w:p w14:paraId="2CDC9EB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Miscanthus floridulus</w:t>
            </w:r>
          </w:p>
        </w:tc>
        <w:tc>
          <w:tcPr>
            <w:tcW w:w="1977" w:type="dxa"/>
            <w:noWrap w:val="0"/>
            <w:vAlign w:val="center"/>
          </w:tcPr>
          <w:p w14:paraId="54E87B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C4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9101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（315）芒</w:t>
            </w:r>
          </w:p>
        </w:tc>
        <w:tc>
          <w:tcPr>
            <w:tcW w:w="3969" w:type="dxa"/>
            <w:noWrap w:val="0"/>
            <w:vAlign w:val="center"/>
          </w:tcPr>
          <w:p w14:paraId="38562F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Miscanthus sinensis</w:t>
            </w:r>
          </w:p>
        </w:tc>
        <w:tc>
          <w:tcPr>
            <w:tcW w:w="1977" w:type="dxa"/>
            <w:noWrap w:val="0"/>
            <w:vAlign w:val="center"/>
          </w:tcPr>
          <w:p w14:paraId="201B73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57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EF71AF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205.球米草属</w:t>
            </w:r>
          </w:p>
        </w:tc>
        <w:tc>
          <w:tcPr>
            <w:tcW w:w="3969" w:type="dxa"/>
            <w:noWrap w:val="0"/>
            <w:vAlign w:val="center"/>
          </w:tcPr>
          <w:p w14:paraId="258ED90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Oplismenus</w:t>
            </w:r>
          </w:p>
        </w:tc>
        <w:tc>
          <w:tcPr>
            <w:tcW w:w="1977" w:type="dxa"/>
            <w:noWrap w:val="0"/>
            <w:vAlign w:val="center"/>
          </w:tcPr>
          <w:p w14:paraId="37F01BF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139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4327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（316）竹叶草</w:t>
            </w:r>
          </w:p>
        </w:tc>
        <w:tc>
          <w:tcPr>
            <w:tcW w:w="3969" w:type="dxa"/>
            <w:noWrap w:val="0"/>
            <w:vAlign w:val="center"/>
          </w:tcPr>
          <w:p w14:paraId="7A46983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Oplismenus composit</w:t>
            </w:r>
          </w:p>
        </w:tc>
        <w:tc>
          <w:tcPr>
            <w:tcW w:w="1977" w:type="dxa"/>
            <w:noWrap w:val="0"/>
            <w:vAlign w:val="center"/>
          </w:tcPr>
          <w:p w14:paraId="019D6F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951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4F1D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（317）球米草</w:t>
            </w:r>
          </w:p>
        </w:tc>
        <w:tc>
          <w:tcPr>
            <w:tcW w:w="3969" w:type="dxa"/>
            <w:noWrap w:val="0"/>
            <w:vAlign w:val="center"/>
          </w:tcPr>
          <w:p w14:paraId="7EDB46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Oplismenus undulatifolius</w:t>
            </w:r>
          </w:p>
        </w:tc>
        <w:tc>
          <w:tcPr>
            <w:tcW w:w="1977" w:type="dxa"/>
            <w:noWrap w:val="0"/>
            <w:vAlign w:val="center"/>
          </w:tcPr>
          <w:p w14:paraId="6A9DDA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DEB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DBD8F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206.黍属</w:t>
            </w:r>
          </w:p>
        </w:tc>
        <w:tc>
          <w:tcPr>
            <w:tcW w:w="3969" w:type="dxa"/>
            <w:noWrap w:val="0"/>
            <w:vAlign w:val="center"/>
          </w:tcPr>
          <w:p w14:paraId="13F890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Panicum</w:t>
            </w:r>
          </w:p>
        </w:tc>
        <w:tc>
          <w:tcPr>
            <w:tcW w:w="1977" w:type="dxa"/>
            <w:noWrap w:val="0"/>
            <w:vAlign w:val="center"/>
          </w:tcPr>
          <w:p w14:paraId="7F97F2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C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BF9376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（318）糠稷</w:t>
            </w:r>
          </w:p>
        </w:tc>
        <w:tc>
          <w:tcPr>
            <w:tcW w:w="3969" w:type="dxa"/>
            <w:noWrap w:val="0"/>
            <w:vAlign w:val="center"/>
          </w:tcPr>
          <w:p w14:paraId="5E8763C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Panicum bisulcatum</w:t>
            </w:r>
          </w:p>
        </w:tc>
        <w:tc>
          <w:tcPr>
            <w:tcW w:w="1977" w:type="dxa"/>
            <w:noWrap w:val="0"/>
            <w:vAlign w:val="center"/>
          </w:tcPr>
          <w:p w14:paraId="560BC7B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F0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8523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207雀稗属</w:t>
            </w:r>
          </w:p>
        </w:tc>
        <w:tc>
          <w:tcPr>
            <w:tcW w:w="3969" w:type="dxa"/>
            <w:noWrap w:val="0"/>
            <w:vAlign w:val="center"/>
          </w:tcPr>
          <w:p w14:paraId="0CD6E63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Paspalum</w:t>
            </w:r>
          </w:p>
        </w:tc>
        <w:tc>
          <w:tcPr>
            <w:tcW w:w="1977" w:type="dxa"/>
            <w:noWrap w:val="0"/>
            <w:vAlign w:val="center"/>
          </w:tcPr>
          <w:p w14:paraId="26D063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EBF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9D52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（319）两耳草</w:t>
            </w:r>
          </w:p>
        </w:tc>
        <w:tc>
          <w:tcPr>
            <w:tcW w:w="3969" w:type="dxa"/>
            <w:noWrap w:val="0"/>
            <w:vAlign w:val="center"/>
          </w:tcPr>
          <w:p w14:paraId="00F36DC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Paspalum conjugatum</w:t>
            </w:r>
          </w:p>
        </w:tc>
        <w:tc>
          <w:tcPr>
            <w:tcW w:w="1977" w:type="dxa"/>
            <w:noWrap w:val="0"/>
            <w:vAlign w:val="center"/>
          </w:tcPr>
          <w:p w14:paraId="4656397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A4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9B7C1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（320）双穗雀稗</w:t>
            </w:r>
          </w:p>
        </w:tc>
        <w:tc>
          <w:tcPr>
            <w:tcW w:w="3969" w:type="dxa"/>
            <w:noWrap w:val="0"/>
            <w:vAlign w:val="center"/>
          </w:tcPr>
          <w:p w14:paraId="088EE68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Paspalum paspaloides</w:t>
            </w:r>
          </w:p>
        </w:tc>
        <w:tc>
          <w:tcPr>
            <w:tcW w:w="1977" w:type="dxa"/>
            <w:noWrap w:val="0"/>
            <w:vAlign w:val="center"/>
          </w:tcPr>
          <w:p w14:paraId="6E76CC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2C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BB9BF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（321）雀稗</w:t>
            </w:r>
          </w:p>
        </w:tc>
        <w:tc>
          <w:tcPr>
            <w:tcW w:w="3969" w:type="dxa"/>
            <w:noWrap w:val="0"/>
            <w:vAlign w:val="center"/>
          </w:tcPr>
          <w:p w14:paraId="77FCA8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Paspalum thunbergii</w:t>
            </w:r>
          </w:p>
        </w:tc>
        <w:tc>
          <w:tcPr>
            <w:tcW w:w="1977" w:type="dxa"/>
            <w:noWrap w:val="0"/>
            <w:vAlign w:val="center"/>
          </w:tcPr>
          <w:p w14:paraId="176667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30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7BF7C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208.狼尾草属</w:t>
            </w:r>
          </w:p>
        </w:tc>
        <w:tc>
          <w:tcPr>
            <w:tcW w:w="3969" w:type="dxa"/>
            <w:noWrap w:val="0"/>
            <w:vAlign w:val="center"/>
          </w:tcPr>
          <w:p w14:paraId="6B5D55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Pennisetum</w:t>
            </w:r>
          </w:p>
        </w:tc>
        <w:tc>
          <w:tcPr>
            <w:tcW w:w="1977" w:type="dxa"/>
            <w:noWrap w:val="0"/>
            <w:vAlign w:val="center"/>
          </w:tcPr>
          <w:p w14:paraId="3619BE1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5F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E603CC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（322）狼尾草</w:t>
            </w:r>
          </w:p>
        </w:tc>
        <w:tc>
          <w:tcPr>
            <w:tcW w:w="3969" w:type="dxa"/>
            <w:noWrap w:val="0"/>
            <w:vAlign w:val="center"/>
          </w:tcPr>
          <w:p w14:paraId="2C3FE1F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Pennisetum alopecuroides</w:t>
            </w:r>
          </w:p>
        </w:tc>
        <w:tc>
          <w:tcPr>
            <w:tcW w:w="1977" w:type="dxa"/>
            <w:noWrap w:val="0"/>
            <w:vAlign w:val="center"/>
          </w:tcPr>
          <w:p w14:paraId="7BF32C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210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E07B1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209.虉草属</w:t>
            </w:r>
          </w:p>
        </w:tc>
        <w:tc>
          <w:tcPr>
            <w:tcW w:w="3969" w:type="dxa"/>
            <w:noWrap w:val="0"/>
            <w:vAlign w:val="center"/>
          </w:tcPr>
          <w:p w14:paraId="203E6F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Phalaris</w:t>
            </w:r>
          </w:p>
        </w:tc>
        <w:tc>
          <w:tcPr>
            <w:tcW w:w="1977" w:type="dxa"/>
            <w:noWrap w:val="0"/>
            <w:vAlign w:val="center"/>
          </w:tcPr>
          <w:p w14:paraId="3A265C0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013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F0E3D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（323）虉草</w:t>
            </w:r>
          </w:p>
        </w:tc>
        <w:tc>
          <w:tcPr>
            <w:tcW w:w="3969" w:type="dxa"/>
            <w:noWrap w:val="0"/>
            <w:vAlign w:val="center"/>
          </w:tcPr>
          <w:p w14:paraId="44FFF2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Phalaris arundinacea</w:t>
            </w:r>
          </w:p>
        </w:tc>
        <w:tc>
          <w:tcPr>
            <w:tcW w:w="1977" w:type="dxa"/>
            <w:noWrap w:val="0"/>
            <w:vAlign w:val="center"/>
          </w:tcPr>
          <w:p w14:paraId="01D1796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EF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145DCD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210.苜蓿草属</w:t>
            </w:r>
          </w:p>
        </w:tc>
        <w:tc>
          <w:tcPr>
            <w:tcW w:w="3969" w:type="dxa"/>
            <w:noWrap w:val="0"/>
            <w:vAlign w:val="center"/>
          </w:tcPr>
          <w:p w14:paraId="1CB9836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Medicago</w:t>
            </w:r>
          </w:p>
        </w:tc>
        <w:tc>
          <w:tcPr>
            <w:tcW w:w="1977" w:type="dxa"/>
            <w:noWrap w:val="0"/>
            <w:vAlign w:val="center"/>
          </w:tcPr>
          <w:p w14:paraId="29B293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C52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4AC8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（324）苜蓿草</w:t>
            </w:r>
          </w:p>
        </w:tc>
        <w:tc>
          <w:tcPr>
            <w:tcW w:w="3969" w:type="dxa"/>
            <w:noWrap w:val="0"/>
            <w:vAlign w:val="center"/>
          </w:tcPr>
          <w:p w14:paraId="28110E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LotuscorniculatusL</w:t>
            </w:r>
          </w:p>
        </w:tc>
        <w:tc>
          <w:tcPr>
            <w:tcW w:w="1977" w:type="dxa"/>
            <w:noWrap w:val="0"/>
            <w:vAlign w:val="center"/>
          </w:tcPr>
          <w:p w14:paraId="4C4BC5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737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2DA54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211.棒头草属</w:t>
            </w:r>
          </w:p>
        </w:tc>
        <w:tc>
          <w:tcPr>
            <w:tcW w:w="3969" w:type="dxa"/>
            <w:noWrap w:val="0"/>
            <w:vAlign w:val="center"/>
          </w:tcPr>
          <w:p w14:paraId="3A39153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Polypogon</w:t>
            </w:r>
          </w:p>
        </w:tc>
        <w:tc>
          <w:tcPr>
            <w:tcW w:w="1977" w:type="dxa"/>
            <w:noWrap w:val="0"/>
            <w:vAlign w:val="center"/>
          </w:tcPr>
          <w:p w14:paraId="6C6076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1A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D6006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（325）棒头草</w:t>
            </w:r>
          </w:p>
        </w:tc>
        <w:tc>
          <w:tcPr>
            <w:tcW w:w="3969" w:type="dxa"/>
            <w:noWrap w:val="0"/>
            <w:vAlign w:val="center"/>
          </w:tcPr>
          <w:p w14:paraId="43EDAF1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Polypogon fugax</w:t>
            </w:r>
          </w:p>
        </w:tc>
        <w:tc>
          <w:tcPr>
            <w:tcW w:w="1977" w:type="dxa"/>
            <w:noWrap w:val="0"/>
            <w:vAlign w:val="center"/>
          </w:tcPr>
          <w:p w14:paraId="7942B5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823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EF5C8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212.早熟禾属</w:t>
            </w:r>
          </w:p>
        </w:tc>
        <w:tc>
          <w:tcPr>
            <w:tcW w:w="3969" w:type="dxa"/>
            <w:noWrap w:val="0"/>
            <w:vAlign w:val="center"/>
          </w:tcPr>
          <w:p w14:paraId="5E7F2D1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Poa</w:t>
            </w:r>
          </w:p>
        </w:tc>
        <w:tc>
          <w:tcPr>
            <w:tcW w:w="1977" w:type="dxa"/>
            <w:noWrap w:val="0"/>
            <w:vAlign w:val="center"/>
          </w:tcPr>
          <w:p w14:paraId="69DCEB5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26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58D694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（326）早熟禾</w:t>
            </w:r>
          </w:p>
        </w:tc>
        <w:tc>
          <w:tcPr>
            <w:tcW w:w="3969" w:type="dxa"/>
            <w:noWrap w:val="0"/>
            <w:vAlign w:val="center"/>
          </w:tcPr>
          <w:p w14:paraId="55E84CC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Poa annua</w:t>
            </w:r>
          </w:p>
        </w:tc>
        <w:tc>
          <w:tcPr>
            <w:tcW w:w="1977" w:type="dxa"/>
            <w:noWrap w:val="0"/>
            <w:vAlign w:val="center"/>
          </w:tcPr>
          <w:p w14:paraId="29ABE3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37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C303B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213.鹅观草属</w:t>
            </w:r>
          </w:p>
        </w:tc>
        <w:tc>
          <w:tcPr>
            <w:tcW w:w="3969" w:type="dxa"/>
            <w:noWrap w:val="0"/>
            <w:vAlign w:val="center"/>
          </w:tcPr>
          <w:p w14:paraId="6A6999D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Roegneria</w:t>
            </w:r>
          </w:p>
        </w:tc>
        <w:tc>
          <w:tcPr>
            <w:tcW w:w="1977" w:type="dxa"/>
            <w:noWrap w:val="0"/>
            <w:vAlign w:val="center"/>
          </w:tcPr>
          <w:p w14:paraId="700E38E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74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9C9CC3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（327）鹅观草</w:t>
            </w:r>
          </w:p>
        </w:tc>
        <w:tc>
          <w:tcPr>
            <w:tcW w:w="3969" w:type="dxa"/>
            <w:noWrap w:val="0"/>
            <w:vAlign w:val="center"/>
          </w:tcPr>
          <w:p w14:paraId="2689293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Roegneria kamoji</w:t>
            </w:r>
          </w:p>
        </w:tc>
        <w:tc>
          <w:tcPr>
            <w:tcW w:w="1977" w:type="dxa"/>
            <w:noWrap w:val="0"/>
            <w:vAlign w:val="center"/>
          </w:tcPr>
          <w:p w14:paraId="507652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F7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D071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214.狗尾草属</w:t>
            </w:r>
          </w:p>
        </w:tc>
        <w:tc>
          <w:tcPr>
            <w:tcW w:w="3969" w:type="dxa"/>
            <w:noWrap w:val="0"/>
            <w:vAlign w:val="center"/>
          </w:tcPr>
          <w:p w14:paraId="108B88A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Setaria</w:t>
            </w:r>
          </w:p>
        </w:tc>
        <w:tc>
          <w:tcPr>
            <w:tcW w:w="1977" w:type="dxa"/>
            <w:noWrap w:val="0"/>
            <w:vAlign w:val="center"/>
          </w:tcPr>
          <w:p w14:paraId="7DB6C26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C41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09BD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（328）狗尾草</w:t>
            </w:r>
          </w:p>
        </w:tc>
        <w:tc>
          <w:tcPr>
            <w:tcW w:w="3969" w:type="dxa"/>
            <w:noWrap w:val="0"/>
            <w:vAlign w:val="center"/>
          </w:tcPr>
          <w:p w14:paraId="6A3B4AF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Setaria viridis</w:t>
            </w:r>
          </w:p>
        </w:tc>
        <w:tc>
          <w:tcPr>
            <w:tcW w:w="1977" w:type="dxa"/>
            <w:noWrap w:val="0"/>
            <w:vAlign w:val="center"/>
          </w:tcPr>
          <w:p w14:paraId="45D1C8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77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4213E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214.小麦属</w:t>
            </w:r>
          </w:p>
        </w:tc>
        <w:tc>
          <w:tcPr>
            <w:tcW w:w="3969" w:type="dxa"/>
            <w:noWrap w:val="0"/>
            <w:vAlign w:val="center"/>
          </w:tcPr>
          <w:p w14:paraId="27A9BB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Triticum</w:t>
            </w:r>
          </w:p>
        </w:tc>
        <w:tc>
          <w:tcPr>
            <w:tcW w:w="1977" w:type="dxa"/>
            <w:noWrap w:val="0"/>
            <w:vAlign w:val="center"/>
          </w:tcPr>
          <w:p w14:paraId="11B5EDE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4E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A6072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（329）普通小麦</w:t>
            </w:r>
          </w:p>
        </w:tc>
        <w:tc>
          <w:tcPr>
            <w:tcW w:w="3969" w:type="dxa"/>
            <w:noWrap w:val="0"/>
            <w:vAlign w:val="center"/>
          </w:tcPr>
          <w:p w14:paraId="52DEE98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Triticum aestivum</w:t>
            </w:r>
          </w:p>
        </w:tc>
        <w:tc>
          <w:tcPr>
            <w:tcW w:w="1977" w:type="dxa"/>
            <w:noWrap w:val="0"/>
            <w:vAlign w:val="center"/>
          </w:tcPr>
          <w:p w14:paraId="5B83D83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36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82AF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215.菰属</w:t>
            </w:r>
          </w:p>
        </w:tc>
        <w:tc>
          <w:tcPr>
            <w:tcW w:w="3969" w:type="dxa"/>
            <w:noWrap w:val="0"/>
            <w:vAlign w:val="center"/>
          </w:tcPr>
          <w:p w14:paraId="3207EA2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Zizania</w:t>
            </w:r>
          </w:p>
        </w:tc>
        <w:tc>
          <w:tcPr>
            <w:tcW w:w="1977" w:type="dxa"/>
            <w:noWrap w:val="0"/>
            <w:vAlign w:val="center"/>
          </w:tcPr>
          <w:p w14:paraId="100512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BF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7CF1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（330）菰（茭笋）</w:t>
            </w:r>
          </w:p>
        </w:tc>
        <w:tc>
          <w:tcPr>
            <w:tcW w:w="3969" w:type="dxa"/>
            <w:noWrap w:val="0"/>
            <w:vAlign w:val="center"/>
          </w:tcPr>
          <w:p w14:paraId="6962C10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Zizania latifolia</w:t>
            </w:r>
          </w:p>
        </w:tc>
        <w:tc>
          <w:tcPr>
            <w:tcW w:w="1977" w:type="dxa"/>
            <w:noWrap w:val="0"/>
            <w:vAlign w:val="center"/>
          </w:tcPr>
          <w:p w14:paraId="19B3D6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0A1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30B1A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216.结缕草属</w:t>
            </w:r>
          </w:p>
        </w:tc>
        <w:tc>
          <w:tcPr>
            <w:tcW w:w="3969" w:type="dxa"/>
            <w:noWrap w:val="0"/>
            <w:vAlign w:val="center"/>
          </w:tcPr>
          <w:p w14:paraId="3C046AA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Zoysia</w:t>
            </w:r>
          </w:p>
        </w:tc>
        <w:tc>
          <w:tcPr>
            <w:tcW w:w="1977" w:type="dxa"/>
            <w:noWrap w:val="0"/>
            <w:vAlign w:val="center"/>
          </w:tcPr>
          <w:p w14:paraId="29F1048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F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5D566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（331）中华结缕草</w:t>
            </w:r>
          </w:p>
        </w:tc>
        <w:tc>
          <w:tcPr>
            <w:tcW w:w="3969" w:type="dxa"/>
            <w:noWrap w:val="0"/>
            <w:vAlign w:val="center"/>
          </w:tcPr>
          <w:p w14:paraId="3ECBB18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Zoysia sinicahance</w:t>
            </w:r>
          </w:p>
        </w:tc>
        <w:tc>
          <w:tcPr>
            <w:tcW w:w="1977" w:type="dxa"/>
            <w:noWrap w:val="0"/>
            <w:vAlign w:val="center"/>
          </w:tcPr>
          <w:p w14:paraId="35EB6CE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D07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C6722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217.水庶属</w:t>
            </w:r>
          </w:p>
        </w:tc>
        <w:tc>
          <w:tcPr>
            <w:tcW w:w="3969" w:type="dxa"/>
            <w:noWrap w:val="0"/>
            <w:vAlign w:val="center"/>
          </w:tcPr>
          <w:p w14:paraId="6E4C1DC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Apluda</w:t>
            </w:r>
          </w:p>
        </w:tc>
        <w:tc>
          <w:tcPr>
            <w:tcW w:w="1977" w:type="dxa"/>
            <w:noWrap w:val="0"/>
            <w:vAlign w:val="center"/>
          </w:tcPr>
          <w:p w14:paraId="38ECE97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F83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58D41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（332）水庶</w:t>
            </w:r>
          </w:p>
        </w:tc>
        <w:tc>
          <w:tcPr>
            <w:tcW w:w="3969" w:type="dxa"/>
            <w:noWrap w:val="0"/>
            <w:vAlign w:val="center"/>
          </w:tcPr>
          <w:p w14:paraId="0AEA91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Apluda mutiea</w:t>
            </w:r>
          </w:p>
        </w:tc>
        <w:tc>
          <w:tcPr>
            <w:tcW w:w="1977" w:type="dxa"/>
            <w:noWrap w:val="0"/>
            <w:vAlign w:val="center"/>
          </w:tcPr>
          <w:p w14:paraId="41645C8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437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B744ED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七十五、莎草科</w:t>
            </w:r>
          </w:p>
        </w:tc>
        <w:tc>
          <w:tcPr>
            <w:tcW w:w="3969" w:type="dxa"/>
            <w:noWrap w:val="0"/>
            <w:vAlign w:val="center"/>
          </w:tcPr>
          <w:p w14:paraId="032CB3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Cyperaceae</w:t>
            </w:r>
          </w:p>
        </w:tc>
        <w:tc>
          <w:tcPr>
            <w:tcW w:w="1977" w:type="dxa"/>
            <w:noWrap w:val="0"/>
            <w:vAlign w:val="center"/>
          </w:tcPr>
          <w:p w14:paraId="65539C6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BD2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C4F65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278.苔草属</w:t>
            </w:r>
          </w:p>
        </w:tc>
        <w:tc>
          <w:tcPr>
            <w:tcW w:w="3969" w:type="dxa"/>
            <w:noWrap w:val="0"/>
            <w:vAlign w:val="center"/>
          </w:tcPr>
          <w:p w14:paraId="04A69C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Carex</w:t>
            </w:r>
          </w:p>
        </w:tc>
        <w:tc>
          <w:tcPr>
            <w:tcW w:w="1977" w:type="dxa"/>
            <w:noWrap w:val="0"/>
            <w:vAlign w:val="center"/>
          </w:tcPr>
          <w:p w14:paraId="3ECECD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AB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923D2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（333）缘毛苔草</w:t>
            </w:r>
          </w:p>
        </w:tc>
        <w:tc>
          <w:tcPr>
            <w:tcW w:w="3969" w:type="dxa"/>
            <w:noWrap w:val="0"/>
            <w:vAlign w:val="center"/>
          </w:tcPr>
          <w:p w14:paraId="01D645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Carex craspedotricha</w:t>
            </w:r>
          </w:p>
        </w:tc>
        <w:tc>
          <w:tcPr>
            <w:tcW w:w="1977" w:type="dxa"/>
            <w:noWrap w:val="0"/>
            <w:vAlign w:val="center"/>
          </w:tcPr>
          <w:p w14:paraId="7EFED1C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04D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D580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（334）垂穗苔草</w:t>
            </w:r>
          </w:p>
        </w:tc>
        <w:tc>
          <w:tcPr>
            <w:tcW w:w="3969" w:type="dxa"/>
            <w:noWrap w:val="0"/>
            <w:vAlign w:val="center"/>
          </w:tcPr>
          <w:p w14:paraId="338D87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Carex dimorpholepis</w:t>
            </w:r>
          </w:p>
        </w:tc>
        <w:tc>
          <w:tcPr>
            <w:tcW w:w="1977" w:type="dxa"/>
            <w:noWrap w:val="0"/>
            <w:vAlign w:val="center"/>
          </w:tcPr>
          <w:p w14:paraId="520297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AD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DB389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（335）穹窿苔草</w:t>
            </w:r>
          </w:p>
        </w:tc>
        <w:tc>
          <w:tcPr>
            <w:tcW w:w="3969" w:type="dxa"/>
            <w:noWrap w:val="0"/>
            <w:vAlign w:val="center"/>
          </w:tcPr>
          <w:p w14:paraId="417F8FC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Carex gibba</w:t>
            </w:r>
          </w:p>
        </w:tc>
        <w:tc>
          <w:tcPr>
            <w:tcW w:w="1977" w:type="dxa"/>
            <w:noWrap w:val="0"/>
            <w:vAlign w:val="center"/>
          </w:tcPr>
          <w:p w14:paraId="07306C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331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59C627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（336）单性苔草</w:t>
            </w:r>
          </w:p>
        </w:tc>
        <w:tc>
          <w:tcPr>
            <w:tcW w:w="3969" w:type="dxa"/>
            <w:noWrap w:val="0"/>
            <w:vAlign w:val="center"/>
          </w:tcPr>
          <w:p w14:paraId="25281AC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Carex unisexualis</w:t>
            </w:r>
          </w:p>
        </w:tc>
        <w:tc>
          <w:tcPr>
            <w:tcW w:w="1977" w:type="dxa"/>
            <w:noWrap w:val="0"/>
            <w:vAlign w:val="center"/>
          </w:tcPr>
          <w:p w14:paraId="2F2712A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92A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5F7D9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279.莎草属</w:t>
            </w:r>
          </w:p>
        </w:tc>
        <w:tc>
          <w:tcPr>
            <w:tcW w:w="3969" w:type="dxa"/>
            <w:noWrap w:val="0"/>
            <w:vAlign w:val="center"/>
          </w:tcPr>
          <w:p w14:paraId="2C246A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Cyperus</w:t>
            </w:r>
          </w:p>
        </w:tc>
        <w:tc>
          <w:tcPr>
            <w:tcW w:w="1977" w:type="dxa"/>
            <w:noWrap w:val="0"/>
            <w:vAlign w:val="center"/>
          </w:tcPr>
          <w:p w14:paraId="12D04A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7CF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AC1C0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（337）异性莎草</w:t>
            </w:r>
          </w:p>
        </w:tc>
        <w:tc>
          <w:tcPr>
            <w:tcW w:w="3969" w:type="dxa"/>
            <w:noWrap w:val="0"/>
            <w:vAlign w:val="center"/>
          </w:tcPr>
          <w:p w14:paraId="271EE4F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Cyperus difformis</w:t>
            </w:r>
          </w:p>
        </w:tc>
        <w:tc>
          <w:tcPr>
            <w:tcW w:w="1977" w:type="dxa"/>
            <w:noWrap w:val="0"/>
            <w:vAlign w:val="center"/>
          </w:tcPr>
          <w:p w14:paraId="5EDF975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D6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D0287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（338）碎米莎草</w:t>
            </w:r>
          </w:p>
        </w:tc>
        <w:tc>
          <w:tcPr>
            <w:tcW w:w="3969" w:type="dxa"/>
            <w:noWrap w:val="0"/>
            <w:vAlign w:val="center"/>
          </w:tcPr>
          <w:p w14:paraId="0A146B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Cyperus iria</w:t>
            </w:r>
          </w:p>
        </w:tc>
        <w:tc>
          <w:tcPr>
            <w:tcW w:w="1977" w:type="dxa"/>
            <w:noWrap w:val="0"/>
            <w:vAlign w:val="center"/>
          </w:tcPr>
          <w:p w14:paraId="2DF14AA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1F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D32632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（339）香附子</w:t>
            </w:r>
          </w:p>
        </w:tc>
        <w:tc>
          <w:tcPr>
            <w:tcW w:w="3969" w:type="dxa"/>
            <w:noWrap w:val="0"/>
            <w:vAlign w:val="center"/>
          </w:tcPr>
          <w:p w14:paraId="7806FE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Cyperus rotundus</w:t>
            </w:r>
          </w:p>
        </w:tc>
        <w:tc>
          <w:tcPr>
            <w:tcW w:w="1977" w:type="dxa"/>
            <w:noWrap w:val="0"/>
            <w:vAlign w:val="center"/>
          </w:tcPr>
          <w:p w14:paraId="5768A4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4D1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90F2C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280.飘拂草属</w:t>
            </w:r>
          </w:p>
        </w:tc>
        <w:tc>
          <w:tcPr>
            <w:tcW w:w="3969" w:type="dxa"/>
            <w:noWrap w:val="0"/>
            <w:vAlign w:val="center"/>
          </w:tcPr>
          <w:p w14:paraId="075B05E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Fimbristylis</w:t>
            </w:r>
          </w:p>
        </w:tc>
        <w:tc>
          <w:tcPr>
            <w:tcW w:w="1977" w:type="dxa"/>
            <w:noWrap w:val="0"/>
            <w:vAlign w:val="center"/>
          </w:tcPr>
          <w:p w14:paraId="781ECC7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45E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30B89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（340）两歧飘拂草</w:t>
            </w:r>
          </w:p>
        </w:tc>
        <w:tc>
          <w:tcPr>
            <w:tcW w:w="3969" w:type="dxa"/>
            <w:noWrap w:val="0"/>
            <w:vAlign w:val="center"/>
          </w:tcPr>
          <w:p w14:paraId="080210A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Fimbristylis dichotoma</w:t>
            </w:r>
          </w:p>
        </w:tc>
        <w:tc>
          <w:tcPr>
            <w:tcW w:w="1977" w:type="dxa"/>
            <w:noWrap w:val="0"/>
            <w:vAlign w:val="center"/>
          </w:tcPr>
          <w:p w14:paraId="7783519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DB3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65C0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（341）拟二叶飘拂草</w:t>
            </w:r>
          </w:p>
        </w:tc>
        <w:tc>
          <w:tcPr>
            <w:tcW w:w="3969" w:type="dxa"/>
            <w:noWrap w:val="0"/>
            <w:vAlign w:val="center"/>
          </w:tcPr>
          <w:p w14:paraId="239654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Fimbristylis diphylloides</w:t>
            </w:r>
          </w:p>
        </w:tc>
        <w:tc>
          <w:tcPr>
            <w:tcW w:w="1977" w:type="dxa"/>
            <w:noWrap w:val="0"/>
            <w:vAlign w:val="center"/>
          </w:tcPr>
          <w:p w14:paraId="6C44AAD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E96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155B5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（342）宜昌飘拂草</w:t>
            </w:r>
          </w:p>
        </w:tc>
        <w:tc>
          <w:tcPr>
            <w:tcW w:w="3969" w:type="dxa"/>
            <w:noWrap w:val="0"/>
            <w:vAlign w:val="center"/>
          </w:tcPr>
          <w:p w14:paraId="0072B8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Fimbristylis henryi</w:t>
            </w:r>
          </w:p>
        </w:tc>
        <w:tc>
          <w:tcPr>
            <w:tcW w:w="1977" w:type="dxa"/>
            <w:noWrap w:val="0"/>
            <w:vAlign w:val="center"/>
          </w:tcPr>
          <w:p w14:paraId="2E374B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7A6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43DF54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（343）水虱草</w:t>
            </w:r>
          </w:p>
        </w:tc>
        <w:tc>
          <w:tcPr>
            <w:tcW w:w="3969" w:type="dxa"/>
            <w:noWrap w:val="0"/>
            <w:vAlign w:val="center"/>
          </w:tcPr>
          <w:p w14:paraId="6365CD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Fimbristylis miliacea</w:t>
            </w:r>
          </w:p>
        </w:tc>
        <w:tc>
          <w:tcPr>
            <w:tcW w:w="1977" w:type="dxa"/>
            <w:noWrap w:val="0"/>
            <w:vAlign w:val="center"/>
          </w:tcPr>
          <w:p w14:paraId="547D9CF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43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949AF9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281.荸荠属</w:t>
            </w:r>
          </w:p>
        </w:tc>
        <w:tc>
          <w:tcPr>
            <w:tcW w:w="3969" w:type="dxa"/>
            <w:noWrap w:val="0"/>
            <w:vAlign w:val="center"/>
          </w:tcPr>
          <w:p w14:paraId="4E9B60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Eleocharis</w:t>
            </w:r>
          </w:p>
        </w:tc>
        <w:tc>
          <w:tcPr>
            <w:tcW w:w="1977" w:type="dxa"/>
            <w:noWrap w:val="0"/>
            <w:vAlign w:val="center"/>
          </w:tcPr>
          <w:p w14:paraId="674837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BC1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47AD4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（344）荸荠</w:t>
            </w:r>
          </w:p>
        </w:tc>
        <w:tc>
          <w:tcPr>
            <w:tcW w:w="3969" w:type="dxa"/>
            <w:noWrap w:val="0"/>
            <w:vAlign w:val="center"/>
          </w:tcPr>
          <w:p w14:paraId="70DAE9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Eleocharis tuberosa</w:t>
            </w:r>
          </w:p>
        </w:tc>
        <w:tc>
          <w:tcPr>
            <w:tcW w:w="1977" w:type="dxa"/>
            <w:noWrap w:val="0"/>
            <w:vAlign w:val="center"/>
          </w:tcPr>
          <w:p w14:paraId="29FA656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BD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288B7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282.水蜈蚣属</w:t>
            </w:r>
          </w:p>
        </w:tc>
        <w:tc>
          <w:tcPr>
            <w:tcW w:w="3969" w:type="dxa"/>
            <w:noWrap w:val="0"/>
            <w:vAlign w:val="center"/>
          </w:tcPr>
          <w:p w14:paraId="77F2DBD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Kyllinga</w:t>
            </w:r>
          </w:p>
        </w:tc>
        <w:tc>
          <w:tcPr>
            <w:tcW w:w="1977" w:type="dxa"/>
            <w:noWrap w:val="0"/>
            <w:vAlign w:val="center"/>
          </w:tcPr>
          <w:p w14:paraId="33B04C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5D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C8733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（345）短叶水蜈蚣</w:t>
            </w:r>
          </w:p>
        </w:tc>
        <w:tc>
          <w:tcPr>
            <w:tcW w:w="3969" w:type="dxa"/>
            <w:noWrap w:val="0"/>
            <w:vAlign w:val="center"/>
          </w:tcPr>
          <w:p w14:paraId="1548A0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Kyllinga brevifolia</w:t>
            </w:r>
          </w:p>
        </w:tc>
        <w:tc>
          <w:tcPr>
            <w:tcW w:w="1977" w:type="dxa"/>
            <w:noWrap w:val="0"/>
            <w:vAlign w:val="center"/>
          </w:tcPr>
          <w:p w14:paraId="4F3601D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66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B60B2D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283.水莎草属</w:t>
            </w:r>
          </w:p>
        </w:tc>
        <w:tc>
          <w:tcPr>
            <w:tcW w:w="3969" w:type="dxa"/>
            <w:noWrap w:val="0"/>
            <w:vAlign w:val="center"/>
          </w:tcPr>
          <w:p w14:paraId="182F45C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Juncellus</w:t>
            </w:r>
          </w:p>
        </w:tc>
        <w:tc>
          <w:tcPr>
            <w:tcW w:w="1977" w:type="dxa"/>
            <w:noWrap w:val="0"/>
            <w:vAlign w:val="center"/>
          </w:tcPr>
          <w:p w14:paraId="5D98C14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35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35E561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（346）水莎草</w:t>
            </w:r>
          </w:p>
        </w:tc>
        <w:tc>
          <w:tcPr>
            <w:tcW w:w="3969" w:type="dxa"/>
            <w:noWrap w:val="0"/>
            <w:vAlign w:val="center"/>
          </w:tcPr>
          <w:p w14:paraId="5DD1AF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Juncellus serotinus</w:t>
            </w:r>
          </w:p>
        </w:tc>
        <w:tc>
          <w:tcPr>
            <w:tcW w:w="1977" w:type="dxa"/>
            <w:noWrap w:val="0"/>
            <w:vAlign w:val="center"/>
          </w:tcPr>
          <w:p w14:paraId="41B1E8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460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53F6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284.扁莎草属</w:t>
            </w:r>
          </w:p>
        </w:tc>
        <w:tc>
          <w:tcPr>
            <w:tcW w:w="3969" w:type="dxa"/>
            <w:noWrap w:val="0"/>
            <w:vAlign w:val="center"/>
          </w:tcPr>
          <w:p w14:paraId="154B7D7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Pycreus</w:t>
            </w:r>
          </w:p>
        </w:tc>
        <w:tc>
          <w:tcPr>
            <w:tcW w:w="1977" w:type="dxa"/>
            <w:noWrap w:val="0"/>
            <w:vAlign w:val="center"/>
          </w:tcPr>
          <w:p w14:paraId="6C12FA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50D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56C7F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（347）球穗扁莎</w:t>
            </w:r>
          </w:p>
        </w:tc>
        <w:tc>
          <w:tcPr>
            <w:tcW w:w="3969" w:type="dxa"/>
            <w:noWrap w:val="0"/>
            <w:vAlign w:val="center"/>
          </w:tcPr>
          <w:p w14:paraId="77FA15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Pycreus globosus var.globosus</w:t>
            </w:r>
          </w:p>
        </w:tc>
        <w:tc>
          <w:tcPr>
            <w:tcW w:w="1977" w:type="dxa"/>
            <w:noWrap w:val="0"/>
            <w:vAlign w:val="center"/>
          </w:tcPr>
          <w:p w14:paraId="5144D02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583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DAF940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（348）小球穗扁莎</w:t>
            </w:r>
          </w:p>
        </w:tc>
        <w:tc>
          <w:tcPr>
            <w:tcW w:w="3969" w:type="dxa"/>
            <w:noWrap w:val="0"/>
            <w:vAlign w:val="center"/>
          </w:tcPr>
          <w:p w14:paraId="73CCF86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de-DE" w:eastAsia="zh-CN"/>
              </w:rPr>
              <w:t>Pycreus globosus var.nilagiricus</w:t>
            </w:r>
          </w:p>
        </w:tc>
        <w:tc>
          <w:tcPr>
            <w:tcW w:w="1977" w:type="dxa"/>
            <w:noWrap w:val="0"/>
            <w:vAlign w:val="center"/>
          </w:tcPr>
          <w:p w14:paraId="4633A7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177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A080A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285.藨草属</w:t>
            </w:r>
          </w:p>
        </w:tc>
        <w:tc>
          <w:tcPr>
            <w:tcW w:w="3969" w:type="dxa"/>
            <w:noWrap w:val="0"/>
            <w:vAlign w:val="center"/>
          </w:tcPr>
          <w:p w14:paraId="40EB439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Scirpus</w:t>
            </w:r>
          </w:p>
        </w:tc>
        <w:tc>
          <w:tcPr>
            <w:tcW w:w="1977" w:type="dxa"/>
            <w:noWrap w:val="0"/>
            <w:vAlign w:val="center"/>
          </w:tcPr>
          <w:p w14:paraId="749D32E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E2A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27AF3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（349）扁秆藨草</w:t>
            </w:r>
          </w:p>
        </w:tc>
        <w:tc>
          <w:tcPr>
            <w:tcW w:w="3969" w:type="dxa"/>
            <w:noWrap w:val="0"/>
            <w:vAlign w:val="center"/>
          </w:tcPr>
          <w:p w14:paraId="77FC37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Scirpus planiculmis</w:t>
            </w:r>
          </w:p>
        </w:tc>
        <w:tc>
          <w:tcPr>
            <w:tcW w:w="1977" w:type="dxa"/>
            <w:noWrap w:val="0"/>
            <w:vAlign w:val="center"/>
          </w:tcPr>
          <w:p w14:paraId="72A326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F88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F44F5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（350）藨草</w:t>
            </w:r>
          </w:p>
        </w:tc>
        <w:tc>
          <w:tcPr>
            <w:tcW w:w="3969" w:type="dxa"/>
            <w:noWrap w:val="0"/>
            <w:vAlign w:val="center"/>
          </w:tcPr>
          <w:p w14:paraId="7415516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Scirpus triqueter</w:t>
            </w:r>
          </w:p>
        </w:tc>
        <w:tc>
          <w:tcPr>
            <w:tcW w:w="1977" w:type="dxa"/>
            <w:noWrap w:val="0"/>
            <w:vAlign w:val="center"/>
          </w:tcPr>
          <w:p w14:paraId="3AC0007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B70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CDDC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（351）水毛花</w:t>
            </w:r>
          </w:p>
        </w:tc>
        <w:tc>
          <w:tcPr>
            <w:tcW w:w="3969" w:type="dxa"/>
            <w:noWrap w:val="0"/>
            <w:vAlign w:val="center"/>
          </w:tcPr>
          <w:p w14:paraId="4550D7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Scirpu striangulatus</w:t>
            </w:r>
          </w:p>
        </w:tc>
        <w:tc>
          <w:tcPr>
            <w:tcW w:w="1977" w:type="dxa"/>
            <w:noWrap w:val="0"/>
            <w:vAlign w:val="center"/>
          </w:tcPr>
          <w:p w14:paraId="795F599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31E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E18DC2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七十六、棕榈科</w:t>
            </w:r>
          </w:p>
        </w:tc>
        <w:tc>
          <w:tcPr>
            <w:tcW w:w="3969" w:type="dxa"/>
            <w:noWrap w:val="0"/>
            <w:vAlign w:val="center"/>
          </w:tcPr>
          <w:p w14:paraId="65F555A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Palmae</w:t>
            </w:r>
          </w:p>
        </w:tc>
        <w:tc>
          <w:tcPr>
            <w:tcW w:w="1977" w:type="dxa"/>
            <w:noWrap w:val="0"/>
            <w:vAlign w:val="center"/>
          </w:tcPr>
          <w:p w14:paraId="36222A5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F80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FF7E9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286.棕榈属</w:t>
            </w:r>
          </w:p>
        </w:tc>
        <w:tc>
          <w:tcPr>
            <w:tcW w:w="3969" w:type="dxa"/>
            <w:noWrap w:val="0"/>
            <w:vAlign w:val="center"/>
          </w:tcPr>
          <w:p w14:paraId="4271349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Trachycarpus</w:t>
            </w:r>
          </w:p>
        </w:tc>
        <w:tc>
          <w:tcPr>
            <w:tcW w:w="1977" w:type="dxa"/>
            <w:noWrap w:val="0"/>
            <w:vAlign w:val="center"/>
          </w:tcPr>
          <w:p w14:paraId="754EE36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6B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DB30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(352)棕榈</w:t>
            </w:r>
          </w:p>
        </w:tc>
        <w:tc>
          <w:tcPr>
            <w:tcW w:w="3969" w:type="dxa"/>
            <w:noWrap w:val="0"/>
            <w:vAlign w:val="center"/>
          </w:tcPr>
          <w:p w14:paraId="487576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Trachycarpus fortunei</w:t>
            </w:r>
          </w:p>
        </w:tc>
        <w:tc>
          <w:tcPr>
            <w:tcW w:w="1977" w:type="dxa"/>
            <w:noWrap w:val="0"/>
            <w:vAlign w:val="center"/>
          </w:tcPr>
          <w:p w14:paraId="10EB05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98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A4372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七十七、天南星科</w:t>
            </w:r>
          </w:p>
        </w:tc>
        <w:tc>
          <w:tcPr>
            <w:tcW w:w="3969" w:type="dxa"/>
            <w:noWrap w:val="0"/>
            <w:vAlign w:val="center"/>
          </w:tcPr>
          <w:p w14:paraId="1A2826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Araceae</w:t>
            </w:r>
          </w:p>
        </w:tc>
        <w:tc>
          <w:tcPr>
            <w:tcW w:w="1977" w:type="dxa"/>
            <w:noWrap w:val="0"/>
            <w:vAlign w:val="center"/>
          </w:tcPr>
          <w:p w14:paraId="7CFE5D9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849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EEAE4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287.菖蒲属</w:t>
            </w:r>
          </w:p>
        </w:tc>
        <w:tc>
          <w:tcPr>
            <w:tcW w:w="3969" w:type="dxa"/>
            <w:noWrap w:val="0"/>
            <w:vAlign w:val="center"/>
          </w:tcPr>
          <w:p w14:paraId="2DACCD2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Acorus</w:t>
            </w:r>
          </w:p>
        </w:tc>
        <w:tc>
          <w:tcPr>
            <w:tcW w:w="1977" w:type="dxa"/>
            <w:noWrap w:val="0"/>
            <w:vAlign w:val="center"/>
          </w:tcPr>
          <w:p w14:paraId="794745D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708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AFE0D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（353）菖蒲</w:t>
            </w:r>
          </w:p>
        </w:tc>
        <w:tc>
          <w:tcPr>
            <w:tcW w:w="3969" w:type="dxa"/>
            <w:noWrap w:val="0"/>
            <w:vAlign w:val="center"/>
          </w:tcPr>
          <w:p w14:paraId="206A065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Acorus calamus</w:t>
            </w:r>
          </w:p>
        </w:tc>
        <w:tc>
          <w:tcPr>
            <w:tcW w:w="1977" w:type="dxa"/>
            <w:noWrap w:val="0"/>
            <w:vAlign w:val="center"/>
          </w:tcPr>
          <w:p w14:paraId="4FCB8AE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99B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F1EF4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288.芋属</w:t>
            </w:r>
          </w:p>
        </w:tc>
        <w:tc>
          <w:tcPr>
            <w:tcW w:w="3969" w:type="dxa"/>
            <w:noWrap w:val="0"/>
            <w:vAlign w:val="center"/>
          </w:tcPr>
          <w:p w14:paraId="0153C70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Colocasia</w:t>
            </w:r>
          </w:p>
        </w:tc>
        <w:tc>
          <w:tcPr>
            <w:tcW w:w="1977" w:type="dxa"/>
            <w:noWrap w:val="0"/>
            <w:vAlign w:val="center"/>
          </w:tcPr>
          <w:p w14:paraId="1B55C3C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DF1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E54D0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（354）芋头</w:t>
            </w:r>
          </w:p>
        </w:tc>
        <w:tc>
          <w:tcPr>
            <w:tcW w:w="3969" w:type="dxa"/>
            <w:noWrap w:val="0"/>
            <w:vAlign w:val="center"/>
          </w:tcPr>
          <w:p w14:paraId="040AAFE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Colocasia esculenta</w:t>
            </w:r>
          </w:p>
        </w:tc>
        <w:tc>
          <w:tcPr>
            <w:tcW w:w="1977" w:type="dxa"/>
            <w:noWrap w:val="0"/>
            <w:vAlign w:val="center"/>
          </w:tcPr>
          <w:p w14:paraId="263039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218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E7666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289.半夏属</w:t>
            </w:r>
          </w:p>
        </w:tc>
        <w:tc>
          <w:tcPr>
            <w:tcW w:w="3969" w:type="dxa"/>
            <w:noWrap w:val="0"/>
            <w:vAlign w:val="center"/>
          </w:tcPr>
          <w:p w14:paraId="11D3AE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Pinellia</w:t>
            </w:r>
          </w:p>
        </w:tc>
        <w:tc>
          <w:tcPr>
            <w:tcW w:w="1977" w:type="dxa"/>
            <w:noWrap w:val="0"/>
            <w:vAlign w:val="center"/>
          </w:tcPr>
          <w:p w14:paraId="2689C7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C01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8D4CD8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（355）半夏</w:t>
            </w:r>
          </w:p>
        </w:tc>
        <w:tc>
          <w:tcPr>
            <w:tcW w:w="3969" w:type="dxa"/>
            <w:noWrap w:val="0"/>
            <w:vAlign w:val="center"/>
          </w:tcPr>
          <w:p w14:paraId="3054D27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Pinellia ternata</w:t>
            </w:r>
          </w:p>
        </w:tc>
        <w:tc>
          <w:tcPr>
            <w:tcW w:w="1977" w:type="dxa"/>
            <w:noWrap w:val="0"/>
            <w:vAlign w:val="center"/>
          </w:tcPr>
          <w:p w14:paraId="459B69C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E3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5A3A8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七十八、浮萍科</w:t>
            </w:r>
          </w:p>
        </w:tc>
        <w:tc>
          <w:tcPr>
            <w:tcW w:w="3969" w:type="dxa"/>
            <w:noWrap w:val="0"/>
            <w:vAlign w:val="center"/>
          </w:tcPr>
          <w:p w14:paraId="1D1661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Lemnaceae</w:t>
            </w:r>
          </w:p>
        </w:tc>
        <w:tc>
          <w:tcPr>
            <w:tcW w:w="1977" w:type="dxa"/>
            <w:noWrap w:val="0"/>
            <w:vAlign w:val="center"/>
          </w:tcPr>
          <w:p w14:paraId="37270F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86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6CCC0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290.浮萍属</w:t>
            </w:r>
          </w:p>
        </w:tc>
        <w:tc>
          <w:tcPr>
            <w:tcW w:w="3969" w:type="dxa"/>
            <w:noWrap w:val="0"/>
            <w:vAlign w:val="center"/>
          </w:tcPr>
          <w:p w14:paraId="7A96F74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Lemna</w:t>
            </w:r>
          </w:p>
        </w:tc>
        <w:tc>
          <w:tcPr>
            <w:tcW w:w="1977" w:type="dxa"/>
            <w:noWrap w:val="0"/>
            <w:vAlign w:val="center"/>
          </w:tcPr>
          <w:p w14:paraId="0CA16D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521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C05972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（356）浮萍</w:t>
            </w:r>
          </w:p>
        </w:tc>
        <w:tc>
          <w:tcPr>
            <w:tcW w:w="3969" w:type="dxa"/>
            <w:noWrap w:val="0"/>
            <w:vAlign w:val="center"/>
          </w:tcPr>
          <w:p w14:paraId="4CAB631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Lemna minor</w:t>
            </w:r>
          </w:p>
        </w:tc>
        <w:tc>
          <w:tcPr>
            <w:tcW w:w="1977" w:type="dxa"/>
            <w:noWrap w:val="0"/>
            <w:vAlign w:val="center"/>
          </w:tcPr>
          <w:p w14:paraId="2BF4A99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D7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27D2B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291.紫背萍属</w:t>
            </w:r>
          </w:p>
        </w:tc>
        <w:tc>
          <w:tcPr>
            <w:tcW w:w="3969" w:type="dxa"/>
            <w:noWrap w:val="0"/>
            <w:vAlign w:val="center"/>
          </w:tcPr>
          <w:p w14:paraId="6969E59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Spirodela</w:t>
            </w:r>
          </w:p>
        </w:tc>
        <w:tc>
          <w:tcPr>
            <w:tcW w:w="1977" w:type="dxa"/>
            <w:noWrap w:val="0"/>
            <w:vAlign w:val="center"/>
          </w:tcPr>
          <w:p w14:paraId="7D457C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8CF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0803E9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（357）紫萍</w:t>
            </w:r>
          </w:p>
        </w:tc>
        <w:tc>
          <w:tcPr>
            <w:tcW w:w="3969" w:type="dxa"/>
            <w:noWrap w:val="0"/>
            <w:vAlign w:val="center"/>
          </w:tcPr>
          <w:p w14:paraId="616AD4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Spirodela polyrrhiza</w:t>
            </w:r>
          </w:p>
        </w:tc>
        <w:tc>
          <w:tcPr>
            <w:tcW w:w="1977" w:type="dxa"/>
            <w:noWrap w:val="0"/>
            <w:vAlign w:val="center"/>
          </w:tcPr>
          <w:p w14:paraId="006952F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16A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1F730E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七十九、谷精草科</w:t>
            </w:r>
          </w:p>
        </w:tc>
        <w:tc>
          <w:tcPr>
            <w:tcW w:w="3969" w:type="dxa"/>
            <w:noWrap w:val="0"/>
            <w:vAlign w:val="center"/>
          </w:tcPr>
          <w:p w14:paraId="0250CD5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Zingiberaceae</w:t>
            </w:r>
          </w:p>
        </w:tc>
        <w:tc>
          <w:tcPr>
            <w:tcW w:w="1977" w:type="dxa"/>
            <w:noWrap w:val="0"/>
            <w:vAlign w:val="center"/>
          </w:tcPr>
          <w:p w14:paraId="6833A5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3C5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97D54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292.谷精草属</w:t>
            </w:r>
          </w:p>
        </w:tc>
        <w:tc>
          <w:tcPr>
            <w:tcW w:w="3969" w:type="dxa"/>
            <w:noWrap w:val="0"/>
            <w:vAlign w:val="center"/>
          </w:tcPr>
          <w:p w14:paraId="57470E2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Eriocaulon</w:t>
            </w:r>
          </w:p>
        </w:tc>
        <w:tc>
          <w:tcPr>
            <w:tcW w:w="1977" w:type="dxa"/>
            <w:noWrap w:val="0"/>
            <w:vAlign w:val="center"/>
          </w:tcPr>
          <w:p w14:paraId="67F34E1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9DF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CB0993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（358）谷精草</w:t>
            </w:r>
          </w:p>
        </w:tc>
        <w:tc>
          <w:tcPr>
            <w:tcW w:w="3969" w:type="dxa"/>
            <w:noWrap w:val="0"/>
            <w:vAlign w:val="center"/>
          </w:tcPr>
          <w:p w14:paraId="453B6C5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Eriocaulon buergerianum</w:t>
            </w:r>
          </w:p>
        </w:tc>
        <w:tc>
          <w:tcPr>
            <w:tcW w:w="1977" w:type="dxa"/>
            <w:noWrap w:val="0"/>
            <w:vAlign w:val="center"/>
          </w:tcPr>
          <w:p w14:paraId="673DF33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720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E6193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八十、鸭跖草科</w:t>
            </w:r>
          </w:p>
        </w:tc>
        <w:tc>
          <w:tcPr>
            <w:tcW w:w="3969" w:type="dxa"/>
            <w:noWrap w:val="0"/>
            <w:vAlign w:val="center"/>
          </w:tcPr>
          <w:p w14:paraId="3B83DE7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Commelinaceae</w:t>
            </w:r>
          </w:p>
        </w:tc>
        <w:tc>
          <w:tcPr>
            <w:tcW w:w="1977" w:type="dxa"/>
            <w:noWrap w:val="0"/>
            <w:vAlign w:val="center"/>
          </w:tcPr>
          <w:p w14:paraId="0559578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B64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675A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293.鸭跖草属</w:t>
            </w:r>
          </w:p>
        </w:tc>
        <w:tc>
          <w:tcPr>
            <w:tcW w:w="3969" w:type="dxa"/>
            <w:noWrap w:val="0"/>
            <w:vAlign w:val="center"/>
          </w:tcPr>
          <w:p w14:paraId="384FBA2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Commelina</w:t>
            </w:r>
          </w:p>
        </w:tc>
        <w:tc>
          <w:tcPr>
            <w:tcW w:w="1977" w:type="dxa"/>
            <w:noWrap w:val="0"/>
            <w:vAlign w:val="center"/>
          </w:tcPr>
          <w:p w14:paraId="42DC62F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0C3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1D0E6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（359）鸭跖草</w:t>
            </w:r>
          </w:p>
        </w:tc>
        <w:tc>
          <w:tcPr>
            <w:tcW w:w="3969" w:type="dxa"/>
            <w:noWrap w:val="0"/>
            <w:vAlign w:val="center"/>
          </w:tcPr>
          <w:p w14:paraId="247C629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Commelina communis</w:t>
            </w:r>
          </w:p>
        </w:tc>
        <w:tc>
          <w:tcPr>
            <w:tcW w:w="1977" w:type="dxa"/>
            <w:noWrap w:val="0"/>
            <w:vAlign w:val="center"/>
          </w:tcPr>
          <w:p w14:paraId="65D72ED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533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22FD5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294.水竹叶属</w:t>
            </w:r>
          </w:p>
        </w:tc>
        <w:tc>
          <w:tcPr>
            <w:tcW w:w="3969" w:type="dxa"/>
            <w:noWrap w:val="0"/>
            <w:vAlign w:val="center"/>
          </w:tcPr>
          <w:p w14:paraId="61D059E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Murdannia</w:t>
            </w:r>
          </w:p>
        </w:tc>
        <w:tc>
          <w:tcPr>
            <w:tcW w:w="1977" w:type="dxa"/>
            <w:noWrap w:val="0"/>
            <w:vAlign w:val="center"/>
          </w:tcPr>
          <w:p w14:paraId="5BAE45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425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84329C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（360）水竹叶</w:t>
            </w:r>
          </w:p>
        </w:tc>
        <w:tc>
          <w:tcPr>
            <w:tcW w:w="3969" w:type="dxa"/>
            <w:noWrap w:val="0"/>
            <w:vAlign w:val="center"/>
          </w:tcPr>
          <w:p w14:paraId="00EB4CB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Murdannia triquetra</w:t>
            </w:r>
          </w:p>
        </w:tc>
        <w:tc>
          <w:tcPr>
            <w:tcW w:w="1977" w:type="dxa"/>
            <w:noWrap w:val="0"/>
            <w:vAlign w:val="center"/>
          </w:tcPr>
          <w:p w14:paraId="323D1D8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902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1753E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八十一、雨久花科</w:t>
            </w:r>
          </w:p>
        </w:tc>
        <w:tc>
          <w:tcPr>
            <w:tcW w:w="3969" w:type="dxa"/>
            <w:noWrap w:val="0"/>
            <w:vAlign w:val="center"/>
          </w:tcPr>
          <w:p w14:paraId="1518580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Pontederiaceae</w:t>
            </w:r>
          </w:p>
        </w:tc>
        <w:tc>
          <w:tcPr>
            <w:tcW w:w="1977" w:type="dxa"/>
            <w:noWrap w:val="0"/>
            <w:vAlign w:val="center"/>
          </w:tcPr>
          <w:p w14:paraId="1077D5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4973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D2127A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295.雨久花属</w:t>
            </w:r>
          </w:p>
        </w:tc>
        <w:tc>
          <w:tcPr>
            <w:tcW w:w="3969" w:type="dxa"/>
            <w:noWrap w:val="0"/>
            <w:vAlign w:val="center"/>
          </w:tcPr>
          <w:p w14:paraId="00906B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Eichhornia</w:t>
            </w:r>
          </w:p>
        </w:tc>
        <w:tc>
          <w:tcPr>
            <w:tcW w:w="1977" w:type="dxa"/>
            <w:noWrap w:val="0"/>
            <w:vAlign w:val="center"/>
          </w:tcPr>
          <w:p w14:paraId="094692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21F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8FADFC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（361）水葫芦</w:t>
            </w:r>
          </w:p>
        </w:tc>
        <w:tc>
          <w:tcPr>
            <w:tcW w:w="3969" w:type="dxa"/>
            <w:noWrap w:val="0"/>
            <w:vAlign w:val="center"/>
          </w:tcPr>
          <w:p w14:paraId="3479C77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Eichhornia crassipes</w:t>
            </w:r>
          </w:p>
        </w:tc>
        <w:tc>
          <w:tcPr>
            <w:tcW w:w="1977" w:type="dxa"/>
            <w:noWrap w:val="0"/>
            <w:vAlign w:val="center"/>
          </w:tcPr>
          <w:p w14:paraId="1EB3E08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7F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0F4BB2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296.凤眼莲属</w:t>
            </w:r>
          </w:p>
        </w:tc>
        <w:tc>
          <w:tcPr>
            <w:tcW w:w="3969" w:type="dxa"/>
            <w:noWrap w:val="0"/>
            <w:vAlign w:val="center"/>
          </w:tcPr>
          <w:p w14:paraId="2900464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Monochoria</w:t>
            </w:r>
          </w:p>
        </w:tc>
        <w:tc>
          <w:tcPr>
            <w:tcW w:w="1977" w:type="dxa"/>
            <w:noWrap w:val="0"/>
            <w:vAlign w:val="center"/>
          </w:tcPr>
          <w:p w14:paraId="6E0CAE2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A5D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1D550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（362）鸭舌草</w:t>
            </w:r>
          </w:p>
        </w:tc>
        <w:tc>
          <w:tcPr>
            <w:tcW w:w="3969" w:type="dxa"/>
            <w:noWrap w:val="0"/>
            <w:vAlign w:val="center"/>
          </w:tcPr>
          <w:p w14:paraId="67C49BD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Monochoria vaginalia</w:t>
            </w:r>
          </w:p>
        </w:tc>
        <w:tc>
          <w:tcPr>
            <w:tcW w:w="1977" w:type="dxa"/>
            <w:noWrap w:val="0"/>
            <w:vAlign w:val="center"/>
          </w:tcPr>
          <w:p w14:paraId="7F05313F">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E6E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6FE13F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八十二、灯芯草科</w:t>
            </w:r>
          </w:p>
        </w:tc>
        <w:tc>
          <w:tcPr>
            <w:tcW w:w="3969" w:type="dxa"/>
            <w:noWrap w:val="0"/>
            <w:vAlign w:val="center"/>
          </w:tcPr>
          <w:p w14:paraId="4F48BAA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Juncaceae</w:t>
            </w:r>
          </w:p>
        </w:tc>
        <w:tc>
          <w:tcPr>
            <w:tcW w:w="1977" w:type="dxa"/>
            <w:noWrap w:val="0"/>
            <w:vAlign w:val="center"/>
          </w:tcPr>
          <w:p w14:paraId="1B77D86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3A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B4335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297.灯芯草属</w:t>
            </w:r>
          </w:p>
        </w:tc>
        <w:tc>
          <w:tcPr>
            <w:tcW w:w="3969" w:type="dxa"/>
            <w:noWrap w:val="0"/>
            <w:vAlign w:val="center"/>
          </w:tcPr>
          <w:p w14:paraId="6272474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Juncus</w:t>
            </w:r>
          </w:p>
        </w:tc>
        <w:tc>
          <w:tcPr>
            <w:tcW w:w="1977" w:type="dxa"/>
            <w:noWrap w:val="0"/>
            <w:vAlign w:val="center"/>
          </w:tcPr>
          <w:p w14:paraId="0AE06B7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B83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5192A5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（363）灯芯草</w:t>
            </w:r>
          </w:p>
        </w:tc>
        <w:tc>
          <w:tcPr>
            <w:tcW w:w="3969" w:type="dxa"/>
            <w:noWrap w:val="0"/>
            <w:vAlign w:val="center"/>
          </w:tcPr>
          <w:p w14:paraId="31E3FD3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Juncus effusus</w:t>
            </w:r>
          </w:p>
        </w:tc>
        <w:tc>
          <w:tcPr>
            <w:tcW w:w="1977" w:type="dxa"/>
            <w:noWrap w:val="0"/>
            <w:vAlign w:val="center"/>
          </w:tcPr>
          <w:p w14:paraId="7739601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340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07ADE52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八十三、百合科</w:t>
            </w:r>
          </w:p>
        </w:tc>
        <w:tc>
          <w:tcPr>
            <w:tcW w:w="3969" w:type="dxa"/>
            <w:noWrap w:val="0"/>
            <w:vAlign w:val="center"/>
          </w:tcPr>
          <w:p w14:paraId="4E54FA2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Liliaceae</w:t>
            </w:r>
          </w:p>
        </w:tc>
        <w:tc>
          <w:tcPr>
            <w:tcW w:w="1977" w:type="dxa"/>
            <w:noWrap w:val="0"/>
            <w:vAlign w:val="center"/>
          </w:tcPr>
          <w:p w14:paraId="731C97F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0608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51B77F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298.葱属</w:t>
            </w:r>
          </w:p>
        </w:tc>
        <w:tc>
          <w:tcPr>
            <w:tcW w:w="3969" w:type="dxa"/>
            <w:noWrap w:val="0"/>
            <w:vAlign w:val="center"/>
          </w:tcPr>
          <w:p w14:paraId="178861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Allium</w:t>
            </w:r>
          </w:p>
        </w:tc>
        <w:tc>
          <w:tcPr>
            <w:tcW w:w="1977" w:type="dxa"/>
            <w:noWrap w:val="0"/>
            <w:vAlign w:val="center"/>
          </w:tcPr>
          <w:p w14:paraId="221F7EB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69A9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6172C2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（364）葱</w:t>
            </w:r>
          </w:p>
        </w:tc>
        <w:tc>
          <w:tcPr>
            <w:tcW w:w="3969" w:type="dxa"/>
            <w:noWrap w:val="0"/>
            <w:vAlign w:val="center"/>
          </w:tcPr>
          <w:p w14:paraId="15730F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Allium fistulosum</w:t>
            </w:r>
          </w:p>
        </w:tc>
        <w:tc>
          <w:tcPr>
            <w:tcW w:w="1977" w:type="dxa"/>
            <w:noWrap w:val="0"/>
            <w:vAlign w:val="center"/>
          </w:tcPr>
          <w:p w14:paraId="32AF54B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973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517DD26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（365）薤白</w:t>
            </w:r>
          </w:p>
        </w:tc>
        <w:tc>
          <w:tcPr>
            <w:tcW w:w="3969" w:type="dxa"/>
            <w:noWrap w:val="0"/>
            <w:vAlign w:val="center"/>
          </w:tcPr>
          <w:p w14:paraId="340749E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Allium macrostemon</w:t>
            </w:r>
          </w:p>
        </w:tc>
        <w:tc>
          <w:tcPr>
            <w:tcW w:w="1977" w:type="dxa"/>
            <w:noWrap w:val="0"/>
            <w:vAlign w:val="center"/>
          </w:tcPr>
          <w:p w14:paraId="1827A08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E3C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88650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（366）蒜</w:t>
            </w:r>
          </w:p>
        </w:tc>
        <w:tc>
          <w:tcPr>
            <w:tcW w:w="3969" w:type="dxa"/>
            <w:noWrap w:val="0"/>
            <w:vAlign w:val="center"/>
          </w:tcPr>
          <w:p w14:paraId="42484CB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Allium sativum</w:t>
            </w:r>
          </w:p>
        </w:tc>
        <w:tc>
          <w:tcPr>
            <w:tcW w:w="1977" w:type="dxa"/>
            <w:noWrap w:val="0"/>
            <w:vAlign w:val="center"/>
          </w:tcPr>
          <w:p w14:paraId="3B300CB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F00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B07B1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（367）韭</w:t>
            </w:r>
          </w:p>
        </w:tc>
        <w:tc>
          <w:tcPr>
            <w:tcW w:w="3969" w:type="dxa"/>
            <w:noWrap w:val="0"/>
            <w:vAlign w:val="center"/>
          </w:tcPr>
          <w:p w14:paraId="17F31AB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Allium tuberosum</w:t>
            </w:r>
          </w:p>
        </w:tc>
        <w:tc>
          <w:tcPr>
            <w:tcW w:w="1977" w:type="dxa"/>
            <w:noWrap w:val="0"/>
            <w:vAlign w:val="center"/>
          </w:tcPr>
          <w:p w14:paraId="022F3A9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B9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BEBA7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299.肖拔葜属</w:t>
            </w:r>
          </w:p>
        </w:tc>
        <w:tc>
          <w:tcPr>
            <w:tcW w:w="3969" w:type="dxa"/>
            <w:noWrap w:val="0"/>
            <w:vAlign w:val="center"/>
          </w:tcPr>
          <w:p w14:paraId="39C492BC">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Heterosmilax</w:t>
            </w:r>
          </w:p>
        </w:tc>
        <w:tc>
          <w:tcPr>
            <w:tcW w:w="1977" w:type="dxa"/>
            <w:noWrap w:val="0"/>
            <w:vAlign w:val="center"/>
          </w:tcPr>
          <w:p w14:paraId="1E4AF2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D28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B25024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（368）肖拔葜</w:t>
            </w:r>
          </w:p>
        </w:tc>
        <w:tc>
          <w:tcPr>
            <w:tcW w:w="3969" w:type="dxa"/>
            <w:noWrap w:val="0"/>
            <w:vAlign w:val="center"/>
          </w:tcPr>
          <w:p w14:paraId="7E95714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Heterosmilax japonica</w:t>
            </w:r>
          </w:p>
        </w:tc>
        <w:tc>
          <w:tcPr>
            <w:tcW w:w="1977" w:type="dxa"/>
            <w:noWrap w:val="0"/>
            <w:vAlign w:val="center"/>
          </w:tcPr>
          <w:p w14:paraId="66D59C0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26A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2844AF5A">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八十四、石蒜科</w:t>
            </w:r>
          </w:p>
        </w:tc>
        <w:tc>
          <w:tcPr>
            <w:tcW w:w="3969" w:type="dxa"/>
            <w:noWrap w:val="0"/>
            <w:vAlign w:val="center"/>
          </w:tcPr>
          <w:p w14:paraId="33049D6D">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Amaryllidaceae</w:t>
            </w:r>
          </w:p>
        </w:tc>
        <w:tc>
          <w:tcPr>
            <w:tcW w:w="1977" w:type="dxa"/>
            <w:noWrap w:val="0"/>
            <w:vAlign w:val="center"/>
          </w:tcPr>
          <w:p w14:paraId="7A46696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2F9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FE34EA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300.菖蒲莲属</w:t>
            </w:r>
          </w:p>
        </w:tc>
        <w:tc>
          <w:tcPr>
            <w:tcW w:w="3969" w:type="dxa"/>
            <w:noWrap w:val="0"/>
            <w:vAlign w:val="center"/>
          </w:tcPr>
          <w:p w14:paraId="1E66A6F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Zephyranthes</w:t>
            </w:r>
          </w:p>
        </w:tc>
        <w:tc>
          <w:tcPr>
            <w:tcW w:w="1977" w:type="dxa"/>
            <w:noWrap w:val="0"/>
            <w:vAlign w:val="center"/>
          </w:tcPr>
          <w:p w14:paraId="18382A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C56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44353B1">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（369）韭莲</w:t>
            </w:r>
          </w:p>
        </w:tc>
        <w:tc>
          <w:tcPr>
            <w:tcW w:w="3969" w:type="dxa"/>
            <w:noWrap w:val="0"/>
            <w:vAlign w:val="center"/>
          </w:tcPr>
          <w:p w14:paraId="20C8E3E5">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Zephyranthes grandiflora</w:t>
            </w:r>
          </w:p>
        </w:tc>
        <w:tc>
          <w:tcPr>
            <w:tcW w:w="1977" w:type="dxa"/>
            <w:noWrap w:val="0"/>
            <w:vAlign w:val="center"/>
          </w:tcPr>
          <w:p w14:paraId="4D1F5B7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B9A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028CC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八十五、鸢尾科</w:t>
            </w:r>
          </w:p>
        </w:tc>
        <w:tc>
          <w:tcPr>
            <w:tcW w:w="3969" w:type="dxa"/>
            <w:noWrap w:val="0"/>
            <w:vAlign w:val="center"/>
          </w:tcPr>
          <w:p w14:paraId="128441D4">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Iridaceae</w:t>
            </w:r>
          </w:p>
        </w:tc>
        <w:tc>
          <w:tcPr>
            <w:tcW w:w="1977" w:type="dxa"/>
            <w:noWrap w:val="0"/>
            <w:vAlign w:val="center"/>
          </w:tcPr>
          <w:p w14:paraId="62B25BD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3618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36A0CD97">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301.唐菖蒲属</w:t>
            </w:r>
          </w:p>
        </w:tc>
        <w:tc>
          <w:tcPr>
            <w:tcW w:w="3969" w:type="dxa"/>
            <w:noWrap w:val="0"/>
            <w:vAlign w:val="center"/>
          </w:tcPr>
          <w:p w14:paraId="7D05DA5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Gladiolus</w:t>
            </w:r>
          </w:p>
        </w:tc>
        <w:tc>
          <w:tcPr>
            <w:tcW w:w="1977" w:type="dxa"/>
            <w:noWrap w:val="0"/>
            <w:vAlign w:val="center"/>
          </w:tcPr>
          <w:p w14:paraId="49B5F979">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E3F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4CC92A0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（370）唐菖蒲</w:t>
            </w:r>
          </w:p>
        </w:tc>
        <w:tc>
          <w:tcPr>
            <w:tcW w:w="3969" w:type="dxa"/>
            <w:noWrap w:val="0"/>
            <w:vAlign w:val="center"/>
          </w:tcPr>
          <w:p w14:paraId="598975A2">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Gladiolus gandavensis</w:t>
            </w:r>
          </w:p>
        </w:tc>
        <w:tc>
          <w:tcPr>
            <w:tcW w:w="1977" w:type="dxa"/>
            <w:noWrap w:val="0"/>
            <w:vAlign w:val="center"/>
          </w:tcPr>
          <w:p w14:paraId="2ABDBC08">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5737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6335AF8B">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八十六、姜科</w:t>
            </w:r>
          </w:p>
        </w:tc>
        <w:tc>
          <w:tcPr>
            <w:tcW w:w="3969" w:type="dxa"/>
            <w:noWrap w:val="0"/>
            <w:vAlign w:val="center"/>
          </w:tcPr>
          <w:p w14:paraId="1E1ECA2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Zingiberaceae</w:t>
            </w:r>
          </w:p>
        </w:tc>
        <w:tc>
          <w:tcPr>
            <w:tcW w:w="1977" w:type="dxa"/>
            <w:noWrap w:val="0"/>
            <w:vAlign w:val="center"/>
          </w:tcPr>
          <w:p w14:paraId="775D4A43">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7A5A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7339B65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302.姜属</w:t>
            </w:r>
          </w:p>
        </w:tc>
        <w:tc>
          <w:tcPr>
            <w:tcW w:w="3969" w:type="dxa"/>
            <w:noWrap w:val="0"/>
            <w:vAlign w:val="center"/>
          </w:tcPr>
          <w:p w14:paraId="16A48C1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Zingiber</w:t>
            </w:r>
          </w:p>
        </w:tc>
        <w:tc>
          <w:tcPr>
            <w:tcW w:w="1977" w:type="dxa"/>
            <w:noWrap w:val="0"/>
            <w:vAlign w:val="center"/>
          </w:tcPr>
          <w:p w14:paraId="537FCC5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r w14:paraId="1630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0" w:type="dxa"/>
            <w:noWrap w:val="0"/>
            <w:vAlign w:val="center"/>
          </w:tcPr>
          <w:p w14:paraId="189A667E">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（372）姜</w:t>
            </w:r>
          </w:p>
        </w:tc>
        <w:tc>
          <w:tcPr>
            <w:tcW w:w="3969" w:type="dxa"/>
            <w:noWrap w:val="0"/>
            <w:vAlign w:val="center"/>
          </w:tcPr>
          <w:p w14:paraId="0D2B1F30">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Zingiber officinale</w:t>
            </w:r>
          </w:p>
        </w:tc>
        <w:tc>
          <w:tcPr>
            <w:tcW w:w="1977" w:type="dxa"/>
            <w:noWrap w:val="0"/>
            <w:vAlign w:val="center"/>
          </w:tcPr>
          <w:p w14:paraId="77F5CA06">
            <w:pPr>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r>
    </w:tbl>
    <w:p w14:paraId="2CC9AF48">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调查区植被多样性分析</w:t>
      </w:r>
      <w:bookmarkEnd w:id="601"/>
    </w:p>
    <w:p w14:paraId="35B23D12">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b/>
          <w:bCs/>
          <w:color w:val="auto"/>
          <w:sz w:val="24"/>
          <w:szCs w:val="24"/>
          <w:u w:val="none" w:color="auto"/>
          <w:lang w:val="en-US" w:eastAsia="zh-CN"/>
        </w:rPr>
      </w:pPr>
      <w:bookmarkStart w:id="602" w:name="_Toc11893"/>
      <w:r>
        <w:rPr>
          <w:rFonts w:hint="default" w:ascii="Times New Roman" w:hAnsi="Times New Roman" w:eastAsia="宋体" w:cs="Times New Roman"/>
          <w:b/>
          <w:bCs/>
          <w:color w:val="auto"/>
          <w:sz w:val="24"/>
          <w:szCs w:val="24"/>
          <w:u w:val="none" w:color="auto"/>
          <w:lang w:val="en-US" w:eastAsia="zh-CN"/>
        </w:rPr>
        <w:t>1、岸边区域</w:t>
      </w:r>
      <w:bookmarkEnd w:id="602"/>
    </w:p>
    <w:p w14:paraId="3BF4A765">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val="zh-CN" w:eastAsia="zh-CN"/>
        </w:rPr>
        <w:t>①</w:t>
      </w:r>
      <w:r>
        <w:rPr>
          <w:rFonts w:hint="default" w:ascii="Times New Roman" w:hAnsi="Times New Roman" w:eastAsia="宋体" w:cs="Times New Roman"/>
          <w:color w:val="auto"/>
          <w:sz w:val="24"/>
          <w:szCs w:val="24"/>
          <w:u w:val="none" w:color="auto"/>
          <w:lang w:eastAsia="zh-CN"/>
        </w:rPr>
        <w:t>芦苇灌草丛</w:t>
      </w:r>
    </w:p>
    <w:p w14:paraId="495E40F7">
      <w:pPr>
        <w:pageBreakBefore w:val="0"/>
        <w:tabs>
          <w:tab w:val="left" w:pos="2085"/>
        </w:tabs>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芦苇灌草丛主要分布在道路西侧临东洞庭湖空旷地带和东侧湖泊和池塘岸边。该群落中芦苇占绝对优势，同时还分布有白茅（</w:t>
      </w:r>
      <w:r>
        <w:rPr>
          <w:rFonts w:hint="default" w:ascii="Times New Roman" w:hAnsi="Times New Roman" w:eastAsia="宋体" w:cs="Times New Roman"/>
          <w:i/>
          <w:iCs/>
          <w:color w:val="auto"/>
          <w:sz w:val="24"/>
          <w:szCs w:val="24"/>
          <w:u w:val="none" w:color="auto"/>
          <w:lang w:val="zh-CN"/>
        </w:rPr>
        <w:t>Imperata cylindrica</w:t>
      </w:r>
      <w:r>
        <w:rPr>
          <w:rFonts w:hint="default" w:ascii="Times New Roman" w:hAnsi="Times New Roman" w:eastAsia="宋体" w:cs="Times New Roman"/>
          <w:color w:val="auto"/>
          <w:sz w:val="24"/>
          <w:szCs w:val="24"/>
          <w:u w:val="none" w:color="auto"/>
        </w:rPr>
        <w:t>）、空心莲子草（</w:t>
      </w:r>
      <w:r>
        <w:rPr>
          <w:rFonts w:hint="default" w:ascii="Times New Roman" w:hAnsi="Times New Roman" w:eastAsia="宋体" w:cs="Times New Roman"/>
          <w:i/>
          <w:iCs/>
          <w:color w:val="auto"/>
          <w:sz w:val="24"/>
          <w:szCs w:val="24"/>
          <w:u w:val="none" w:color="auto"/>
          <w:lang w:val="zh-CN"/>
        </w:rPr>
        <w:t>Alternanthera philoxeroides</w:t>
      </w:r>
      <w:r>
        <w:rPr>
          <w:rFonts w:hint="default" w:ascii="Times New Roman" w:hAnsi="Times New Roman" w:eastAsia="宋体" w:cs="Times New Roman"/>
          <w:color w:val="auto"/>
          <w:sz w:val="24"/>
          <w:szCs w:val="24"/>
          <w:u w:val="none" w:color="auto"/>
        </w:rPr>
        <w:t>）、长刺酸模（</w:t>
      </w:r>
      <w:r>
        <w:rPr>
          <w:rFonts w:hint="default" w:ascii="Times New Roman" w:hAnsi="Times New Roman" w:eastAsia="宋体" w:cs="Times New Roman"/>
          <w:i/>
          <w:iCs/>
          <w:color w:val="auto"/>
          <w:sz w:val="24"/>
          <w:szCs w:val="24"/>
          <w:u w:val="none" w:color="auto"/>
          <w:lang w:val="zh-CN"/>
        </w:rPr>
        <w:t>Rumex trisetifer</w:t>
      </w:r>
      <w:r>
        <w:rPr>
          <w:rFonts w:hint="default" w:ascii="Times New Roman" w:hAnsi="Times New Roman" w:eastAsia="宋体" w:cs="Times New Roman"/>
          <w:color w:val="auto"/>
          <w:sz w:val="24"/>
          <w:szCs w:val="24"/>
          <w:u w:val="none" w:color="auto"/>
        </w:rPr>
        <w:t>）、荔枝草（</w:t>
      </w:r>
      <w:r>
        <w:rPr>
          <w:rFonts w:hint="default" w:ascii="Times New Roman" w:hAnsi="Times New Roman" w:eastAsia="宋体" w:cs="Times New Roman"/>
          <w:i/>
          <w:iCs/>
          <w:color w:val="auto"/>
          <w:sz w:val="24"/>
          <w:szCs w:val="24"/>
          <w:u w:val="none" w:color="auto"/>
          <w:lang w:val="zh-CN"/>
        </w:rPr>
        <w:t>Salvia plebeia</w:t>
      </w:r>
      <w:r>
        <w:rPr>
          <w:rFonts w:hint="default" w:ascii="Times New Roman" w:hAnsi="Times New Roman" w:eastAsia="宋体" w:cs="Times New Roman"/>
          <w:color w:val="auto"/>
          <w:sz w:val="24"/>
          <w:szCs w:val="24"/>
          <w:u w:val="none" w:color="auto"/>
        </w:rPr>
        <w:t>）、柳叶马鞭草（</w:t>
      </w:r>
      <w:r>
        <w:rPr>
          <w:rFonts w:hint="default" w:ascii="Times New Roman" w:hAnsi="Times New Roman" w:eastAsia="宋体" w:cs="Times New Roman"/>
          <w:i/>
          <w:iCs/>
          <w:color w:val="auto"/>
          <w:sz w:val="24"/>
          <w:szCs w:val="24"/>
          <w:u w:val="none" w:color="auto"/>
          <w:lang w:val="zh-CN"/>
        </w:rPr>
        <w:t>Verbena bonariensis</w:t>
      </w:r>
      <w:r>
        <w:rPr>
          <w:rFonts w:hint="default" w:ascii="Times New Roman" w:hAnsi="Times New Roman" w:eastAsia="宋体" w:cs="Times New Roman"/>
          <w:color w:val="auto"/>
          <w:sz w:val="24"/>
          <w:szCs w:val="24"/>
          <w:u w:val="none" w:color="auto"/>
        </w:rPr>
        <w:t>）等其它草本植物。</w:t>
      </w:r>
    </w:p>
    <w:p w14:paraId="636C91B9">
      <w:pPr>
        <w:pStyle w:val="4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表4.5-1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芦苇灌草丛样方表</w:t>
      </w:r>
    </w:p>
    <w:tbl>
      <w:tblPr>
        <w:tblStyle w:val="2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5"/>
        <w:gridCol w:w="2172"/>
        <w:gridCol w:w="840"/>
        <w:gridCol w:w="1225"/>
        <w:gridCol w:w="620"/>
        <w:gridCol w:w="1297"/>
        <w:gridCol w:w="1031"/>
      </w:tblGrid>
      <w:tr w14:paraId="2FDC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tcBorders>
              <w:tl2br w:val="nil"/>
              <w:tr2bl w:val="nil"/>
            </w:tcBorders>
            <w:noWrap w:val="0"/>
            <w:vAlign w:val="center"/>
          </w:tcPr>
          <w:p w14:paraId="5E61EDF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编号</w:t>
            </w:r>
          </w:p>
        </w:tc>
        <w:tc>
          <w:tcPr>
            <w:tcW w:w="1321" w:type="pct"/>
            <w:tcBorders>
              <w:tl2br w:val="nil"/>
              <w:tr2bl w:val="nil"/>
            </w:tcBorders>
            <w:noWrap w:val="0"/>
            <w:vAlign w:val="center"/>
          </w:tcPr>
          <w:p w14:paraId="17609DB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lang w:eastAsia="zh-CN"/>
              </w:rPr>
            </w:pPr>
            <w:r>
              <w:rPr>
                <w:rFonts w:hint="default" w:ascii="Times New Roman" w:hAnsi="Times New Roman" w:eastAsia="宋体" w:cs="Times New Roman"/>
                <w:color w:val="auto"/>
                <w:spacing w:val="-2"/>
                <w:sz w:val="21"/>
                <w:szCs w:val="21"/>
                <w:u w:val="none" w:color="auto"/>
                <w:lang w:val="en-US" w:eastAsia="zh-CN"/>
              </w:rPr>
              <w:t>样方1</w:t>
            </w:r>
          </w:p>
        </w:tc>
        <w:tc>
          <w:tcPr>
            <w:tcW w:w="3047" w:type="pct"/>
            <w:gridSpan w:val="5"/>
            <w:tcBorders>
              <w:tl2br w:val="nil"/>
              <w:tr2bl w:val="nil"/>
            </w:tcBorders>
            <w:noWrap w:val="0"/>
            <w:vAlign w:val="center"/>
          </w:tcPr>
          <w:p w14:paraId="7C2402D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环境特征</w:t>
            </w:r>
          </w:p>
        </w:tc>
      </w:tr>
      <w:tr w14:paraId="4E3D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tcBorders>
              <w:tl2br w:val="nil"/>
              <w:tr2bl w:val="nil"/>
            </w:tcBorders>
            <w:noWrap w:val="0"/>
            <w:vAlign w:val="center"/>
          </w:tcPr>
          <w:p w14:paraId="650F489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地点</w:t>
            </w:r>
          </w:p>
        </w:tc>
        <w:tc>
          <w:tcPr>
            <w:tcW w:w="1321" w:type="pct"/>
            <w:tcBorders>
              <w:tl2br w:val="nil"/>
              <w:tr2bl w:val="nil"/>
            </w:tcBorders>
            <w:noWrap w:val="0"/>
            <w:vAlign w:val="center"/>
          </w:tcPr>
          <w:p w14:paraId="4D2F08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项目东侧600m岸边区域</w:t>
            </w:r>
          </w:p>
        </w:tc>
        <w:tc>
          <w:tcPr>
            <w:tcW w:w="511" w:type="pct"/>
            <w:tcBorders>
              <w:tl2br w:val="nil"/>
              <w:tr2bl w:val="nil"/>
            </w:tcBorders>
            <w:noWrap w:val="0"/>
            <w:vAlign w:val="center"/>
          </w:tcPr>
          <w:p w14:paraId="6B91A083">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地形</w:t>
            </w:r>
          </w:p>
        </w:tc>
        <w:tc>
          <w:tcPr>
            <w:tcW w:w="745" w:type="pct"/>
            <w:tcBorders>
              <w:tl2br w:val="nil"/>
              <w:tr2bl w:val="nil"/>
            </w:tcBorders>
            <w:noWrap w:val="0"/>
            <w:vAlign w:val="center"/>
          </w:tcPr>
          <w:p w14:paraId="7DEF50C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样方面积</w:t>
            </w:r>
          </w:p>
        </w:tc>
        <w:tc>
          <w:tcPr>
            <w:tcW w:w="377" w:type="pct"/>
            <w:tcBorders>
              <w:tl2br w:val="nil"/>
              <w:tr2bl w:val="nil"/>
            </w:tcBorders>
            <w:noWrap w:val="0"/>
            <w:vAlign w:val="center"/>
          </w:tcPr>
          <w:p w14:paraId="7333FC6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海拔高度</w:t>
            </w:r>
          </w:p>
        </w:tc>
        <w:tc>
          <w:tcPr>
            <w:tcW w:w="789" w:type="pct"/>
            <w:tcBorders>
              <w:tl2br w:val="nil"/>
              <w:tr2bl w:val="nil"/>
            </w:tcBorders>
            <w:noWrap w:val="0"/>
            <w:vAlign w:val="center"/>
          </w:tcPr>
          <w:p w14:paraId="1C96C60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经度</w:t>
            </w:r>
          </w:p>
        </w:tc>
        <w:tc>
          <w:tcPr>
            <w:tcW w:w="623" w:type="pct"/>
            <w:tcBorders>
              <w:tl2br w:val="nil"/>
              <w:tr2bl w:val="nil"/>
            </w:tcBorders>
            <w:noWrap w:val="0"/>
            <w:vAlign w:val="center"/>
          </w:tcPr>
          <w:p w14:paraId="3798DA2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纬度</w:t>
            </w:r>
          </w:p>
        </w:tc>
      </w:tr>
      <w:tr w14:paraId="0713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tcBorders>
              <w:tl2br w:val="nil"/>
              <w:tr2bl w:val="nil"/>
            </w:tcBorders>
            <w:noWrap w:val="0"/>
            <w:vAlign w:val="center"/>
          </w:tcPr>
          <w:p w14:paraId="71152C1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群落类型</w:t>
            </w:r>
          </w:p>
        </w:tc>
        <w:tc>
          <w:tcPr>
            <w:tcW w:w="1321" w:type="pct"/>
            <w:tcBorders>
              <w:tl2br w:val="nil"/>
              <w:tr2bl w:val="nil"/>
            </w:tcBorders>
            <w:noWrap w:val="0"/>
            <w:vAlign w:val="center"/>
          </w:tcPr>
          <w:p w14:paraId="56FE0E8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芦苇灌草丛</w:t>
            </w:r>
          </w:p>
        </w:tc>
        <w:tc>
          <w:tcPr>
            <w:tcW w:w="511" w:type="pct"/>
            <w:tcBorders>
              <w:tl2br w:val="nil"/>
              <w:tr2bl w:val="nil"/>
            </w:tcBorders>
            <w:noWrap w:val="0"/>
            <w:vAlign w:val="center"/>
          </w:tcPr>
          <w:p w14:paraId="45A4C10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水域</w:t>
            </w:r>
          </w:p>
        </w:tc>
        <w:tc>
          <w:tcPr>
            <w:tcW w:w="745" w:type="pct"/>
            <w:tcBorders>
              <w:tl2br w:val="nil"/>
              <w:tr2bl w:val="nil"/>
            </w:tcBorders>
            <w:noWrap w:val="0"/>
            <w:vAlign w:val="center"/>
          </w:tcPr>
          <w:p w14:paraId="1B61323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5m×5m</w:t>
            </w:r>
          </w:p>
        </w:tc>
        <w:tc>
          <w:tcPr>
            <w:tcW w:w="377" w:type="pct"/>
            <w:tcBorders>
              <w:tl2br w:val="nil"/>
              <w:tr2bl w:val="nil"/>
            </w:tcBorders>
            <w:noWrap w:val="0"/>
            <w:vAlign w:val="center"/>
          </w:tcPr>
          <w:p w14:paraId="2898472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26m</w:t>
            </w:r>
          </w:p>
        </w:tc>
        <w:tc>
          <w:tcPr>
            <w:tcW w:w="789" w:type="pct"/>
            <w:tcBorders>
              <w:tl2br w:val="nil"/>
              <w:tr2bl w:val="nil"/>
            </w:tcBorders>
            <w:noWrap w:val="0"/>
            <w:vAlign w:val="center"/>
          </w:tcPr>
          <w:p w14:paraId="50C4717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sz w:val="21"/>
                <w:szCs w:val="21"/>
                <w:u w:val="none" w:color="auto"/>
              </w:rPr>
              <w:t>113.004634</w:t>
            </w:r>
          </w:p>
        </w:tc>
        <w:tc>
          <w:tcPr>
            <w:tcW w:w="623" w:type="pct"/>
            <w:tcBorders>
              <w:tl2br w:val="nil"/>
              <w:tr2bl w:val="nil"/>
            </w:tcBorders>
            <w:noWrap w:val="0"/>
            <w:vAlign w:val="center"/>
          </w:tcPr>
          <w:p w14:paraId="7287796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sz w:val="21"/>
                <w:szCs w:val="21"/>
                <w:u w:val="none" w:color="auto"/>
              </w:rPr>
              <w:t>29.156197</w:t>
            </w:r>
          </w:p>
        </w:tc>
      </w:tr>
      <w:tr w14:paraId="1DF8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tcBorders>
              <w:tl2br w:val="nil"/>
              <w:tr2bl w:val="nil"/>
            </w:tcBorders>
            <w:noWrap w:val="0"/>
            <w:vAlign w:val="center"/>
          </w:tcPr>
          <w:p w14:paraId="41498EC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群落层次</w:t>
            </w:r>
          </w:p>
        </w:tc>
        <w:tc>
          <w:tcPr>
            <w:tcW w:w="4369" w:type="pct"/>
            <w:gridSpan w:val="6"/>
            <w:tcBorders>
              <w:tl2br w:val="nil"/>
              <w:tr2bl w:val="nil"/>
            </w:tcBorders>
            <w:noWrap w:val="0"/>
            <w:vAlign w:val="center"/>
          </w:tcPr>
          <w:p w14:paraId="56E3498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二层</w:t>
            </w:r>
          </w:p>
        </w:tc>
      </w:tr>
      <w:tr w14:paraId="2D13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tcBorders>
              <w:tl2br w:val="nil"/>
              <w:tr2bl w:val="nil"/>
            </w:tcBorders>
            <w:noWrap w:val="0"/>
            <w:vAlign w:val="center"/>
          </w:tcPr>
          <w:p w14:paraId="01F8ACF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样方周边环境现状</w:t>
            </w:r>
          </w:p>
        </w:tc>
        <w:tc>
          <w:tcPr>
            <w:tcW w:w="4369" w:type="pct"/>
            <w:gridSpan w:val="6"/>
            <w:tcBorders>
              <w:tl2br w:val="nil"/>
              <w:tr2bl w:val="nil"/>
            </w:tcBorders>
            <w:noWrap w:val="0"/>
            <w:vAlign w:val="center"/>
          </w:tcPr>
          <w:p w14:paraId="22518F5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湖泊沿岸地带</w:t>
            </w:r>
          </w:p>
        </w:tc>
      </w:tr>
      <w:tr w14:paraId="624A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restart"/>
            <w:tcBorders>
              <w:tl2br w:val="nil"/>
              <w:tr2bl w:val="nil"/>
            </w:tcBorders>
            <w:noWrap w:val="0"/>
            <w:vAlign w:val="center"/>
          </w:tcPr>
          <w:p w14:paraId="139C1973">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灌木层</w:t>
            </w:r>
          </w:p>
        </w:tc>
        <w:tc>
          <w:tcPr>
            <w:tcW w:w="4369" w:type="pct"/>
            <w:gridSpan w:val="6"/>
            <w:tcBorders>
              <w:tl2br w:val="nil"/>
              <w:tr2bl w:val="nil"/>
            </w:tcBorders>
            <w:noWrap w:val="0"/>
            <w:vAlign w:val="center"/>
          </w:tcPr>
          <w:p w14:paraId="34741C1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种类组成及生长状况</w:t>
            </w:r>
          </w:p>
        </w:tc>
      </w:tr>
      <w:tr w14:paraId="61E6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20522EA6">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2A6FCC0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511" w:type="pct"/>
            <w:tcBorders>
              <w:tl2br w:val="nil"/>
              <w:tr2bl w:val="nil"/>
            </w:tcBorders>
            <w:noWrap w:val="0"/>
            <w:vAlign w:val="center"/>
          </w:tcPr>
          <w:p w14:paraId="3D36F0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745" w:type="pct"/>
            <w:tcBorders>
              <w:tl2br w:val="nil"/>
              <w:tr2bl w:val="nil"/>
            </w:tcBorders>
            <w:noWrap w:val="0"/>
            <w:vAlign w:val="center"/>
          </w:tcPr>
          <w:p w14:paraId="5791EF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377" w:type="pct"/>
            <w:tcBorders>
              <w:tl2br w:val="nil"/>
              <w:tr2bl w:val="nil"/>
            </w:tcBorders>
            <w:noWrap w:val="0"/>
            <w:vAlign w:val="center"/>
          </w:tcPr>
          <w:p w14:paraId="77FC12E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789" w:type="pct"/>
            <w:tcBorders>
              <w:tl2br w:val="nil"/>
              <w:tr2bl w:val="nil"/>
            </w:tcBorders>
            <w:noWrap w:val="0"/>
            <w:vAlign w:val="center"/>
          </w:tcPr>
          <w:p w14:paraId="547984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平均高度cm</w:t>
            </w:r>
          </w:p>
        </w:tc>
        <w:tc>
          <w:tcPr>
            <w:tcW w:w="623" w:type="pct"/>
            <w:tcBorders>
              <w:tl2br w:val="nil"/>
              <w:tr2bl w:val="nil"/>
            </w:tcBorders>
            <w:noWrap w:val="0"/>
            <w:vAlign w:val="center"/>
          </w:tcPr>
          <w:p w14:paraId="26DA5C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353B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6FF8428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1B6546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color w:val="auto"/>
                <w:sz w:val="21"/>
                <w:szCs w:val="21"/>
                <w:u w:val="none" w:color="auto"/>
              </w:rPr>
              <w:t>芦苇（</w:t>
            </w:r>
            <w:r>
              <w:rPr>
                <w:rFonts w:hint="default" w:ascii="Times New Roman" w:hAnsi="Times New Roman" w:eastAsia="宋体" w:cs="Times New Roman"/>
                <w:i/>
                <w:iCs/>
                <w:color w:val="auto"/>
                <w:sz w:val="21"/>
                <w:szCs w:val="21"/>
                <w:u w:val="none" w:color="auto"/>
                <w:lang w:val="zh-CN"/>
              </w:rPr>
              <w:t>Phragmites australis</w:t>
            </w:r>
            <w:r>
              <w:rPr>
                <w:rFonts w:hint="default" w:ascii="Times New Roman" w:hAnsi="Times New Roman" w:eastAsia="宋体" w:cs="Times New Roman"/>
                <w:color w:val="auto"/>
                <w:sz w:val="21"/>
                <w:szCs w:val="21"/>
                <w:u w:val="none" w:color="auto"/>
              </w:rPr>
              <w:t>）</w:t>
            </w:r>
          </w:p>
        </w:tc>
        <w:tc>
          <w:tcPr>
            <w:tcW w:w="511" w:type="pct"/>
            <w:tcBorders>
              <w:tl2br w:val="nil"/>
              <w:tr2bl w:val="nil"/>
            </w:tcBorders>
            <w:noWrap w:val="0"/>
            <w:vAlign w:val="center"/>
          </w:tcPr>
          <w:p w14:paraId="2CD44F8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745" w:type="pct"/>
            <w:tcBorders>
              <w:tl2br w:val="nil"/>
              <w:tr2bl w:val="nil"/>
            </w:tcBorders>
            <w:noWrap w:val="0"/>
            <w:vAlign w:val="center"/>
          </w:tcPr>
          <w:p w14:paraId="007145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133</w:t>
            </w:r>
          </w:p>
        </w:tc>
        <w:tc>
          <w:tcPr>
            <w:tcW w:w="377" w:type="pct"/>
            <w:tcBorders>
              <w:tl2br w:val="nil"/>
              <w:tr2bl w:val="nil"/>
            </w:tcBorders>
            <w:noWrap w:val="0"/>
            <w:vAlign w:val="center"/>
          </w:tcPr>
          <w:p w14:paraId="65915D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Soc</w:t>
            </w:r>
          </w:p>
        </w:tc>
        <w:tc>
          <w:tcPr>
            <w:tcW w:w="789" w:type="pct"/>
            <w:tcBorders>
              <w:tl2br w:val="nil"/>
              <w:tr2bl w:val="nil"/>
            </w:tcBorders>
            <w:noWrap w:val="0"/>
            <w:vAlign w:val="center"/>
          </w:tcPr>
          <w:p w14:paraId="616980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180</w:t>
            </w:r>
          </w:p>
        </w:tc>
        <w:tc>
          <w:tcPr>
            <w:tcW w:w="623" w:type="pct"/>
            <w:tcBorders>
              <w:tl2br w:val="nil"/>
              <w:tr2bl w:val="nil"/>
            </w:tcBorders>
            <w:noWrap w:val="0"/>
            <w:vAlign w:val="center"/>
          </w:tcPr>
          <w:p w14:paraId="060832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w:t>
            </w:r>
          </w:p>
        </w:tc>
      </w:tr>
      <w:tr w14:paraId="031E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restart"/>
            <w:tcBorders>
              <w:tl2br w:val="nil"/>
              <w:tr2bl w:val="nil"/>
            </w:tcBorders>
            <w:noWrap w:val="0"/>
            <w:vAlign w:val="center"/>
          </w:tcPr>
          <w:p w14:paraId="55BE7E0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草本层</w:t>
            </w:r>
          </w:p>
        </w:tc>
        <w:tc>
          <w:tcPr>
            <w:tcW w:w="1321" w:type="pct"/>
            <w:tcBorders>
              <w:tl2br w:val="nil"/>
              <w:tr2bl w:val="nil"/>
            </w:tcBorders>
            <w:noWrap w:val="0"/>
            <w:vAlign w:val="center"/>
          </w:tcPr>
          <w:p w14:paraId="2470E3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空心莲子草（</w:t>
            </w:r>
            <w:r>
              <w:rPr>
                <w:rFonts w:hint="default" w:ascii="Times New Roman" w:hAnsi="Times New Roman" w:eastAsia="宋体" w:cs="Times New Roman"/>
                <w:i/>
                <w:iCs/>
                <w:color w:val="auto"/>
                <w:sz w:val="21"/>
                <w:szCs w:val="21"/>
                <w:u w:val="none" w:color="auto"/>
                <w:lang w:val="zh-CN"/>
              </w:rPr>
              <w:t>Alternanthera philoxeroides</w:t>
            </w:r>
            <w:r>
              <w:rPr>
                <w:rFonts w:hint="default" w:ascii="Times New Roman" w:hAnsi="Times New Roman" w:eastAsia="宋体" w:cs="Times New Roman"/>
                <w:color w:val="auto"/>
                <w:sz w:val="21"/>
                <w:szCs w:val="21"/>
                <w:u w:val="none" w:color="auto"/>
              </w:rPr>
              <w:t>）</w:t>
            </w:r>
          </w:p>
        </w:tc>
        <w:tc>
          <w:tcPr>
            <w:tcW w:w="511" w:type="pct"/>
            <w:tcBorders>
              <w:tl2br w:val="nil"/>
              <w:tr2bl w:val="nil"/>
            </w:tcBorders>
            <w:noWrap w:val="0"/>
            <w:vAlign w:val="center"/>
          </w:tcPr>
          <w:p w14:paraId="6E6815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745" w:type="pct"/>
            <w:tcBorders>
              <w:tl2br w:val="nil"/>
              <w:tr2bl w:val="nil"/>
            </w:tcBorders>
            <w:noWrap w:val="0"/>
            <w:vAlign w:val="center"/>
          </w:tcPr>
          <w:p w14:paraId="1BF0C1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377" w:type="pct"/>
            <w:tcBorders>
              <w:tl2br w:val="nil"/>
              <w:tr2bl w:val="nil"/>
            </w:tcBorders>
            <w:noWrap w:val="0"/>
            <w:vAlign w:val="center"/>
          </w:tcPr>
          <w:p w14:paraId="5D77AC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789" w:type="pct"/>
            <w:tcBorders>
              <w:tl2br w:val="nil"/>
              <w:tr2bl w:val="nil"/>
            </w:tcBorders>
            <w:noWrap w:val="0"/>
            <w:vAlign w:val="center"/>
          </w:tcPr>
          <w:p w14:paraId="594397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623" w:type="pct"/>
            <w:tcBorders>
              <w:tl2br w:val="nil"/>
              <w:tr2bl w:val="nil"/>
            </w:tcBorders>
            <w:noWrap w:val="0"/>
            <w:vAlign w:val="center"/>
          </w:tcPr>
          <w:p w14:paraId="696545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w:t>
            </w:r>
          </w:p>
        </w:tc>
      </w:tr>
      <w:tr w14:paraId="1FDF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6152CE0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43E77E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 xml:space="preserve">白茅 </w:t>
            </w:r>
            <w:r>
              <w:rPr>
                <w:rFonts w:hint="default" w:ascii="Times New Roman" w:hAnsi="Times New Roman" w:eastAsia="宋体" w:cs="Times New Roman"/>
                <w:i/>
                <w:color w:val="auto"/>
                <w:sz w:val="21"/>
                <w:szCs w:val="21"/>
                <w:u w:val="none" w:color="auto"/>
              </w:rPr>
              <w:t>Imperata cylindrica</w:t>
            </w:r>
          </w:p>
        </w:tc>
        <w:tc>
          <w:tcPr>
            <w:tcW w:w="511" w:type="pct"/>
            <w:tcBorders>
              <w:tl2br w:val="nil"/>
              <w:tr2bl w:val="nil"/>
            </w:tcBorders>
            <w:noWrap w:val="0"/>
            <w:vAlign w:val="center"/>
          </w:tcPr>
          <w:p w14:paraId="6EE64A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745" w:type="pct"/>
            <w:tcBorders>
              <w:tl2br w:val="nil"/>
              <w:tr2bl w:val="nil"/>
            </w:tcBorders>
            <w:noWrap w:val="0"/>
            <w:vAlign w:val="center"/>
          </w:tcPr>
          <w:p w14:paraId="414A50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44</w:t>
            </w:r>
          </w:p>
        </w:tc>
        <w:tc>
          <w:tcPr>
            <w:tcW w:w="377" w:type="pct"/>
            <w:tcBorders>
              <w:tl2br w:val="nil"/>
              <w:tr2bl w:val="nil"/>
            </w:tcBorders>
            <w:noWrap w:val="0"/>
            <w:vAlign w:val="center"/>
          </w:tcPr>
          <w:p w14:paraId="490A37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789" w:type="pct"/>
            <w:tcBorders>
              <w:tl2br w:val="nil"/>
              <w:tr2bl w:val="nil"/>
            </w:tcBorders>
            <w:noWrap w:val="0"/>
            <w:vAlign w:val="center"/>
          </w:tcPr>
          <w:p w14:paraId="32D542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623" w:type="pct"/>
            <w:tcBorders>
              <w:tl2br w:val="nil"/>
              <w:tr2bl w:val="nil"/>
            </w:tcBorders>
            <w:noWrap w:val="0"/>
            <w:vAlign w:val="center"/>
          </w:tcPr>
          <w:p w14:paraId="2F11D5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27F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03162DA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32C1CA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长刺酸模（</w:t>
            </w:r>
            <w:r>
              <w:rPr>
                <w:rFonts w:hint="default" w:ascii="Times New Roman" w:hAnsi="Times New Roman" w:eastAsia="宋体" w:cs="Times New Roman"/>
                <w:i/>
                <w:iCs/>
                <w:color w:val="auto"/>
                <w:sz w:val="21"/>
                <w:szCs w:val="21"/>
                <w:u w:val="none" w:color="auto"/>
                <w:lang w:val="zh-CN"/>
              </w:rPr>
              <w:t>Rumex trisetifer</w:t>
            </w:r>
            <w:r>
              <w:rPr>
                <w:rFonts w:hint="default" w:ascii="Times New Roman" w:hAnsi="Times New Roman" w:eastAsia="宋体" w:cs="Times New Roman"/>
                <w:color w:val="auto"/>
                <w:sz w:val="21"/>
                <w:szCs w:val="21"/>
                <w:u w:val="none" w:color="auto"/>
              </w:rPr>
              <w:t>）</w:t>
            </w:r>
          </w:p>
        </w:tc>
        <w:tc>
          <w:tcPr>
            <w:tcW w:w="511" w:type="pct"/>
            <w:tcBorders>
              <w:tl2br w:val="nil"/>
              <w:tr2bl w:val="nil"/>
            </w:tcBorders>
            <w:noWrap w:val="0"/>
            <w:vAlign w:val="center"/>
          </w:tcPr>
          <w:p w14:paraId="2ED1098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745" w:type="pct"/>
            <w:tcBorders>
              <w:tl2br w:val="nil"/>
              <w:tr2bl w:val="nil"/>
            </w:tcBorders>
            <w:noWrap w:val="0"/>
            <w:vAlign w:val="center"/>
          </w:tcPr>
          <w:p w14:paraId="789ADF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23</w:t>
            </w:r>
          </w:p>
        </w:tc>
        <w:tc>
          <w:tcPr>
            <w:tcW w:w="377" w:type="pct"/>
            <w:tcBorders>
              <w:tl2br w:val="nil"/>
              <w:tr2bl w:val="nil"/>
            </w:tcBorders>
            <w:noWrap w:val="0"/>
            <w:vAlign w:val="center"/>
          </w:tcPr>
          <w:p w14:paraId="69DFCD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789" w:type="pct"/>
            <w:tcBorders>
              <w:tl2br w:val="nil"/>
              <w:tr2bl w:val="nil"/>
            </w:tcBorders>
            <w:noWrap w:val="0"/>
            <w:vAlign w:val="center"/>
          </w:tcPr>
          <w:p w14:paraId="372000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623" w:type="pct"/>
            <w:tcBorders>
              <w:tl2br w:val="nil"/>
              <w:tr2bl w:val="nil"/>
            </w:tcBorders>
            <w:noWrap w:val="0"/>
            <w:vAlign w:val="center"/>
          </w:tcPr>
          <w:p w14:paraId="592315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5313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35EE1356">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68C265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荔枝草（</w:t>
            </w:r>
            <w:r>
              <w:rPr>
                <w:rFonts w:hint="default" w:ascii="Times New Roman" w:hAnsi="Times New Roman" w:eastAsia="宋体" w:cs="Times New Roman"/>
                <w:i/>
                <w:iCs/>
                <w:color w:val="auto"/>
                <w:sz w:val="21"/>
                <w:szCs w:val="21"/>
                <w:u w:val="none" w:color="auto"/>
              </w:rPr>
              <w:t>Salvia plebeia</w:t>
            </w:r>
            <w:r>
              <w:rPr>
                <w:rFonts w:hint="default" w:ascii="Times New Roman" w:hAnsi="Times New Roman" w:eastAsia="宋体" w:cs="Times New Roman"/>
                <w:color w:val="auto"/>
                <w:sz w:val="21"/>
                <w:szCs w:val="21"/>
                <w:u w:val="none" w:color="auto"/>
              </w:rPr>
              <w:t>）</w:t>
            </w:r>
          </w:p>
        </w:tc>
        <w:tc>
          <w:tcPr>
            <w:tcW w:w="511" w:type="pct"/>
            <w:tcBorders>
              <w:tl2br w:val="nil"/>
              <w:tr2bl w:val="nil"/>
            </w:tcBorders>
            <w:noWrap w:val="0"/>
            <w:vAlign w:val="center"/>
          </w:tcPr>
          <w:p w14:paraId="1BD5D06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745" w:type="pct"/>
            <w:tcBorders>
              <w:tl2br w:val="nil"/>
              <w:tr2bl w:val="nil"/>
            </w:tcBorders>
            <w:noWrap w:val="0"/>
            <w:vAlign w:val="center"/>
          </w:tcPr>
          <w:p w14:paraId="54DD45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377" w:type="pct"/>
            <w:tcBorders>
              <w:tl2br w:val="nil"/>
              <w:tr2bl w:val="nil"/>
            </w:tcBorders>
            <w:noWrap w:val="0"/>
            <w:vAlign w:val="center"/>
          </w:tcPr>
          <w:p w14:paraId="03151D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789" w:type="pct"/>
            <w:tcBorders>
              <w:tl2br w:val="nil"/>
              <w:tr2bl w:val="nil"/>
            </w:tcBorders>
            <w:noWrap w:val="0"/>
            <w:vAlign w:val="center"/>
          </w:tcPr>
          <w:p w14:paraId="056F7D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623" w:type="pct"/>
            <w:tcBorders>
              <w:tl2br w:val="nil"/>
              <w:tr2bl w:val="nil"/>
            </w:tcBorders>
            <w:noWrap w:val="0"/>
            <w:vAlign w:val="center"/>
          </w:tcPr>
          <w:p w14:paraId="0AB4ED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575F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pct"/>
            <w:vMerge w:val="continue"/>
            <w:tcBorders>
              <w:tl2br w:val="nil"/>
              <w:tr2bl w:val="nil"/>
            </w:tcBorders>
            <w:noWrap w:val="0"/>
            <w:vAlign w:val="center"/>
          </w:tcPr>
          <w:p w14:paraId="1FED111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321" w:type="pct"/>
            <w:tcBorders>
              <w:tl2br w:val="nil"/>
              <w:tr2bl w:val="nil"/>
            </w:tcBorders>
            <w:noWrap w:val="0"/>
            <w:vAlign w:val="center"/>
          </w:tcPr>
          <w:p w14:paraId="4CE730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柳叶马鞭草（</w:t>
            </w:r>
            <w:r>
              <w:rPr>
                <w:rFonts w:hint="default" w:ascii="Times New Roman" w:hAnsi="Times New Roman" w:eastAsia="宋体" w:cs="Times New Roman"/>
                <w:i/>
                <w:iCs/>
                <w:color w:val="auto"/>
                <w:sz w:val="21"/>
                <w:szCs w:val="21"/>
                <w:u w:val="none" w:color="auto"/>
                <w:lang w:val="zh-CN"/>
              </w:rPr>
              <w:t>Verbena bonariensis</w:t>
            </w:r>
            <w:r>
              <w:rPr>
                <w:rFonts w:hint="default" w:ascii="Times New Roman" w:hAnsi="Times New Roman" w:eastAsia="宋体" w:cs="Times New Roman"/>
                <w:color w:val="auto"/>
                <w:sz w:val="21"/>
                <w:szCs w:val="21"/>
                <w:u w:val="none" w:color="auto"/>
              </w:rPr>
              <w:t>）</w:t>
            </w:r>
          </w:p>
        </w:tc>
        <w:tc>
          <w:tcPr>
            <w:tcW w:w="511" w:type="pct"/>
            <w:tcBorders>
              <w:tl2br w:val="nil"/>
              <w:tr2bl w:val="nil"/>
            </w:tcBorders>
            <w:noWrap w:val="0"/>
            <w:vAlign w:val="center"/>
          </w:tcPr>
          <w:p w14:paraId="12C6A9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营养期</w:t>
            </w:r>
          </w:p>
        </w:tc>
        <w:tc>
          <w:tcPr>
            <w:tcW w:w="745" w:type="pct"/>
            <w:tcBorders>
              <w:tl2br w:val="nil"/>
              <w:tr2bl w:val="nil"/>
            </w:tcBorders>
            <w:noWrap w:val="0"/>
            <w:vAlign w:val="center"/>
          </w:tcPr>
          <w:p w14:paraId="7C9445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c>
          <w:tcPr>
            <w:tcW w:w="377" w:type="pct"/>
            <w:tcBorders>
              <w:tl2br w:val="nil"/>
              <w:tr2bl w:val="nil"/>
            </w:tcBorders>
            <w:noWrap w:val="0"/>
            <w:vAlign w:val="center"/>
          </w:tcPr>
          <w:p w14:paraId="75BDC8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789" w:type="pct"/>
            <w:tcBorders>
              <w:tl2br w:val="nil"/>
              <w:tr2bl w:val="nil"/>
            </w:tcBorders>
            <w:noWrap w:val="0"/>
            <w:vAlign w:val="center"/>
          </w:tcPr>
          <w:p w14:paraId="746ADE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623" w:type="pct"/>
            <w:tcBorders>
              <w:tl2br w:val="nil"/>
              <w:tr2bl w:val="nil"/>
            </w:tcBorders>
            <w:noWrap w:val="0"/>
            <w:vAlign w:val="center"/>
          </w:tcPr>
          <w:p w14:paraId="171CA1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r>
      <w:tr w14:paraId="4B74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7"/>
            <w:tcBorders>
              <w:tl2br w:val="nil"/>
              <w:tr2bl w:val="nil"/>
            </w:tcBorders>
            <w:noWrap w:val="0"/>
            <w:vAlign w:val="center"/>
          </w:tcPr>
          <w:p w14:paraId="1504EFF5">
            <w:pPr>
              <w:pStyle w:val="6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3667760" cy="2059305"/>
                  <wp:effectExtent l="0" t="0" r="8890" b="17145"/>
                  <wp:docPr id="101" name="图片 19" descr="IMG_20171114_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descr="IMG_20171114_093508"/>
                          <pic:cNvPicPr>
                            <a:picLocks noChangeAspect="1"/>
                          </pic:cNvPicPr>
                        </pic:nvPicPr>
                        <pic:blipFill>
                          <a:blip r:embed="rId41"/>
                          <a:stretch>
                            <a:fillRect/>
                          </a:stretch>
                        </pic:blipFill>
                        <pic:spPr>
                          <a:xfrm>
                            <a:off x="0" y="0"/>
                            <a:ext cx="3667760" cy="2059305"/>
                          </a:xfrm>
                          <a:prstGeom prst="rect">
                            <a:avLst/>
                          </a:prstGeom>
                          <a:noFill/>
                          <a:ln>
                            <a:noFill/>
                          </a:ln>
                        </pic:spPr>
                      </pic:pic>
                    </a:graphicData>
                  </a:graphic>
                </wp:inline>
              </w:drawing>
            </w:r>
          </w:p>
          <w:p w14:paraId="218438F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pacing w:val="-2"/>
                <w:sz w:val="21"/>
                <w:szCs w:val="21"/>
                <w:u w:val="none" w:color="auto"/>
              </w:rPr>
            </w:pPr>
            <w:r>
              <w:rPr>
                <w:rFonts w:hint="default" w:ascii="Times New Roman" w:hAnsi="Times New Roman" w:eastAsia="宋体" w:cs="Times New Roman"/>
                <w:b/>
                <w:bCs/>
                <w:color w:val="auto"/>
                <w:spacing w:val="-2"/>
                <w:sz w:val="21"/>
                <w:szCs w:val="21"/>
                <w:u w:val="none" w:color="auto"/>
              </w:rPr>
              <w:t>芦苇灌草丛</w:t>
            </w:r>
          </w:p>
        </w:tc>
      </w:tr>
      <w:tr w14:paraId="28B0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7"/>
            <w:tcBorders>
              <w:tl2br w:val="nil"/>
              <w:tr2bl w:val="nil"/>
            </w:tcBorders>
            <w:noWrap w:val="0"/>
            <w:vAlign w:val="center"/>
          </w:tcPr>
          <w:p w14:paraId="59AA3CD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pacing w:val="-2"/>
                <w:sz w:val="21"/>
                <w:szCs w:val="21"/>
                <w:u w:val="none" w:color="auto"/>
              </w:rPr>
            </w:pPr>
            <w:r>
              <w:rPr>
                <w:rFonts w:hint="default" w:ascii="Times New Roman" w:hAnsi="Times New Roman" w:eastAsia="宋体" w:cs="Times New Roman"/>
                <w:b/>
                <w:color w:val="auto"/>
                <w:spacing w:val="-2"/>
                <w:sz w:val="21"/>
                <w:szCs w:val="21"/>
                <w:u w:val="none" w:color="auto"/>
              </w:rPr>
              <w:t>注：</w:t>
            </w:r>
            <w:r>
              <w:rPr>
                <w:rFonts w:hint="default" w:ascii="Times New Roman" w:hAnsi="Times New Roman" w:eastAsia="宋体" w:cs="Times New Roman"/>
                <w:color w:val="auto"/>
                <w:spacing w:val="-2"/>
                <w:sz w:val="21"/>
                <w:szCs w:val="21"/>
                <w:u w:val="none" w:color="auto"/>
              </w:rPr>
              <w:t>Soc极多；Cop(Cop</w:t>
            </w:r>
            <w:r>
              <w:rPr>
                <w:rFonts w:hint="default" w:ascii="Times New Roman" w:hAnsi="Times New Roman" w:eastAsia="宋体" w:cs="Times New Roman"/>
                <w:color w:val="auto"/>
                <w:spacing w:val="-2"/>
                <w:sz w:val="21"/>
                <w:szCs w:val="21"/>
                <w:u w:val="none" w:color="auto"/>
                <w:vertAlign w:val="superscript"/>
              </w:rPr>
              <w:t>3</w:t>
            </w:r>
            <w:r>
              <w:rPr>
                <w:rFonts w:hint="default" w:ascii="Times New Roman" w:hAnsi="Times New Roman" w:eastAsia="宋体" w:cs="Times New Roman"/>
                <w:color w:val="auto"/>
                <w:spacing w:val="-2"/>
                <w:sz w:val="21"/>
                <w:szCs w:val="21"/>
                <w:u w:val="none" w:color="auto"/>
              </w:rPr>
              <w:t>很多、Cop</w:t>
            </w:r>
            <w:r>
              <w:rPr>
                <w:rFonts w:hint="default" w:ascii="Times New Roman" w:hAnsi="Times New Roman" w:eastAsia="宋体" w:cs="Times New Roman"/>
                <w:color w:val="auto"/>
                <w:spacing w:val="-2"/>
                <w:sz w:val="21"/>
                <w:szCs w:val="21"/>
                <w:u w:val="none" w:color="auto"/>
                <w:vertAlign w:val="superscript"/>
              </w:rPr>
              <w:t>2</w:t>
            </w:r>
            <w:r>
              <w:rPr>
                <w:rFonts w:hint="default" w:ascii="Times New Roman" w:hAnsi="Times New Roman" w:eastAsia="宋体" w:cs="Times New Roman"/>
                <w:color w:val="auto"/>
                <w:spacing w:val="-2"/>
                <w:sz w:val="21"/>
                <w:szCs w:val="21"/>
                <w:u w:val="none" w:color="auto"/>
              </w:rPr>
              <w:t>多、Cop</w:t>
            </w:r>
            <w:r>
              <w:rPr>
                <w:rFonts w:hint="default" w:ascii="Times New Roman" w:hAnsi="Times New Roman" w:eastAsia="宋体" w:cs="Times New Roman"/>
                <w:color w:val="auto"/>
                <w:spacing w:val="-2"/>
                <w:sz w:val="21"/>
                <w:szCs w:val="21"/>
                <w:u w:val="none" w:color="auto"/>
                <w:vertAlign w:val="superscript"/>
              </w:rPr>
              <w:t>1</w:t>
            </w:r>
            <w:r>
              <w:rPr>
                <w:rFonts w:hint="default" w:ascii="Times New Roman" w:hAnsi="Times New Roman" w:eastAsia="宋体" w:cs="Times New Roman"/>
                <w:color w:val="auto"/>
                <w:spacing w:val="-2"/>
                <w:sz w:val="21"/>
                <w:szCs w:val="21"/>
                <w:u w:val="none" w:color="auto"/>
              </w:rPr>
              <w:t>尚多)；SP少；Sol稀少；Un个别</w:t>
            </w:r>
          </w:p>
        </w:tc>
      </w:tr>
    </w:tbl>
    <w:p w14:paraId="3889814D">
      <w:pPr>
        <w:pStyle w:val="65"/>
        <w:pageBreakBefore w:val="0"/>
        <w:kinsoku/>
        <w:wordWrap/>
        <w:overflowPunct/>
        <w:topLinePunct w:val="0"/>
        <w:bidi w:val="0"/>
        <w:spacing w:line="360" w:lineRule="auto"/>
        <w:ind w:firstLine="482"/>
        <w:rPr>
          <w:rFonts w:hint="default" w:ascii="Times New Roman" w:hAnsi="Times New Roman" w:eastAsia="宋体" w:cs="Times New Roman"/>
          <w:b w:val="0"/>
          <w:bCs/>
          <w:color w:val="auto"/>
          <w:sz w:val="24"/>
          <w:szCs w:val="24"/>
          <w:u w:val="none" w:color="auto"/>
        </w:rPr>
      </w:pPr>
      <w:r>
        <w:rPr>
          <w:rFonts w:hint="default" w:ascii="Times New Roman" w:hAnsi="Times New Roman" w:eastAsia="宋体" w:cs="Times New Roman"/>
          <w:b w:val="0"/>
          <w:bCs/>
          <w:color w:val="auto"/>
          <w:sz w:val="24"/>
          <w:szCs w:val="24"/>
          <w:u w:val="none" w:color="auto"/>
        </w:rPr>
        <w:t>②青葙草丛</w:t>
      </w:r>
    </w:p>
    <w:p w14:paraId="26D53215">
      <w:pPr>
        <w:pStyle w:val="26"/>
        <w:pageBreakBefore w:val="0"/>
        <w:kinsoku/>
        <w:wordWrap/>
        <w:overflowPunct/>
        <w:topLinePunct w:val="0"/>
        <w:bidi w:val="0"/>
        <w:spacing w:before="0" w:beforeAutospacing="0" w:after="0" w:afterAutospacing="0" w:line="360" w:lineRule="auto"/>
        <w:ind w:firstLine="42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青葙（</w:t>
      </w:r>
      <w:r>
        <w:rPr>
          <w:rFonts w:hint="default" w:ascii="Times New Roman" w:hAnsi="Times New Roman" w:eastAsia="宋体" w:cs="Times New Roman"/>
          <w:i/>
          <w:iCs/>
          <w:color w:val="auto"/>
          <w:sz w:val="24"/>
          <w:szCs w:val="24"/>
          <w:u w:val="none" w:color="auto"/>
        </w:rPr>
        <w:t>Celosia argentea</w:t>
      </w:r>
      <w:r>
        <w:rPr>
          <w:rFonts w:hint="default" w:ascii="Times New Roman" w:hAnsi="Times New Roman" w:eastAsia="宋体" w:cs="Times New Roman"/>
          <w:color w:val="auto"/>
          <w:sz w:val="24"/>
          <w:szCs w:val="24"/>
          <w:u w:val="none" w:color="auto"/>
        </w:rPr>
        <w:t>）草丛主要分布在区域道路两边，该群落中青葙（</w:t>
      </w:r>
      <w:r>
        <w:rPr>
          <w:rFonts w:hint="default" w:ascii="Times New Roman" w:hAnsi="Times New Roman" w:eastAsia="宋体" w:cs="Times New Roman"/>
          <w:i/>
          <w:iCs/>
          <w:color w:val="auto"/>
          <w:sz w:val="24"/>
          <w:szCs w:val="24"/>
          <w:u w:val="none" w:color="auto"/>
        </w:rPr>
        <w:t>Celosia argentea</w:t>
      </w:r>
      <w:r>
        <w:rPr>
          <w:rFonts w:hint="default" w:ascii="Times New Roman" w:hAnsi="Times New Roman" w:eastAsia="宋体" w:cs="Times New Roman"/>
          <w:color w:val="auto"/>
          <w:sz w:val="24"/>
          <w:szCs w:val="24"/>
          <w:u w:val="none" w:color="auto"/>
        </w:rPr>
        <w:t>）为优势种，同时还分布有白茅（</w:t>
      </w:r>
      <w:r>
        <w:rPr>
          <w:rFonts w:hint="default" w:ascii="Times New Roman" w:hAnsi="Times New Roman" w:eastAsia="宋体" w:cs="Times New Roman"/>
          <w:i/>
          <w:iCs/>
          <w:color w:val="auto"/>
          <w:sz w:val="24"/>
          <w:szCs w:val="24"/>
          <w:u w:val="none" w:color="auto"/>
        </w:rPr>
        <w:t>Imperata cylindrica</w:t>
      </w:r>
      <w:r>
        <w:rPr>
          <w:rFonts w:hint="default" w:ascii="Times New Roman" w:hAnsi="Times New Roman" w:eastAsia="宋体" w:cs="Times New Roman"/>
          <w:color w:val="auto"/>
          <w:sz w:val="24"/>
          <w:szCs w:val="24"/>
          <w:u w:val="none" w:color="auto"/>
        </w:rPr>
        <w:t>）、狗尾草（</w:t>
      </w:r>
      <w:r>
        <w:rPr>
          <w:rFonts w:hint="default" w:ascii="Times New Roman" w:hAnsi="Times New Roman" w:eastAsia="宋体" w:cs="Times New Roman"/>
          <w:i/>
          <w:iCs/>
          <w:color w:val="auto"/>
          <w:sz w:val="24"/>
          <w:szCs w:val="24"/>
          <w:u w:val="none" w:color="auto"/>
        </w:rPr>
        <w:t>Setaria viridis</w:t>
      </w:r>
      <w:r>
        <w:rPr>
          <w:rFonts w:hint="default" w:ascii="Times New Roman" w:hAnsi="Times New Roman" w:eastAsia="宋体" w:cs="Times New Roman"/>
          <w:color w:val="auto"/>
          <w:sz w:val="24"/>
          <w:szCs w:val="24"/>
          <w:u w:val="none" w:color="auto"/>
        </w:rPr>
        <w:t>）、一年蓬（</w:t>
      </w:r>
      <w:r>
        <w:rPr>
          <w:rFonts w:hint="default" w:ascii="Times New Roman" w:hAnsi="Times New Roman" w:eastAsia="宋体" w:cs="Times New Roman"/>
          <w:i/>
          <w:iCs/>
          <w:color w:val="auto"/>
          <w:sz w:val="24"/>
          <w:szCs w:val="24"/>
          <w:u w:val="none" w:color="auto"/>
        </w:rPr>
        <w:t>Erigeron annuus</w:t>
      </w:r>
      <w:r>
        <w:rPr>
          <w:rFonts w:hint="default" w:ascii="Times New Roman" w:hAnsi="Times New Roman" w:eastAsia="宋体" w:cs="Times New Roman"/>
          <w:color w:val="auto"/>
          <w:sz w:val="24"/>
          <w:szCs w:val="24"/>
          <w:u w:val="none" w:color="auto"/>
        </w:rPr>
        <w:t>）、一支黄花（</w:t>
      </w:r>
      <w:r>
        <w:rPr>
          <w:rFonts w:hint="default" w:ascii="Times New Roman" w:hAnsi="Times New Roman" w:eastAsia="宋体" w:cs="Times New Roman"/>
          <w:i/>
          <w:iCs/>
          <w:color w:val="auto"/>
          <w:sz w:val="24"/>
          <w:szCs w:val="24"/>
          <w:u w:val="none" w:color="auto"/>
        </w:rPr>
        <w:t>Solidago virgaurea var. Coreana</w:t>
      </w:r>
      <w:r>
        <w:rPr>
          <w:rFonts w:hint="default" w:ascii="Times New Roman" w:hAnsi="Times New Roman" w:eastAsia="宋体" w:cs="Times New Roman"/>
          <w:color w:val="auto"/>
          <w:sz w:val="24"/>
          <w:szCs w:val="24"/>
          <w:u w:val="none" w:color="auto"/>
        </w:rPr>
        <w:t>）、葎草（</w:t>
      </w:r>
      <w:r>
        <w:rPr>
          <w:rFonts w:hint="default" w:ascii="Times New Roman" w:hAnsi="Times New Roman" w:eastAsia="宋体" w:cs="Times New Roman"/>
          <w:i/>
          <w:iCs/>
          <w:color w:val="auto"/>
          <w:sz w:val="24"/>
          <w:szCs w:val="24"/>
          <w:u w:val="none" w:color="auto"/>
        </w:rPr>
        <w:t>Humulus scandens</w:t>
      </w:r>
      <w:r>
        <w:rPr>
          <w:rFonts w:hint="default" w:ascii="Times New Roman" w:hAnsi="Times New Roman" w:eastAsia="宋体" w:cs="Times New Roman"/>
          <w:color w:val="auto"/>
          <w:sz w:val="24"/>
          <w:szCs w:val="24"/>
          <w:u w:val="none" w:color="auto"/>
        </w:rPr>
        <w:t>）、狗尾草（</w:t>
      </w:r>
      <w:r>
        <w:rPr>
          <w:rFonts w:hint="default" w:ascii="Times New Roman" w:hAnsi="Times New Roman" w:eastAsia="宋体" w:cs="Times New Roman"/>
          <w:i/>
          <w:iCs/>
          <w:color w:val="auto"/>
          <w:sz w:val="24"/>
          <w:szCs w:val="24"/>
          <w:u w:val="none" w:color="auto"/>
        </w:rPr>
        <w:t>Setaria viridis</w:t>
      </w:r>
      <w:r>
        <w:rPr>
          <w:rFonts w:hint="default" w:ascii="Times New Roman" w:hAnsi="Times New Roman" w:eastAsia="宋体" w:cs="Times New Roman"/>
          <w:color w:val="auto"/>
          <w:sz w:val="24"/>
          <w:szCs w:val="24"/>
          <w:u w:val="none" w:color="auto"/>
        </w:rPr>
        <w:t>）、野葛（</w:t>
      </w:r>
      <w:r>
        <w:rPr>
          <w:rFonts w:hint="default" w:ascii="Times New Roman" w:hAnsi="Times New Roman" w:eastAsia="宋体" w:cs="Times New Roman"/>
          <w:i/>
          <w:iCs/>
          <w:color w:val="auto"/>
          <w:sz w:val="24"/>
          <w:szCs w:val="24"/>
          <w:u w:val="none" w:color="auto"/>
        </w:rPr>
        <w:t>Pueraria montana</w:t>
      </w:r>
      <w:r>
        <w:rPr>
          <w:rFonts w:hint="default" w:ascii="Times New Roman" w:hAnsi="Times New Roman" w:eastAsia="宋体" w:cs="Times New Roman"/>
          <w:color w:val="auto"/>
          <w:sz w:val="24"/>
          <w:szCs w:val="24"/>
          <w:u w:val="none" w:color="auto"/>
        </w:rPr>
        <w:t>）等其它草本植物。</w:t>
      </w:r>
    </w:p>
    <w:p w14:paraId="24B227E6">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表4.5-1</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青葙草丛样方表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1"/>
        <w:gridCol w:w="1317"/>
        <w:gridCol w:w="727"/>
        <w:gridCol w:w="1070"/>
        <w:gridCol w:w="81"/>
        <w:gridCol w:w="855"/>
        <w:gridCol w:w="349"/>
        <w:gridCol w:w="710"/>
        <w:gridCol w:w="552"/>
        <w:gridCol w:w="69"/>
        <w:gridCol w:w="712"/>
        <w:gridCol w:w="717"/>
      </w:tblGrid>
      <w:tr w14:paraId="4861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tcBorders>
              <w:tl2br w:val="nil"/>
              <w:tr2bl w:val="nil"/>
            </w:tcBorders>
            <w:noWrap w:val="0"/>
            <w:vAlign w:val="center"/>
          </w:tcPr>
          <w:p w14:paraId="269676E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编号</w:t>
            </w:r>
          </w:p>
        </w:tc>
        <w:tc>
          <w:tcPr>
            <w:tcW w:w="801" w:type="pct"/>
            <w:tcBorders>
              <w:tl2br w:val="nil"/>
              <w:tr2bl w:val="nil"/>
            </w:tcBorders>
            <w:noWrap w:val="0"/>
            <w:vAlign w:val="center"/>
          </w:tcPr>
          <w:p w14:paraId="75A2F89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lang w:eastAsia="zh-CN"/>
              </w:rPr>
            </w:pPr>
            <w:r>
              <w:rPr>
                <w:rFonts w:hint="default" w:ascii="Times New Roman" w:hAnsi="Times New Roman" w:eastAsia="宋体" w:cs="Times New Roman"/>
                <w:color w:val="auto"/>
                <w:spacing w:val="-2"/>
                <w:sz w:val="21"/>
                <w:szCs w:val="21"/>
                <w:u w:val="none" w:color="auto"/>
                <w:lang w:val="en-US" w:eastAsia="zh-CN"/>
              </w:rPr>
              <w:t>样方2</w:t>
            </w:r>
          </w:p>
        </w:tc>
        <w:tc>
          <w:tcPr>
            <w:tcW w:w="3551" w:type="pct"/>
            <w:gridSpan w:val="10"/>
            <w:tcBorders>
              <w:tl2br w:val="nil"/>
              <w:tr2bl w:val="nil"/>
            </w:tcBorders>
            <w:noWrap w:val="0"/>
            <w:vAlign w:val="center"/>
          </w:tcPr>
          <w:p w14:paraId="262E7C0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环境特征</w:t>
            </w:r>
          </w:p>
        </w:tc>
      </w:tr>
      <w:tr w14:paraId="4B3D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tcBorders>
              <w:tl2br w:val="nil"/>
              <w:tr2bl w:val="nil"/>
            </w:tcBorders>
            <w:noWrap w:val="0"/>
            <w:vAlign w:val="center"/>
          </w:tcPr>
          <w:p w14:paraId="52051E1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地点</w:t>
            </w:r>
          </w:p>
        </w:tc>
        <w:tc>
          <w:tcPr>
            <w:tcW w:w="801" w:type="pct"/>
            <w:tcBorders>
              <w:tl2br w:val="nil"/>
              <w:tr2bl w:val="nil"/>
            </w:tcBorders>
            <w:noWrap w:val="0"/>
            <w:vAlign w:val="center"/>
          </w:tcPr>
          <w:p w14:paraId="405F980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项目东侧800m路边</w:t>
            </w:r>
          </w:p>
        </w:tc>
        <w:tc>
          <w:tcPr>
            <w:tcW w:w="442" w:type="pct"/>
            <w:tcBorders>
              <w:tl2br w:val="nil"/>
              <w:tr2bl w:val="nil"/>
            </w:tcBorders>
            <w:noWrap w:val="0"/>
            <w:vAlign w:val="center"/>
          </w:tcPr>
          <w:p w14:paraId="67DAEEA3">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地形</w:t>
            </w:r>
          </w:p>
        </w:tc>
        <w:tc>
          <w:tcPr>
            <w:tcW w:w="651" w:type="pct"/>
            <w:tcBorders>
              <w:tl2br w:val="nil"/>
              <w:tr2bl w:val="nil"/>
            </w:tcBorders>
            <w:noWrap w:val="0"/>
            <w:vAlign w:val="center"/>
          </w:tcPr>
          <w:p w14:paraId="4BAB8BF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样方面积</w:t>
            </w:r>
          </w:p>
        </w:tc>
        <w:tc>
          <w:tcPr>
            <w:tcW w:w="569" w:type="pct"/>
            <w:gridSpan w:val="2"/>
            <w:tcBorders>
              <w:tl2br w:val="nil"/>
              <w:tr2bl w:val="nil"/>
            </w:tcBorders>
            <w:noWrap w:val="0"/>
            <w:vAlign w:val="center"/>
          </w:tcPr>
          <w:p w14:paraId="3FD6888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海拔高度</w:t>
            </w:r>
          </w:p>
        </w:tc>
        <w:tc>
          <w:tcPr>
            <w:tcW w:w="980" w:type="pct"/>
            <w:gridSpan w:val="3"/>
            <w:tcBorders>
              <w:tl2br w:val="nil"/>
              <w:tr2bl w:val="nil"/>
            </w:tcBorders>
            <w:noWrap w:val="0"/>
            <w:vAlign w:val="center"/>
          </w:tcPr>
          <w:p w14:paraId="5E67DBF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经度</w:t>
            </w:r>
          </w:p>
        </w:tc>
        <w:tc>
          <w:tcPr>
            <w:tcW w:w="906" w:type="pct"/>
            <w:gridSpan w:val="3"/>
            <w:tcBorders>
              <w:tl2br w:val="nil"/>
              <w:tr2bl w:val="nil"/>
            </w:tcBorders>
            <w:noWrap w:val="0"/>
            <w:vAlign w:val="center"/>
          </w:tcPr>
          <w:p w14:paraId="5AF3B1A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纬度</w:t>
            </w:r>
          </w:p>
        </w:tc>
      </w:tr>
      <w:tr w14:paraId="3CCD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tcBorders>
              <w:tl2br w:val="nil"/>
              <w:tr2bl w:val="nil"/>
            </w:tcBorders>
            <w:noWrap w:val="0"/>
            <w:vAlign w:val="center"/>
          </w:tcPr>
          <w:p w14:paraId="373ABBF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群落类型</w:t>
            </w:r>
          </w:p>
        </w:tc>
        <w:tc>
          <w:tcPr>
            <w:tcW w:w="801" w:type="pct"/>
            <w:tcBorders>
              <w:tl2br w:val="nil"/>
              <w:tr2bl w:val="nil"/>
            </w:tcBorders>
            <w:noWrap w:val="0"/>
            <w:vAlign w:val="center"/>
          </w:tcPr>
          <w:p w14:paraId="0C6B8CD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青葙草丛</w:t>
            </w:r>
          </w:p>
        </w:tc>
        <w:tc>
          <w:tcPr>
            <w:tcW w:w="442" w:type="pct"/>
            <w:tcBorders>
              <w:tl2br w:val="nil"/>
              <w:tr2bl w:val="nil"/>
            </w:tcBorders>
            <w:noWrap w:val="0"/>
            <w:vAlign w:val="center"/>
          </w:tcPr>
          <w:p w14:paraId="6C04EDA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平原</w:t>
            </w:r>
          </w:p>
        </w:tc>
        <w:tc>
          <w:tcPr>
            <w:tcW w:w="651" w:type="pct"/>
            <w:tcBorders>
              <w:tl2br w:val="nil"/>
              <w:tr2bl w:val="nil"/>
            </w:tcBorders>
            <w:noWrap w:val="0"/>
            <w:vAlign w:val="center"/>
          </w:tcPr>
          <w:p w14:paraId="2BFD09E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1m×1m</w:t>
            </w:r>
          </w:p>
        </w:tc>
        <w:tc>
          <w:tcPr>
            <w:tcW w:w="569" w:type="pct"/>
            <w:gridSpan w:val="2"/>
            <w:tcBorders>
              <w:tl2br w:val="nil"/>
              <w:tr2bl w:val="nil"/>
            </w:tcBorders>
            <w:noWrap w:val="0"/>
            <w:vAlign w:val="center"/>
          </w:tcPr>
          <w:p w14:paraId="404FDF9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27m</w:t>
            </w:r>
          </w:p>
        </w:tc>
        <w:tc>
          <w:tcPr>
            <w:tcW w:w="980" w:type="pct"/>
            <w:gridSpan w:val="3"/>
            <w:tcBorders>
              <w:tl2br w:val="nil"/>
              <w:tr2bl w:val="nil"/>
            </w:tcBorders>
            <w:noWrap w:val="0"/>
            <w:vAlign w:val="center"/>
          </w:tcPr>
          <w:p w14:paraId="12C535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sz w:val="21"/>
                <w:szCs w:val="21"/>
                <w:u w:val="none" w:color="auto"/>
              </w:rPr>
              <w:t>113.006419</w:t>
            </w:r>
          </w:p>
        </w:tc>
        <w:tc>
          <w:tcPr>
            <w:tcW w:w="906" w:type="pct"/>
            <w:gridSpan w:val="3"/>
            <w:tcBorders>
              <w:tl2br w:val="nil"/>
              <w:tr2bl w:val="nil"/>
            </w:tcBorders>
            <w:noWrap w:val="0"/>
            <w:vAlign w:val="center"/>
          </w:tcPr>
          <w:p w14:paraId="3F5159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sz w:val="21"/>
                <w:szCs w:val="21"/>
                <w:u w:val="none" w:color="auto"/>
              </w:rPr>
              <w:t>29.155346</w:t>
            </w:r>
          </w:p>
        </w:tc>
      </w:tr>
      <w:tr w14:paraId="7FD1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tcBorders>
              <w:tl2br w:val="nil"/>
              <w:tr2bl w:val="nil"/>
            </w:tcBorders>
            <w:noWrap w:val="0"/>
            <w:vAlign w:val="center"/>
          </w:tcPr>
          <w:p w14:paraId="1C976A4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样方周边环境现状</w:t>
            </w:r>
          </w:p>
        </w:tc>
        <w:tc>
          <w:tcPr>
            <w:tcW w:w="4353" w:type="pct"/>
            <w:gridSpan w:val="11"/>
            <w:tcBorders>
              <w:tl2br w:val="nil"/>
              <w:tr2bl w:val="nil"/>
            </w:tcBorders>
            <w:noWrap w:val="0"/>
            <w:vAlign w:val="center"/>
          </w:tcPr>
          <w:p w14:paraId="79DB86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周边主要为道路、池塘</w:t>
            </w:r>
          </w:p>
        </w:tc>
      </w:tr>
      <w:tr w14:paraId="29A2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restart"/>
            <w:tcBorders>
              <w:tl2br w:val="nil"/>
              <w:tr2bl w:val="nil"/>
            </w:tcBorders>
            <w:noWrap w:val="0"/>
            <w:vAlign w:val="center"/>
          </w:tcPr>
          <w:p w14:paraId="4686182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群落层次</w:t>
            </w:r>
          </w:p>
        </w:tc>
        <w:tc>
          <w:tcPr>
            <w:tcW w:w="4353" w:type="pct"/>
            <w:gridSpan w:val="11"/>
            <w:tcBorders>
              <w:tl2br w:val="nil"/>
              <w:tr2bl w:val="nil"/>
            </w:tcBorders>
            <w:noWrap w:val="0"/>
            <w:vAlign w:val="center"/>
          </w:tcPr>
          <w:p w14:paraId="16D1C12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一层</w:t>
            </w:r>
          </w:p>
        </w:tc>
      </w:tr>
      <w:tr w14:paraId="6369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6CA008D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4353" w:type="pct"/>
            <w:gridSpan w:val="11"/>
            <w:tcBorders>
              <w:tl2br w:val="nil"/>
              <w:tr2bl w:val="nil"/>
            </w:tcBorders>
            <w:noWrap w:val="0"/>
            <w:vAlign w:val="center"/>
          </w:tcPr>
          <w:p w14:paraId="39DE40B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种类组成及生长状况</w:t>
            </w:r>
          </w:p>
        </w:tc>
      </w:tr>
      <w:tr w14:paraId="7011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3412D5B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174A700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732" w:type="pct"/>
            <w:gridSpan w:val="2"/>
            <w:tcBorders>
              <w:tl2br w:val="nil"/>
              <w:tr2bl w:val="nil"/>
            </w:tcBorders>
            <w:noWrap w:val="0"/>
            <w:vAlign w:val="center"/>
          </w:tcPr>
          <w:p w14:paraId="56B26D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432" w:type="pct"/>
            <w:tcBorders>
              <w:tl2br w:val="nil"/>
              <w:tr2bl w:val="nil"/>
            </w:tcBorders>
            <w:noWrap w:val="0"/>
            <w:vAlign w:val="center"/>
          </w:tcPr>
          <w:p w14:paraId="205BDA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378" w:type="pct"/>
            <w:gridSpan w:val="2"/>
            <w:tcBorders>
              <w:tl2br w:val="nil"/>
              <w:tr2bl w:val="nil"/>
            </w:tcBorders>
            <w:noWrap w:val="0"/>
            <w:vAlign w:val="center"/>
          </w:tcPr>
          <w:p w14:paraId="0F7F7C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433" w:type="pct"/>
            <w:tcBorders>
              <w:tl2br w:val="nil"/>
              <w:tr2bl w:val="nil"/>
            </w:tcBorders>
            <w:noWrap w:val="0"/>
            <w:vAlign w:val="center"/>
          </w:tcPr>
          <w:p w14:paraId="27A3116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平均高度cm</w:t>
            </w:r>
          </w:p>
        </w:tc>
        <w:tc>
          <w:tcPr>
            <w:tcW w:w="432" w:type="pct"/>
            <w:tcBorders>
              <w:tl2br w:val="nil"/>
              <w:tr2bl w:val="nil"/>
            </w:tcBorders>
            <w:noWrap w:val="0"/>
            <w:vAlign w:val="center"/>
          </w:tcPr>
          <w:p w14:paraId="52B4564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0600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restart"/>
            <w:tcBorders>
              <w:tl2br w:val="nil"/>
              <w:tr2bl w:val="nil"/>
            </w:tcBorders>
            <w:noWrap w:val="0"/>
            <w:vAlign w:val="center"/>
          </w:tcPr>
          <w:p w14:paraId="148BA28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草本层</w:t>
            </w:r>
          </w:p>
        </w:tc>
        <w:tc>
          <w:tcPr>
            <w:tcW w:w="1943" w:type="pct"/>
            <w:gridSpan w:val="4"/>
            <w:tcBorders>
              <w:tl2br w:val="nil"/>
              <w:tr2bl w:val="nil"/>
            </w:tcBorders>
            <w:noWrap w:val="0"/>
            <w:vAlign w:val="center"/>
          </w:tcPr>
          <w:p w14:paraId="09290B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青葙（Celosia argentea）</w:t>
            </w:r>
          </w:p>
        </w:tc>
        <w:tc>
          <w:tcPr>
            <w:tcW w:w="732" w:type="pct"/>
            <w:gridSpan w:val="2"/>
            <w:tcBorders>
              <w:tl2br w:val="nil"/>
              <w:tr2bl w:val="nil"/>
            </w:tcBorders>
            <w:noWrap w:val="0"/>
            <w:vAlign w:val="center"/>
          </w:tcPr>
          <w:p w14:paraId="76AE56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432" w:type="pct"/>
            <w:tcBorders>
              <w:tl2br w:val="nil"/>
              <w:tr2bl w:val="nil"/>
            </w:tcBorders>
            <w:noWrap w:val="0"/>
            <w:vAlign w:val="center"/>
          </w:tcPr>
          <w:p w14:paraId="4A66C7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42</w:t>
            </w:r>
          </w:p>
        </w:tc>
        <w:tc>
          <w:tcPr>
            <w:tcW w:w="378" w:type="pct"/>
            <w:gridSpan w:val="2"/>
            <w:tcBorders>
              <w:tl2br w:val="nil"/>
              <w:tr2bl w:val="nil"/>
            </w:tcBorders>
            <w:noWrap w:val="0"/>
            <w:vAlign w:val="center"/>
          </w:tcPr>
          <w:p w14:paraId="31308D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433" w:type="pct"/>
            <w:tcBorders>
              <w:tl2br w:val="nil"/>
              <w:tr2bl w:val="nil"/>
            </w:tcBorders>
            <w:noWrap w:val="0"/>
            <w:vAlign w:val="center"/>
          </w:tcPr>
          <w:p w14:paraId="505CA0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45</w:t>
            </w:r>
          </w:p>
        </w:tc>
        <w:tc>
          <w:tcPr>
            <w:tcW w:w="432" w:type="pct"/>
            <w:tcBorders>
              <w:tl2br w:val="nil"/>
              <w:tr2bl w:val="nil"/>
            </w:tcBorders>
            <w:noWrap w:val="0"/>
            <w:vAlign w:val="center"/>
          </w:tcPr>
          <w:p w14:paraId="1AE5A7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35</w:t>
            </w:r>
          </w:p>
        </w:tc>
      </w:tr>
      <w:tr w14:paraId="4940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7B1BA10E">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7AF7A7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color w:val="auto"/>
                <w:sz w:val="21"/>
                <w:szCs w:val="21"/>
                <w:u w:val="none" w:color="auto"/>
              </w:rPr>
              <w:t xml:space="preserve">白茅 </w:t>
            </w:r>
            <w:r>
              <w:rPr>
                <w:rFonts w:hint="default" w:ascii="Times New Roman" w:hAnsi="Times New Roman" w:eastAsia="宋体" w:cs="Times New Roman"/>
                <w:i/>
                <w:color w:val="auto"/>
                <w:sz w:val="21"/>
                <w:szCs w:val="21"/>
                <w:u w:val="none" w:color="auto"/>
              </w:rPr>
              <w:t>Imperata cylindrica</w:t>
            </w:r>
          </w:p>
        </w:tc>
        <w:tc>
          <w:tcPr>
            <w:tcW w:w="732" w:type="pct"/>
            <w:gridSpan w:val="2"/>
            <w:tcBorders>
              <w:tl2br w:val="nil"/>
              <w:tr2bl w:val="nil"/>
            </w:tcBorders>
            <w:noWrap w:val="0"/>
            <w:vAlign w:val="center"/>
          </w:tcPr>
          <w:p w14:paraId="4DEBE9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432" w:type="pct"/>
            <w:tcBorders>
              <w:tl2br w:val="nil"/>
              <w:tr2bl w:val="nil"/>
            </w:tcBorders>
            <w:noWrap w:val="0"/>
            <w:vAlign w:val="center"/>
          </w:tcPr>
          <w:p w14:paraId="42B590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34</w:t>
            </w:r>
          </w:p>
        </w:tc>
        <w:tc>
          <w:tcPr>
            <w:tcW w:w="378" w:type="pct"/>
            <w:gridSpan w:val="2"/>
            <w:tcBorders>
              <w:tl2br w:val="nil"/>
              <w:tr2bl w:val="nil"/>
            </w:tcBorders>
            <w:noWrap w:val="0"/>
            <w:vAlign w:val="center"/>
          </w:tcPr>
          <w:p w14:paraId="21AD88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2</w:t>
            </w:r>
          </w:p>
        </w:tc>
        <w:tc>
          <w:tcPr>
            <w:tcW w:w="433" w:type="pct"/>
            <w:tcBorders>
              <w:tl2br w:val="nil"/>
              <w:tr2bl w:val="nil"/>
            </w:tcBorders>
            <w:noWrap w:val="0"/>
            <w:vAlign w:val="center"/>
          </w:tcPr>
          <w:p w14:paraId="564E8E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32" w:type="pct"/>
            <w:tcBorders>
              <w:tl2br w:val="nil"/>
              <w:tr2bl w:val="nil"/>
            </w:tcBorders>
            <w:noWrap w:val="0"/>
            <w:vAlign w:val="center"/>
          </w:tcPr>
          <w:p w14:paraId="79560E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71CA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7AF00C6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059D2A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狗尾草（</w:t>
            </w:r>
            <w:r>
              <w:rPr>
                <w:rFonts w:hint="default" w:ascii="Times New Roman" w:hAnsi="Times New Roman" w:eastAsia="宋体" w:cs="Times New Roman"/>
                <w:i/>
                <w:iCs/>
                <w:color w:val="auto"/>
                <w:sz w:val="21"/>
                <w:szCs w:val="21"/>
                <w:u w:val="none" w:color="auto"/>
              </w:rPr>
              <w:t>Setaria viridis</w:t>
            </w:r>
            <w:r>
              <w:rPr>
                <w:rFonts w:hint="default" w:ascii="Times New Roman" w:hAnsi="Times New Roman" w:eastAsia="宋体" w:cs="Times New Roman"/>
                <w:color w:val="auto"/>
                <w:sz w:val="21"/>
                <w:szCs w:val="21"/>
                <w:u w:val="none" w:color="auto"/>
              </w:rPr>
              <w:t>）</w:t>
            </w:r>
          </w:p>
        </w:tc>
        <w:tc>
          <w:tcPr>
            <w:tcW w:w="732" w:type="pct"/>
            <w:gridSpan w:val="2"/>
            <w:tcBorders>
              <w:tl2br w:val="nil"/>
              <w:tr2bl w:val="nil"/>
            </w:tcBorders>
            <w:noWrap w:val="0"/>
            <w:vAlign w:val="center"/>
          </w:tcPr>
          <w:p w14:paraId="3A8A474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432" w:type="pct"/>
            <w:tcBorders>
              <w:tl2br w:val="nil"/>
              <w:tr2bl w:val="nil"/>
            </w:tcBorders>
            <w:noWrap w:val="0"/>
            <w:vAlign w:val="center"/>
          </w:tcPr>
          <w:p w14:paraId="387004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378" w:type="pct"/>
            <w:gridSpan w:val="2"/>
            <w:tcBorders>
              <w:tl2br w:val="nil"/>
              <w:tr2bl w:val="nil"/>
            </w:tcBorders>
            <w:noWrap w:val="0"/>
            <w:vAlign w:val="center"/>
          </w:tcPr>
          <w:p w14:paraId="29BA3B8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433" w:type="pct"/>
            <w:tcBorders>
              <w:tl2br w:val="nil"/>
              <w:tr2bl w:val="nil"/>
            </w:tcBorders>
            <w:noWrap w:val="0"/>
            <w:vAlign w:val="center"/>
          </w:tcPr>
          <w:p w14:paraId="2C5BFF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180</w:t>
            </w:r>
          </w:p>
        </w:tc>
        <w:tc>
          <w:tcPr>
            <w:tcW w:w="432" w:type="pct"/>
            <w:tcBorders>
              <w:tl2br w:val="nil"/>
              <w:tr2bl w:val="nil"/>
            </w:tcBorders>
            <w:noWrap w:val="0"/>
            <w:vAlign w:val="center"/>
          </w:tcPr>
          <w:p w14:paraId="7A06A2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7FB9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6B94F89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06EEEC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一年蓬（</w:t>
            </w:r>
            <w:r>
              <w:rPr>
                <w:rFonts w:hint="default" w:ascii="Times New Roman" w:hAnsi="Times New Roman" w:eastAsia="宋体" w:cs="Times New Roman"/>
                <w:i/>
                <w:iCs/>
                <w:color w:val="auto"/>
                <w:sz w:val="21"/>
                <w:szCs w:val="21"/>
                <w:u w:val="none" w:color="auto"/>
              </w:rPr>
              <w:t>Erigeron annuus</w:t>
            </w:r>
            <w:r>
              <w:rPr>
                <w:rFonts w:hint="default" w:ascii="Times New Roman" w:hAnsi="Times New Roman" w:eastAsia="宋体" w:cs="Times New Roman"/>
                <w:color w:val="auto"/>
                <w:sz w:val="21"/>
                <w:szCs w:val="21"/>
                <w:u w:val="none" w:color="auto"/>
              </w:rPr>
              <w:t>）</w:t>
            </w:r>
          </w:p>
        </w:tc>
        <w:tc>
          <w:tcPr>
            <w:tcW w:w="732" w:type="pct"/>
            <w:gridSpan w:val="2"/>
            <w:tcBorders>
              <w:tl2br w:val="nil"/>
              <w:tr2bl w:val="nil"/>
            </w:tcBorders>
            <w:noWrap w:val="0"/>
            <w:vAlign w:val="center"/>
          </w:tcPr>
          <w:p w14:paraId="15DEAD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432" w:type="pct"/>
            <w:tcBorders>
              <w:tl2br w:val="nil"/>
              <w:tr2bl w:val="nil"/>
            </w:tcBorders>
            <w:noWrap w:val="0"/>
            <w:vAlign w:val="center"/>
          </w:tcPr>
          <w:p w14:paraId="4647B6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23</w:t>
            </w:r>
          </w:p>
        </w:tc>
        <w:tc>
          <w:tcPr>
            <w:tcW w:w="378" w:type="pct"/>
            <w:gridSpan w:val="2"/>
            <w:tcBorders>
              <w:tl2br w:val="nil"/>
              <w:tr2bl w:val="nil"/>
            </w:tcBorders>
            <w:noWrap w:val="0"/>
            <w:vAlign w:val="center"/>
          </w:tcPr>
          <w:p w14:paraId="5AAD37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433" w:type="pct"/>
            <w:tcBorders>
              <w:tl2br w:val="nil"/>
              <w:tr2bl w:val="nil"/>
            </w:tcBorders>
            <w:noWrap w:val="0"/>
            <w:vAlign w:val="center"/>
          </w:tcPr>
          <w:p w14:paraId="49AE84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32" w:type="pct"/>
            <w:tcBorders>
              <w:tl2br w:val="nil"/>
              <w:tr2bl w:val="nil"/>
            </w:tcBorders>
            <w:noWrap w:val="0"/>
            <w:vAlign w:val="center"/>
          </w:tcPr>
          <w:p w14:paraId="660A03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1BD4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49621FB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1F9434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葎草（</w:t>
            </w:r>
            <w:r>
              <w:rPr>
                <w:rFonts w:hint="default" w:ascii="Times New Roman" w:hAnsi="Times New Roman" w:eastAsia="宋体" w:cs="Times New Roman"/>
                <w:i/>
                <w:iCs/>
                <w:color w:val="auto"/>
                <w:sz w:val="21"/>
                <w:szCs w:val="21"/>
                <w:u w:val="none" w:color="auto"/>
              </w:rPr>
              <w:t>Humulus scandens</w:t>
            </w:r>
            <w:r>
              <w:rPr>
                <w:rFonts w:hint="default" w:ascii="Times New Roman" w:hAnsi="Times New Roman" w:eastAsia="宋体" w:cs="Times New Roman"/>
                <w:color w:val="auto"/>
                <w:sz w:val="21"/>
                <w:szCs w:val="21"/>
                <w:u w:val="none" w:color="auto"/>
              </w:rPr>
              <w:t>）</w:t>
            </w:r>
          </w:p>
        </w:tc>
        <w:tc>
          <w:tcPr>
            <w:tcW w:w="732" w:type="pct"/>
            <w:gridSpan w:val="2"/>
            <w:tcBorders>
              <w:tl2br w:val="nil"/>
              <w:tr2bl w:val="nil"/>
            </w:tcBorders>
            <w:noWrap w:val="0"/>
            <w:vAlign w:val="center"/>
          </w:tcPr>
          <w:p w14:paraId="7CAF2E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432" w:type="pct"/>
            <w:tcBorders>
              <w:tl2br w:val="nil"/>
              <w:tr2bl w:val="nil"/>
            </w:tcBorders>
            <w:noWrap w:val="0"/>
            <w:vAlign w:val="center"/>
          </w:tcPr>
          <w:p w14:paraId="4C6D5F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378" w:type="pct"/>
            <w:gridSpan w:val="2"/>
            <w:tcBorders>
              <w:tl2br w:val="nil"/>
              <w:tr2bl w:val="nil"/>
            </w:tcBorders>
            <w:noWrap w:val="0"/>
            <w:vAlign w:val="center"/>
          </w:tcPr>
          <w:p w14:paraId="4213F87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433" w:type="pct"/>
            <w:tcBorders>
              <w:tl2br w:val="nil"/>
              <w:tr2bl w:val="nil"/>
            </w:tcBorders>
            <w:noWrap w:val="0"/>
            <w:vAlign w:val="center"/>
          </w:tcPr>
          <w:p w14:paraId="12BA3A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432" w:type="pct"/>
            <w:tcBorders>
              <w:tl2br w:val="nil"/>
              <w:tr2bl w:val="nil"/>
            </w:tcBorders>
            <w:noWrap w:val="0"/>
            <w:vAlign w:val="center"/>
          </w:tcPr>
          <w:p w14:paraId="145522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34BE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6" w:type="pct"/>
            <w:vMerge w:val="continue"/>
            <w:tcBorders>
              <w:tl2br w:val="nil"/>
              <w:tr2bl w:val="nil"/>
            </w:tcBorders>
            <w:noWrap w:val="0"/>
            <w:vAlign w:val="center"/>
          </w:tcPr>
          <w:p w14:paraId="1E5565C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3" w:type="pct"/>
            <w:gridSpan w:val="4"/>
            <w:tcBorders>
              <w:tl2br w:val="nil"/>
              <w:tr2bl w:val="nil"/>
            </w:tcBorders>
            <w:noWrap w:val="0"/>
            <w:vAlign w:val="center"/>
          </w:tcPr>
          <w:p w14:paraId="1D3354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野葛（</w:t>
            </w:r>
            <w:r>
              <w:rPr>
                <w:rFonts w:hint="default" w:ascii="Times New Roman" w:hAnsi="Times New Roman" w:eastAsia="宋体" w:cs="Times New Roman"/>
                <w:i/>
                <w:iCs/>
                <w:color w:val="auto"/>
                <w:sz w:val="21"/>
                <w:szCs w:val="21"/>
                <w:u w:val="none" w:color="auto"/>
              </w:rPr>
              <w:t>Pueraria montana var. lobata</w:t>
            </w:r>
            <w:r>
              <w:rPr>
                <w:rFonts w:hint="default" w:ascii="Times New Roman" w:hAnsi="Times New Roman" w:eastAsia="宋体" w:cs="Times New Roman"/>
                <w:color w:val="auto"/>
                <w:sz w:val="21"/>
                <w:szCs w:val="21"/>
                <w:u w:val="none" w:color="auto"/>
              </w:rPr>
              <w:t>）</w:t>
            </w:r>
          </w:p>
        </w:tc>
        <w:tc>
          <w:tcPr>
            <w:tcW w:w="732" w:type="pct"/>
            <w:gridSpan w:val="2"/>
            <w:tcBorders>
              <w:tl2br w:val="nil"/>
              <w:tr2bl w:val="nil"/>
            </w:tcBorders>
            <w:noWrap w:val="0"/>
            <w:vAlign w:val="center"/>
          </w:tcPr>
          <w:p w14:paraId="52412B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营养期</w:t>
            </w:r>
          </w:p>
        </w:tc>
        <w:tc>
          <w:tcPr>
            <w:tcW w:w="432" w:type="pct"/>
            <w:tcBorders>
              <w:tl2br w:val="nil"/>
              <w:tr2bl w:val="nil"/>
            </w:tcBorders>
            <w:noWrap w:val="0"/>
            <w:vAlign w:val="center"/>
          </w:tcPr>
          <w:p w14:paraId="05AAE7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c>
          <w:tcPr>
            <w:tcW w:w="378" w:type="pct"/>
            <w:gridSpan w:val="2"/>
            <w:tcBorders>
              <w:tl2br w:val="nil"/>
              <w:tr2bl w:val="nil"/>
            </w:tcBorders>
            <w:noWrap w:val="0"/>
            <w:vAlign w:val="center"/>
          </w:tcPr>
          <w:p w14:paraId="75AA3E2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433" w:type="pct"/>
            <w:tcBorders>
              <w:tl2br w:val="nil"/>
              <w:tr2bl w:val="nil"/>
            </w:tcBorders>
            <w:noWrap w:val="0"/>
            <w:vAlign w:val="center"/>
          </w:tcPr>
          <w:p w14:paraId="0C7260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432" w:type="pct"/>
            <w:tcBorders>
              <w:tl2br w:val="nil"/>
              <w:tr2bl w:val="nil"/>
            </w:tcBorders>
            <w:noWrap w:val="0"/>
            <w:vAlign w:val="center"/>
          </w:tcPr>
          <w:p w14:paraId="658786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r>
      <w:tr w14:paraId="317F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2"/>
            <w:tcBorders>
              <w:tl2br w:val="nil"/>
              <w:tr2bl w:val="nil"/>
            </w:tcBorders>
            <w:noWrap w:val="0"/>
            <w:vAlign w:val="center"/>
          </w:tcPr>
          <w:p w14:paraId="041FAAC6">
            <w:pPr>
              <w:pStyle w:val="6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drawing>
                <wp:inline distT="0" distB="0" distL="114300" distR="114300">
                  <wp:extent cx="2314575" cy="2087880"/>
                  <wp:effectExtent l="0" t="0" r="9525" b="7620"/>
                  <wp:docPr id="98" name="图片 20" descr="037fa39b6552d2a97b3d370fd5d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descr="037fa39b6552d2a97b3d370fd5dd578"/>
                          <pic:cNvPicPr>
                            <a:picLocks noChangeAspect="1"/>
                          </pic:cNvPicPr>
                        </pic:nvPicPr>
                        <pic:blipFill>
                          <a:blip r:embed="rId42"/>
                          <a:srcRect t="13380" b="19097"/>
                          <a:stretch>
                            <a:fillRect/>
                          </a:stretch>
                        </pic:blipFill>
                        <pic:spPr>
                          <a:xfrm>
                            <a:off x="0" y="0"/>
                            <a:ext cx="2314575" cy="2087880"/>
                          </a:xfrm>
                          <a:prstGeom prst="rect">
                            <a:avLst/>
                          </a:prstGeom>
                          <a:noFill/>
                          <a:ln>
                            <a:noFill/>
                          </a:ln>
                        </pic:spPr>
                      </pic:pic>
                    </a:graphicData>
                  </a:graphic>
                </wp:inline>
              </w:drawing>
            </w:r>
          </w:p>
          <w:p w14:paraId="1943283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pacing w:val="-2"/>
                <w:sz w:val="21"/>
                <w:szCs w:val="21"/>
                <w:u w:val="none" w:color="auto"/>
                <w:lang w:eastAsia="zh-CN"/>
              </w:rPr>
            </w:pPr>
            <w:r>
              <w:rPr>
                <w:rFonts w:hint="default" w:ascii="Times New Roman" w:hAnsi="Times New Roman" w:eastAsia="宋体" w:cs="Times New Roman"/>
                <w:b/>
                <w:bCs/>
                <w:color w:val="auto"/>
                <w:spacing w:val="-2"/>
                <w:sz w:val="21"/>
                <w:szCs w:val="21"/>
                <w:u w:val="none" w:color="auto"/>
              </w:rPr>
              <w:t>青葙草丛</w:t>
            </w:r>
          </w:p>
        </w:tc>
      </w:tr>
      <w:tr w14:paraId="5B8F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2"/>
            <w:tcBorders>
              <w:tl2br w:val="nil"/>
              <w:tr2bl w:val="nil"/>
            </w:tcBorders>
            <w:noWrap w:val="0"/>
            <w:vAlign w:val="center"/>
          </w:tcPr>
          <w:p w14:paraId="4B8B040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pacing w:val="-2"/>
                <w:sz w:val="21"/>
                <w:szCs w:val="21"/>
                <w:u w:val="none" w:color="auto"/>
              </w:rPr>
            </w:pPr>
            <w:r>
              <w:rPr>
                <w:rFonts w:hint="default" w:ascii="Times New Roman" w:hAnsi="Times New Roman" w:eastAsia="宋体" w:cs="Times New Roman"/>
                <w:b/>
                <w:color w:val="auto"/>
                <w:spacing w:val="-2"/>
                <w:sz w:val="21"/>
                <w:szCs w:val="21"/>
                <w:u w:val="none" w:color="auto"/>
              </w:rPr>
              <w:t>注：</w:t>
            </w:r>
            <w:r>
              <w:rPr>
                <w:rFonts w:hint="default" w:ascii="Times New Roman" w:hAnsi="Times New Roman" w:eastAsia="宋体" w:cs="Times New Roman"/>
                <w:color w:val="auto"/>
                <w:spacing w:val="-2"/>
                <w:sz w:val="21"/>
                <w:szCs w:val="21"/>
                <w:u w:val="none" w:color="auto"/>
              </w:rPr>
              <w:t>Soc极多；Cop(Cop</w:t>
            </w:r>
            <w:r>
              <w:rPr>
                <w:rFonts w:hint="default" w:ascii="Times New Roman" w:hAnsi="Times New Roman" w:eastAsia="宋体" w:cs="Times New Roman"/>
                <w:color w:val="auto"/>
                <w:spacing w:val="-2"/>
                <w:sz w:val="21"/>
                <w:szCs w:val="21"/>
                <w:u w:val="none" w:color="auto"/>
                <w:vertAlign w:val="superscript"/>
              </w:rPr>
              <w:t>3</w:t>
            </w:r>
            <w:r>
              <w:rPr>
                <w:rFonts w:hint="default" w:ascii="Times New Roman" w:hAnsi="Times New Roman" w:eastAsia="宋体" w:cs="Times New Roman"/>
                <w:color w:val="auto"/>
                <w:spacing w:val="-2"/>
                <w:sz w:val="21"/>
                <w:szCs w:val="21"/>
                <w:u w:val="none" w:color="auto"/>
              </w:rPr>
              <w:t>很多、Cop</w:t>
            </w:r>
            <w:r>
              <w:rPr>
                <w:rFonts w:hint="default" w:ascii="Times New Roman" w:hAnsi="Times New Roman" w:eastAsia="宋体" w:cs="Times New Roman"/>
                <w:color w:val="auto"/>
                <w:spacing w:val="-2"/>
                <w:sz w:val="21"/>
                <w:szCs w:val="21"/>
                <w:u w:val="none" w:color="auto"/>
                <w:vertAlign w:val="superscript"/>
              </w:rPr>
              <w:t>2</w:t>
            </w:r>
            <w:r>
              <w:rPr>
                <w:rFonts w:hint="default" w:ascii="Times New Roman" w:hAnsi="Times New Roman" w:eastAsia="宋体" w:cs="Times New Roman"/>
                <w:color w:val="auto"/>
                <w:spacing w:val="-2"/>
                <w:sz w:val="21"/>
                <w:szCs w:val="21"/>
                <w:u w:val="none" w:color="auto"/>
              </w:rPr>
              <w:t>多、Cop</w:t>
            </w:r>
            <w:r>
              <w:rPr>
                <w:rFonts w:hint="default" w:ascii="Times New Roman" w:hAnsi="Times New Roman" w:eastAsia="宋体" w:cs="Times New Roman"/>
                <w:color w:val="auto"/>
                <w:spacing w:val="-2"/>
                <w:sz w:val="21"/>
                <w:szCs w:val="21"/>
                <w:u w:val="none" w:color="auto"/>
                <w:vertAlign w:val="superscript"/>
              </w:rPr>
              <w:t>1</w:t>
            </w:r>
            <w:r>
              <w:rPr>
                <w:rFonts w:hint="default" w:ascii="Times New Roman" w:hAnsi="Times New Roman" w:eastAsia="宋体" w:cs="Times New Roman"/>
                <w:color w:val="auto"/>
                <w:spacing w:val="-2"/>
                <w:sz w:val="21"/>
                <w:szCs w:val="21"/>
                <w:u w:val="none" w:color="auto"/>
              </w:rPr>
              <w:t>尚多)；SP少；Sol稀少；Un个别</w:t>
            </w:r>
          </w:p>
        </w:tc>
      </w:tr>
    </w:tbl>
    <w:p w14:paraId="4333D912">
      <w:pPr>
        <w:keepNext w:val="0"/>
        <w:keepLines w:val="0"/>
        <w:pageBreakBefore w:val="0"/>
        <w:widowControl w:val="0"/>
        <w:kinsoku/>
        <w:wordWrap/>
        <w:overflowPunct/>
        <w:topLinePunct w:val="0"/>
        <w:autoSpaceDE/>
        <w:autoSpaceDN/>
        <w:bidi w:val="0"/>
        <w:adjustRightInd/>
        <w:snapToGrid w:val="0"/>
        <w:spacing w:before="167" w:beforeLines="50" w:line="360" w:lineRule="auto"/>
        <w:ind w:firstLine="480" w:firstLineChars="200"/>
        <w:textAlignment w:val="auto"/>
        <w:rPr>
          <w:rFonts w:hint="default" w:ascii="Times New Roman" w:hAnsi="Times New Roman" w:eastAsia="宋体" w:cs="Times New Roman"/>
          <w:b w:val="0"/>
          <w:bCs/>
          <w:color w:val="auto"/>
          <w:sz w:val="24"/>
          <w:szCs w:val="24"/>
          <w:u w:val="none" w:color="auto"/>
        </w:rPr>
      </w:pPr>
      <w:r>
        <w:rPr>
          <w:rFonts w:hint="default" w:ascii="Times New Roman" w:hAnsi="Times New Roman" w:eastAsia="宋体" w:cs="Times New Roman"/>
          <w:b w:val="0"/>
          <w:bCs/>
          <w:color w:val="auto"/>
          <w:sz w:val="24"/>
          <w:szCs w:val="24"/>
          <w:u w:val="none" w:color="auto"/>
        </w:rPr>
        <w:t>③五节芒（</w:t>
      </w:r>
      <w:r>
        <w:rPr>
          <w:rFonts w:hint="default" w:ascii="Times New Roman" w:hAnsi="Times New Roman" w:eastAsia="宋体" w:cs="Times New Roman"/>
          <w:b w:val="0"/>
          <w:bCs/>
          <w:i/>
          <w:color w:val="auto"/>
          <w:sz w:val="24"/>
          <w:szCs w:val="24"/>
          <w:u w:val="none" w:color="auto"/>
          <w:shd w:val="clear" w:color="auto" w:fill="FFFFFF"/>
        </w:rPr>
        <w:t>Miscanthus floridulus</w:t>
      </w:r>
      <w:r>
        <w:rPr>
          <w:rFonts w:hint="default" w:ascii="Times New Roman" w:hAnsi="Times New Roman" w:eastAsia="宋体" w:cs="Times New Roman"/>
          <w:b w:val="0"/>
          <w:bCs/>
          <w:color w:val="auto"/>
          <w:sz w:val="24"/>
          <w:szCs w:val="24"/>
          <w:u w:val="none" w:color="auto"/>
        </w:rPr>
        <w:t>）草丛</w:t>
      </w:r>
    </w:p>
    <w:p w14:paraId="5B26D521">
      <w:pPr>
        <w:pageBreakBefore w:val="0"/>
        <w:tabs>
          <w:tab w:val="left" w:pos="2085"/>
        </w:tabs>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五节芒草丛主要分布在项目池塘、湖泊岸边等水域附近，该群落中五节芒（</w:t>
      </w:r>
      <w:r>
        <w:rPr>
          <w:rFonts w:hint="default" w:ascii="Times New Roman" w:hAnsi="Times New Roman" w:eastAsia="宋体" w:cs="Times New Roman"/>
          <w:i/>
          <w:color w:val="auto"/>
          <w:sz w:val="24"/>
          <w:szCs w:val="24"/>
          <w:u w:val="none" w:color="auto"/>
        </w:rPr>
        <w:t>Miscanthus floridulus</w:t>
      </w:r>
      <w:r>
        <w:rPr>
          <w:rFonts w:hint="default" w:ascii="Times New Roman" w:hAnsi="Times New Roman" w:eastAsia="宋体" w:cs="Times New Roman"/>
          <w:color w:val="auto"/>
          <w:sz w:val="24"/>
          <w:szCs w:val="24"/>
          <w:u w:val="none" w:color="auto"/>
        </w:rPr>
        <w:t>）占绝对优势，同时还分布有白茅（</w:t>
      </w:r>
      <w:r>
        <w:rPr>
          <w:rFonts w:hint="default" w:ascii="Times New Roman" w:hAnsi="Times New Roman" w:eastAsia="宋体" w:cs="Times New Roman"/>
          <w:i/>
          <w:color w:val="auto"/>
          <w:sz w:val="24"/>
          <w:szCs w:val="24"/>
          <w:u w:val="none" w:color="auto"/>
        </w:rPr>
        <w:t>Imperata cylindrica</w:t>
      </w:r>
      <w:r>
        <w:rPr>
          <w:rFonts w:hint="default" w:ascii="Times New Roman" w:hAnsi="Times New Roman" w:eastAsia="宋体" w:cs="Times New Roman"/>
          <w:color w:val="auto"/>
          <w:sz w:val="24"/>
          <w:szCs w:val="24"/>
          <w:u w:val="none" w:color="auto"/>
        </w:rPr>
        <w:t>）、鸡眼草（</w:t>
      </w:r>
      <w:r>
        <w:rPr>
          <w:rFonts w:hint="default" w:ascii="Times New Roman" w:hAnsi="Times New Roman" w:eastAsia="宋体" w:cs="Times New Roman"/>
          <w:i/>
          <w:color w:val="auto"/>
          <w:sz w:val="24"/>
          <w:szCs w:val="24"/>
          <w:u w:val="none" w:color="auto"/>
        </w:rPr>
        <w:t>Kummerowia striata</w:t>
      </w:r>
      <w:r>
        <w:rPr>
          <w:rFonts w:hint="default" w:ascii="Times New Roman" w:hAnsi="Times New Roman" w:eastAsia="宋体" w:cs="Times New Roman"/>
          <w:color w:val="auto"/>
          <w:sz w:val="24"/>
          <w:szCs w:val="24"/>
          <w:u w:val="none" w:color="auto"/>
        </w:rPr>
        <w:t>）、野葛（</w:t>
      </w:r>
      <w:r>
        <w:rPr>
          <w:rFonts w:hint="default" w:ascii="Times New Roman" w:hAnsi="Times New Roman" w:eastAsia="宋体" w:cs="Times New Roman"/>
          <w:i/>
          <w:color w:val="auto"/>
          <w:sz w:val="24"/>
          <w:szCs w:val="24"/>
          <w:u w:val="none" w:color="auto"/>
        </w:rPr>
        <w:t>Pueraria lobata</w:t>
      </w:r>
      <w:r>
        <w:rPr>
          <w:rFonts w:hint="default" w:ascii="Times New Roman" w:hAnsi="Times New Roman" w:eastAsia="宋体" w:cs="Times New Roman"/>
          <w:color w:val="auto"/>
          <w:sz w:val="24"/>
          <w:szCs w:val="24"/>
          <w:u w:val="none" w:color="auto"/>
        </w:rPr>
        <w:t>）、乌蔹莓（</w:t>
      </w:r>
      <w:r>
        <w:rPr>
          <w:rFonts w:hint="default" w:ascii="Times New Roman" w:hAnsi="Times New Roman" w:eastAsia="宋体" w:cs="Times New Roman"/>
          <w:i/>
          <w:color w:val="auto"/>
          <w:sz w:val="24"/>
          <w:szCs w:val="24"/>
          <w:u w:val="none" w:color="auto"/>
        </w:rPr>
        <w:t>Cayratia japonica</w:t>
      </w:r>
      <w:r>
        <w:rPr>
          <w:rFonts w:hint="default" w:ascii="Times New Roman" w:hAnsi="Times New Roman" w:eastAsia="宋体" w:cs="Times New Roman"/>
          <w:color w:val="auto"/>
          <w:sz w:val="24"/>
          <w:szCs w:val="24"/>
          <w:u w:val="none" w:color="auto"/>
        </w:rPr>
        <w:t>）等其它草本植物。</w:t>
      </w:r>
    </w:p>
    <w:p w14:paraId="7112005A">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p>
    <w:p w14:paraId="7CC0BB13">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p>
    <w:p w14:paraId="0D48EC30">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表4.5-1</w:t>
      </w: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 xml:space="preserve"> </w:t>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五节芒草丛样方表</w:t>
      </w:r>
    </w:p>
    <w:tbl>
      <w:tblPr>
        <w:tblStyle w:val="2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52"/>
        <w:gridCol w:w="1315"/>
        <w:gridCol w:w="727"/>
        <w:gridCol w:w="934"/>
        <w:gridCol w:w="136"/>
        <w:gridCol w:w="937"/>
        <w:gridCol w:w="242"/>
        <w:gridCol w:w="695"/>
        <w:gridCol w:w="674"/>
        <w:gridCol w:w="81"/>
        <w:gridCol w:w="697"/>
        <w:gridCol w:w="730"/>
      </w:tblGrid>
      <w:tr w14:paraId="5F33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tcBorders>
              <w:tl2br w:val="nil"/>
              <w:tr2bl w:val="nil"/>
            </w:tcBorders>
            <w:noWrap w:val="0"/>
            <w:vAlign w:val="center"/>
          </w:tcPr>
          <w:p w14:paraId="3695D83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编号</w:t>
            </w:r>
          </w:p>
        </w:tc>
        <w:tc>
          <w:tcPr>
            <w:tcW w:w="800" w:type="pct"/>
            <w:tcBorders>
              <w:tl2br w:val="nil"/>
              <w:tr2bl w:val="nil"/>
            </w:tcBorders>
            <w:noWrap w:val="0"/>
            <w:vAlign w:val="center"/>
          </w:tcPr>
          <w:p w14:paraId="542361A3">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lang w:val="en-US" w:eastAsia="zh-CN"/>
              </w:rPr>
              <w:t>样方</w:t>
            </w:r>
            <w:r>
              <w:rPr>
                <w:rFonts w:hint="default" w:ascii="Times New Roman" w:hAnsi="Times New Roman" w:eastAsia="宋体" w:cs="Times New Roman"/>
                <w:color w:val="auto"/>
                <w:spacing w:val="-2"/>
                <w:sz w:val="21"/>
                <w:szCs w:val="21"/>
                <w:u w:val="none" w:color="auto"/>
              </w:rPr>
              <w:t>3</w:t>
            </w:r>
          </w:p>
        </w:tc>
        <w:tc>
          <w:tcPr>
            <w:tcW w:w="3559" w:type="pct"/>
            <w:gridSpan w:val="10"/>
            <w:tcBorders>
              <w:tl2br w:val="nil"/>
              <w:tr2bl w:val="nil"/>
            </w:tcBorders>
            <w:noWrap w:val="0"/>
            <w:vAlign w:val="center"/>
          </w:tcPr>
          <w:p w14:paraId="37299A79">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环境特征</w:t>
            </w:r>
          </w:p>
        </w:tc>
      </w:tr>
      <w:tr w14:paraId="5E43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tcBorders>
              <w:tl2br w:val="nil"/>
              <w:tr2bl w:val="nil"/>
            </w:tcBorders>
            <w:noWrap w:val="0"/>
            <w:vAlign w:val="center"/>
          </w:tcPr>
          <w:p w14:paraId="23C8E0D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地点</w:t>
            </w:r>
          </w:p>
        </w:tc>
        <w:tc>
          <w:tcPr>
            <w:tcW w:w="800" w:type="pct"/>
            <w:tcBorders>
              <w:tl2br w:val="nil"/>
              <w:tr2bl w:val="nil"/>
            </w:tcBorders>
            <w:noWrap w:val="0"/>
            <w:vAlign w:val="center"/>
          </w:tcPr>
          <w:p w14:paraId="730974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项目东北侧1000m</w:t>
            </w:r>
          </w:p>
        </w:tc>
        <w:tc>
          <w:tcPr>
            <w:tcW w:w="442" w:type="pct"/>
            <w:tcBorders>
              <w:tl2br w:val="nil"/>
              <w:tr2bl w:val="nil"/>
            </w:tcBorders>
            <w:noWrap w:val="0"/>
            <w:vAlign w:val="center"/>
          </w:tcPr>
          <w:p w14:paraId="6FB0DC6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地形</w:t>
            </w:r>
          </w:p>
        </w:tc>
        <w:tc>
          <w:tcPr>
            <w:tcW w:w="651" w:type="pct"/>
            <w:gridSpan w:val="2"/>
            <w:tcBorders>
              <w:tl2br w:val="nil"/>
              <w:tr2bl w:val="nil"/>
            </w:tcBorders>
            <w:noWrap w:val="0"/>
            <w:vAlign w:val="center"/>
          </w:tcPr>
          <w:p w14:paraId="461BD9D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样方面积</w:t>
            </w:r>
          </w:p>
        </w:tc>
        <w:tc>
          <w:tcPr>
            <w:tcW w:w="570" w:type="pct"/>
            <w:tcBorders>
              <w:tl2br w:val="nil"/>
              <w:tr2bl w:val="nil"/>
            </w:tcBorders>
            <w:noWrap w:val="0"/>
            <w:vAlign w:val="center"/>
          </w:tcPr>
          <w:p w14:paraId="14BD7796">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海拔高度</w:t>
            </w:r>
          </w:p>
        </w:tc>
        <w:tc>
          <w:tcPr>
            <w:tcW w:w="980" w:type="pct"/>
            <w:gridSpan w:val="3"/>
            <w:tcBorders>
              <w:tl2br w:val="nil"/>
              <w:tr2bl w:val="nil"/>
            </w:tcBorders>
            <w:noWrap w:val="0"/>
            <w:vAlign w:val="center"/>
          </w:tcPr>
          <w:p w14:paraId="75923F7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经度</w:t>
            </w:r>
          </w:p>
        </w:tc>
        <w:tc>
          <w:tcPr>
            <w:tcW w:w="916" w:type="pct"/>
            <w:gridSpan w:val="3"/>
            <w:tcBorders>
              <w:tl2br w:val="nil"/>
              <w:tr2bl w:val="nil"/>
            </w:tcBorders>
            <w:noWrap w:val="0"/>
            <w:vAlign w:val="center"/>
          </w:tcPr>
          <w:p w14:paraId="1A873F7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纬度</w:t>
            </w:r>
          </w:p>
        </w:tc>
      </w:tr>
      <w:tr w14:paraId="7BBF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tcBorders>
              <w:tl2br w:val="nil"/>
              <w:tr2bl w:val="nil"/>
            </w:tcBorders>
            <w:noWrap w:val="0"/>
            <w:vAlign w:val="center"/>
          </w:tcPr>
          <w:p w14:paraId="46FF747E">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群落类型</w:t>
            </w:r>
          </w:p>
        </w:tc>
        <w:tc>
          <w:tcPr>
            <w:tcW w:w="800" w:type="pct"/>
            <w:tcBorders>
              <w:tl2br w:val="nil"/>
              <w:tr2bl w:val="nil"/>
            </w:tcBorders>
            <w:noWrap w:val="0"/>
            <w:vAlign w:val="center"/>
          </w:tcPr>
          <w:p w14:paraId="356CA36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五节芒草丛</w:t>
            </w:r>
          </w:p>
        </w:tc>
        <w:tc>
          <w:tcPr>
            <w:tcW w:w="442" w:type="pct"/>
            <w:tcBorders>
              <w:tl2br w:val="nil"/>
              <w:tr2bl w:val="nil"/>
            </w:tcBorders>
            <w:noWrap w:val="0"/>
            <w:vAlign w:val="center"/>
          </w:tcPr>
          <w:p w14:paraId="7225154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平原</w:t>
            </w:r>
          </w:p>
        </w:tc>
        <w:tc>
          <w:tcPr>
            <w:tcW w:w="651" w:type="pct"/>
            <w:gridSpan w:val="2"/>
            <w:tcBorders>
              <w:tl2br w:val="nil"/>
              <w:tr2bl w:val="nil"/>
            </w:tcBorders>
            <w:noWrap w:val="0"/>
            <w:vAlign w:val="center"/>
          </w:tcPr>
          <w:p w14:paraId="6CA339F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1m×1m</w:t>
            </w:r>
          </w:p>
        </w:tc>
        <w:tc>
          <w:tcPr>
            <w:tcW w:w="570" w:type="pct"/>
            <w:tcBorders>
              <w:tl2br w:val="nil"/>
              <w:tr2bl w:val="nil"/>
            </w:tcBorders>
            <w:noWrap w:val="0"/>
            <w:vAlign w:val="center"/>
          </w:tcPr>
          <w:p w14:paraId="29111A7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26m</w:t>
            </w:r>
          </w:p>
        </w:tc>
        <w:tc>
          <w:tcPr>
            <w:tcW w:w="980" w:type="pct"/>
            <w:gridSpan w:val="3"/>
            <w:tcBorders>
              <w:tl2br w:val="nil"/>
              <w:tr2bl w:val="nil"/>
            </w:tcBorders>
            <w:noWrap w:val="0"/>
            <w:vAlign w:val="center"/>
          </w:tcPr>
          <w:p w14:paraId="6A7A8E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zh-CN" w:bidi="zh-CN"/>
              </w:rPr>
            </w:pPr>
            <w:r>
              <w:rPr>
                <w:rFonts w:hint="default" w:ascii="Times New Roman" w:hAnsi="Times New Roman" w:eastAsia="宋体" w:cs="Times New Roman"/>
                <w:color w:val="auto"/>
                <w:sz w:val="21"/>
                <w:szCs w:val="21"/>
                <w:u w:val="none" w:color="auto"/>
              </w:rPr>
              <w:t>113.008339</w:t>
            </w:r>
          </w:p>
        </w:tc>
        <w:tc>
          <w:tcPr>
            <w:tcW w:w="916" w:type="pct"/>
            <w:gridSpan w:val="3"/>
            <w:tcBorders>
              <w:tl2br w:val="nil"/>
              <w:tr2bl w:val="nil"/>
            </w:tcBorders>
            <w:noWrap w:val="0"/>
            <w:vAlign w:val="center"/>
          </w:tcPr>
          <w:p w14:paraId="4A4291F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zh-CN" w:bidi="zh-CN"/>
              </w:rPr>
            </w:pPr>
            <w:r>
              <w:rPr>
                <w:rFonts w:hint="default" w:ascii="Times New Roman" w:hAnsi="Times New Roman" w:eastAsia="宋体" w:cs="Times New Roman"/>
                <w:color w:val="auto"/>
                <w:sz w:val="21"/>
                <w:szCs w:val="21"/>
                <w:u w:val="none" w:color="auto"/>
              </w:rPr>
              <w:t>29.162611</w:t>
            </w:r>
          </w:p>
        </w:tc>
      </w:tr>
      <w:tr w14:paraId="5F11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tcBorders>
              <w:tl2br w:val="nil"/>
              <w:tr2bl w:val="nil"/>
            </w:tcBorders>
            <w:noWrap w:val="0"/>
            <w:vAlign w:val="center"/>
          </w:tcPr>
          <w:p w14:paraId="0FFABB4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样方周边环境现状</w:t>
            </w:r>
          </w:p>
        </w:tc>
        <w:tc>
          <w:tcPr>
            <w:tcW w:w="4359" w:type="pct"/>
            <w:gridSpan w:val="11"/>
            <w:tcBorders>
              <w:tl2br w:val="nil"/>
              <w:tr2bl w:val="nil"/>
            </w:tcBorders>
            <w:noWrap w:val="0"/>
            <w:vAlign w:val="center"/>
          </w:tcPr>
          <w:p w14:paraId="26CBB4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周边为荒地</w:t>
            </w:r>
          </w:p>
        </w:tc>
      </w:tr>
      <w:tr w14:paraId="3B4E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restart"/>
            <w:tcBorders>
              <w:tl2br w:val="nil"/>
              <w:tr2bl w:val="nil"/>
            </w:tcBorders>
            <w:noWrap w:val="0"/>
            <w:vAlign w:val="center"/>
          </w:tcPr>
          <w:p w14:paraId="031EE82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群落层次</w:t>
            </w:r>
          </w:p>
        </w:tc>
        <w:tc>
          <w:tcPr>
            <w:tcW w:w="4359" w:type="pct"/>
            <w:gridSpan w:val="11"/>
            <w:tcBorders>
              <w:tl2br w:val="nil"/>
              <w:tr2bl w:val="nil"/>
            </w:tcBorders>
            <w:noWrap w:val="0"/>
            <w:vAlign w:val="center"/>
          </w:tcPr>
          <w:p w14:paraId="30BC65CB">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一层</w:t>
            </w:r>
          </w:p>
        </w:tc>
      </w:tr>
      <w:tr w14:paraId="33F7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continue"/>
            <w:tcBorders>
              <w:tl2br w:val="nil"/>
              <w:tr2bl w:val="nil"/>
            </w:tcBorders>
            <w:noWrap w:val="0"/>
            <w:vAlign w:val="center"/>
          </w:tcPr>
          <w:p w14:paraId="601F602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4359" w:type="pct"/>
            <w:gridSpan w:val="11"/>
            <w:tcBorders>
              <w:tl2br w:val="nil"/>
              <w:tr2bl w:val="nil"/>
            </w:tcBorders>
            <w:noWrap w:val="0"/>
            <w:vAlign w:val="center"/>
          </w:tcPr>
          <w:p w14:paraId="0F5FC49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种类组成及生长状况</w:t>
            </w:r>
          </w:p>
        </w:tc>
      </w:tr>
      <w:tr w14:paraId="74E4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continue"/>
            <w:tcBorders>
              <w:tl2br w:val="nil"/>
              <w:tr2bl w:val="nil"/>
            </w:tcBorders>
            <w:noWrap w:val="0"/>
            <w:vAlign w:val="center"/>
          </w:tcPr>
          <w:p w14:paraId="359EB01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810" w:type="pct"/>
            <w:gridSpan w:val="3"/>
            <w:tcBorders>
              <w:tl2br w:val="nil"/>
              <w:tr2bl w:val="nil"/>
            </w:tcBorders>
            <w:noWrap w:val="0"/>
            <w:vAlign w:val="center"/>
          </w:tcPr>
          <w:p w14:paraId="2AC956D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800" w:type="pct"/>
            <w:gridSpan w:val="3"/>
            <w:tcBorders>
              <w:tl2br w:val="nil"/>
              <w:tr2bl w:val="nil"/>
            </w:tcBorders>
            <w:noWrap w:val="0"/>
            <w:vAlign w:val="center"/>
          </w:tcPr>
          <w:p w14:paraId="2B3C6F2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423" w:type="pct"/>
            <w:tcBorders>
              <w:tl2br w:val="nil"/>
              <w:tr2bl w:val="nil"/>
            </w:tcBorders>
            <w:noWrap w:val="0"/>
            <w:vAlign w:val="center"/>
          </w:tcPr>
          <w:p w14:paraId="3F52340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459" w:type="pct"/>
            <w:gridSpan w:val="2"/>
            <w:tcBorders>
              <w:tl2br w:val="nil"/>
              <w:tr2bl w:val="nil"/>
            </w:tcBorders>
            <w:noWrap w:val="0"/>
            <w:vAlign w:val="center"/>
          </w:tcPr>
          <w:p w14:paraId="791762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424" w:type="pct"/>
            <w:tcBorders>
              <w:tl2br w:val="nil"/>
              <w:tr2bl w:val="nil"/>
            </w:tcBorders>
            <w:noWrap w:val="0"/>
            <w:vAlign w:val="center"/>
          </w:tcPr>
          <w:p w14:paraId="47AFEB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平均高度cm</w:t>
            </w:r>
          </w:p>
        </w:tc>
        <w:tc>
          <w:tcPr>
            <w:tcW w:w="442" w:type="pct"/>
            <w:tcBorders>
              <w:tl2br w:val="nil"/>
              <w:tr2bl w:val="nil"/>
            </w:tcBorders>
            <w:noWrap w:val="0"/>
            <w:vAlign w:val="center"/>
          </w:tcPr>
          <w:p w14:paraId="10D1C6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0E53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restart"/>
            <w:tcBorders>
              <w:tl2br w:val="nil"/>
              <w:tr2bl w:val="nil"/>
            </w:tcBorders>
            <w:noWrap w:val="0"/>
            <w:vAlign w:val="center"/>
          </w:tcPr>
          <w:p w14:paraId="4BC0FB9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草本层</w:t>
            </w:r>
          </w:p>
        </w:tc>
        <w:tc>
          <w:tcPr>
            <w:tcW w:w="1810" w:type="pct"/>
            <w:gridSpan w:val="3"/>
            <w:tcBorders>
              <w:tl2br w:val="nil"/>
              <w:tr2bl w:val="nil"/>
            </w:tcBorders>
            <w:noWrap w:val="0"/>
            <w:vAlign w:val="center"/>
          </w:tcPr>
          <w:p w14:paraId="2C181B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五节芒</w:t>
            </w:r>
            <w:r>
              <w:rPr>
                <w:rFonts w:hint="default" w:ascii="Times New Roman" w:hAnsi="Times New Roman" w:eastAsia="宋体" w:cs="Times New Roman"/>
                <w:i/>
                <w:color w:val="auto"/>
                <w:sz w:val="21"/>
                <w:szCs w:val="21"/>
                <w:u w:val="none" w:color="auto"/>
              </w:rPr>
              <w:t>Miscanthus floridulus</w:t>
            </w:r>
          </w:p>
        </w:tc>
        <w:tc>
          <w:tcPr>
            <w:tcW w:w="800" w:type="pct"/>
            <w:gridSpan w:val="3"/>
            <w:tcBorders>
              <w:tl2br w:val="nil"/>
              <w:tr2bl w:val="nil"/>
            </w:tcBorders>
            <w:noWrap w:val="0"/>
            <w:vAlign w:val="center"/>
          </w:tcPr>
          <w:p w14:paraId="7A4DBF9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423" w:type="pct"/>
            <w:tcBorders>
              <w:tl2br w:val="nil"/>
              <w:tr2bl w:val="nil"/>
            </w:tcBorders>
            <w:noWrap w:val="0"/>
            <w:vAlign w:val="center"/>
          </w:tcPr>
          <w:p w14:paraId="3F198C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59" w:type="pct"/>
            <w:gridSpan w:val="2"/>
            <w:tcBorders>
              <w:tl2br w:val="nil"/>
              <w:tr2bl w:val="nil"/>
            </w:tcBorders>
            <w:noWrap w:val="0"/>
            <w:vAlign w:val="center"/>
          </w:tcPr>
          <w:p w14:paraId="68CDEA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424" w:type="pct"/>
            <w:tcBorders>
              <w:tl2br w:val="nil"/>
              <w:tr2bl w:val="nil"/>
            </w:tcBorders>
            <w:noWrap w:val="0"/>
            <w:vAlign w:val="center"/>
          </w:tcPr>
          <w:p w14:paraId="69A764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180</w:t>
            </w:r>
          </w:p>
        </w:tc>
        <w:tc>
          <w:tcPr>
            <w:tcW w:w="442" w:type="pct"/>
            <w:tcBorders>
              <w:tl2br w:val="nil"/>
              <w:tr2bl w:val="nil"/>
            </w:tcBorders>
            <w:noWrap w:val="0"/>
            <w:vAlign w:val="center"/>
          </w:tcPr>
          <w:p w14:paraId="7403F0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80</w:t>
            </w:r>
          </w:p>
        </w:tc>
      </w:tr>
      <w:tr w14:paraId="7D95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40" w:type="pct"/>
            <w:vMerge w:val="continue"/>
            <w:tcBorders>
              <w:tl2br w:val="nil"/>
              <w:tr2bl w:val="nil"/>
            </w:tcBorders>
            <w:noWrap w:val="0"/>
            <w:vAlign w:val="center"/>
          </w:tcPr>
          <w:p w14:paraId="6B698AB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810" w:type="pct"/>
            <w:gridSpan w:val="3"/>
            <w:tcBorders>
              <w:tl2br w:val="nil"/>
              <w:tr2bl w:val="nil"/>
            </w:tcBorders>
            <w:noWrap w:val="0"/>
            <w:vAlign w:val="center"/>
          </w:tcPr>
          <w:p w14:paraId="5621FB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白茅</w:t>
            </w:r>
            <w:r>
              <w:rPr>
                <w:rFonts w:hint="default" w:ascii="Times New Roman" w:hAnsi="Times New Roman" w:eastAsia="宋体" w:cs="Times New Roman"/>
                <w:i/>
                <w:color w:val="auto"/>
                <w:sz w:val="21"/>
                <w:szCs w:val="21"/>
                <w:u w:val="none" w:color="auto"/>
              </w:rPr>
              <w:t>Imperata cylindrica</w:t>
            </w:r>
          </w:p>
        </w:tc>
        <w:tc>
          <w:tcPr>
            <w:tcW w:w="800" w:type="pct"/>
            <w:gridSpan w:val="3"/>
            <w:tcBorders>
              <w:tl2br w:val="nil"/>
              <w:tr2bl w:val="nil"/>
            </w:tcBorders>
            <w:noWrap w:val="0"/>
            <w:vAlign w:val="center"/>
          </w:tcPr>
          <w:p w14:paraId="11557A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423" w:type="pct"/>
            <w:tcBorders>
              <w:tl2br w:val="nil"/>
              <w:tr2bl w:val="nil"/>
            </w:tcBorders>
            <w:noWrap w:val="0"/>
            <w:vAlign w:val="center"/>
          </w:tcPr>
          <w:p w14:paraId="4A9613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44</w:t>
            </w:r>
          </w:p>
        </w:tc>
        <w:tc>
          <w:tcPr>
            <w:tcW w:w="459" w:type="pct"/>
            <w:gridSpan w:val="2"/>
            <w:tcBorders>
              <w:tl2br w:val="nil"/>
              <w:tr2bl w:val="nil"/>
            </w:tcBorders>
            <w:noWrap w:val="0"/>
            <w:vAlign w:val="center"/>
          </w:tcPr>
          <w:p w14:paraId="6C40FA3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424" w:type="pct"/>
            <w:tcBorders>
              <w:tl2br w:val="nil"/>
              <w:tr2bl w:val="nil"/>
            </w:tcBorders>
            <w:noWrap w:val="0"/>
            <w:vAlign w:val="center"/>
          </w:tcPr>
          <w:p w14:paraId="4EFC87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42" w:type="pct"/>
            <w:tcBorders>
              <w:tl2br w:val="nil"/>
              <w:tr2bl w:val="nil"/>
            </w:tcBorders>
            <w:noWrap w:val="0"/>
            <w:vAlign w:val="center"/>
          </w:tcPr>
          <w:p w14:paraId="1E0AF2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0A48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continue"/>
            <w:tcBorders>
              <w:tl2br w:val="nil"/>
              <w:tr2bl w:val="nil"/>
            </w:tcBorders>
            <w:noWrap w:val="0"/>
            <w:vAlign w:val="center"/>
          </w:tcPr>
          <w:p w14:paraId="40E3CDE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810" w:type="pct"/>
            <w:gridSpan w:val="3"/>
            <w:tcBorders>
              <w:tl2br w:val="nil"/>
              <w:tr2bl w:val="nil"/>
            </w:tcBorders>
            <w:noWrap w:val="0"/>
            <w:vAlign w:val="center"/>
          </w:tcPr>
          <w:p w14:paraId="170D81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野葛</w:t>
            </w:r>
            <w:r>
              <w:rPr>
                <w:rFonts w:hint="default" w:ascii="Times New Roman" w:hAnsi="Times New Roman" w:eastAsia="宋体" w:cs="Times New Roman"/>
                <w:i/>
                <w:color w:val="auto"/>
                <w:sz w:val="21"/>
                <w:szCs w:val="21"/>
                <w:u w:val="none" w:color="auto"/>
              </w:rPr>
              <w:t>Pueraria lobata</w:t>
            </w:r>
          </w:p>
        </w:tc>
        <w:tc>
          <w:tcPr>
            <w:tcW w:w="800" w:type="pct"/>
            <w:gridSpan w:val="3"/>
            <w:tcBorders>
              <w:tl2br w:val="nil"/>
              <w:tr2bl w:val="nil"/>
            </w:tcBorders>
            <w:noWrap w:val="0"/>
            <w:vAlign w:val="center"/>
          </w:tcPr>
          <w:p w14:paraId="311A0E4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423" w:type="pct"/>
            <w:tcBorders>
              <w:tl2br w:val="nil"/>
              <w:tr2bl w:val="nil"/>
            </w:tcBorders>
            <w:noWrap w:val="0"/>
            <w:vAlign w:val="center"/>
          </w:tcPr>
          <w:p w14:paraId="454C73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23</w:t>
            </w:r>
          </w:p>
        </w:tc>
        <w:tc>
          <w:tcPr>
            <w:tcW w:w="459" w:type="pct"/>
            <w:gridSpan w:val="2"/>
            <w:tcBorders>
              <w:tl2br w:val="nil"/>
              <w:tr2bl w:val="nil"/>
            </w:tcBorders>
            <w:noWrap w:val="0"/>
            <w:vAlign w:val="center"/>
          </w:tcPr>
          <w:p w14:paraId="3E713AA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424" w:type="pct"/>
            <w:tcBorders>
              <w:tl2br w:val="nil"/>
              <w:tr2bl w:val="nil"/>
            </w:tcBorders>
            <w:noWrap w:val="0"/>
            <w:vAlign w:val="center"/>
          </w:tcPr>
          <w:p w14:paraId="08D26FD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42" w:type="pct"/>
            <w:tcBorders>
              <w:tl2br w:val="nil"/>
              <w:tr2bl w:val="nil"/>
            </w:tcBorders>
            <w:noWrap w:val="0"/>
            <w:vAlign w:val="center"/>
          </w:tcPr>
          <w:p w14:paraId="468763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43EB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0" w:type="pct"/>
            <w:vMerge w:val="continue"/>
            <w:tcBorders>
              <w:tl2br w:val="nil"/>
              <w:tr2bl w:val="nil"/>
            </w:tcBorders>
            <w:noWrap w:val="0"/>
            <w:vAlign w:val="center"/>
          </w:tcPr>
          <w:p w14:paraId="688CA4C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810" w:type="pct"/>
            <w:gridSpan w:val="3"/>
            <w:tcBorders>
              <w:tl2br w:val="nil"/>
              <w:tr2bl w:val="nil"/>
            </w:tcBorders>
            <w:noWrap w:val="0"/>
            <w:vAlign w:val="center"/>
          </w:tcPr>
          <w:p w14:paraId="765597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苍耳</w:t>
            </w:r>
            <w:r>
              <w:rPr>
                <w:rFonts w:hint="default" w:ascii="Times New Roman" w:hAnsi="Times New Roman" w:eastAsia="宋体" w:cs="Times New Roman"/>
                <w:i/>
                <w:color w:val="auto"/>
                <w:sz w:val="21"/>
                <w:szCs w:val="21"/>
                <w:u w:val="none" w:color="auto"/>
              </w:rPr>
              <w:t>Xanthium sibiricu</w:t>
            </w:r>
          </w:p>
        </w:tc>
        <w:tc>
          <w:tcPr>
            <w:tcW w:w="800" w:type="pct"/>
            <w:gridSpan w:val="3"/>
            <w:tcBorders>
              <w:tl2br w:val="nil"/>
              <w:tr2bl w:val="nil"/>
            </w:tcBorders>
            <w:noWrap w:val="0"/>
            <w:vAlign w:val="center"/>
          </w:tcPr>
          <w:p w14:paraId="1C01798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423" w:type="pct"/>
            <w:tcBorders>
              <w:tl2br w:val="nil"/>
              <w:tr2bl w:val="nil"/>
            </w:tcBorders>
            <w:noWrap w:val="0"/>
            <w:vAlign w:val="center"/>
          </w:tcPr>
          <w:p w14:paraId="7E02B0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459" w:type="pct"/>
            <w:gridSpan w:val="2"/>
            <w:tcBorders>
              <w:tl2br w:val="nil"/>
              <w:tr2bl w:val="nil"/>
            </w:tcBorders>
            <w:noWrap w:val="0"/>
            <w:vAlign w:val="center"/>
          </w:tcPr>
          <w:p w14:paraId="172AEE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424" w:type="pct"/>
            <w:tcBorders>
              <w:tl2br w:val="nil"/>
              <w:tr2bl w:val="nil"/>
            </w:tcBorders>
            <w:noWrap w:val="0"/>
            <w:vAlign w:val="center"/>
          </w:tcPr>
          <w:p w14:paraId="651DEE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40</w:t>
            </w:r>
          </w:p>
        </w:tc>
        <w:tc>
          <w:tcPr>
            <w:tcW w:w="442" w:type="pct"/>
            <w:tcBorders>
              <w:tl2br w:val="nil"/>
              <w:tr2bl w:val="nil"/>
            </w:tcBorders>
            <w:noWrap w:val="0"/>
            <w:vAlign w:val="center"/>
          </w:tcPr>
          <w:p w14:paraId="50F379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1D8C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12"/>
            <w:tcBorders>
              <w:tl2br w:val="nil"/>
              <w:tr2bl w:val="nil"/>
            </w:tcBorders>
            <w:noWrap w:val="0"/>
            <w:vAlign w:val="center"/>
          </w:tcPr>
          <w:p w14:paraId="4B9859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3520440" cy="1976120"/>
                  <wp:effectExtent l="0" t="0" r="3810" b="5080"/>
                  <wp:docPr id="99" name="图片 21" descr="IMG_20171114_10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descr="IMG_20171114_102808"/>
                          <pic:cNvPicPr>
                            <a:picLocks noChangeAspect="1"/>
                          </pic:cNvPicPr>
                        </pic:nvPicPr>
                        <pic:blipFill>
                          <a:blip r:embed="rId43"/>
                          <a:stretch>
                            <a:fillRect/>
                          </a:stretch>
                        </pic:blipFill>
                        <pic:spPr>
                          <a:xfrm>
                            <a:off x="0" y="0"/>
                            <a:ext cx="3520440" cy="1976120"/>
                          </a:xfrm>
                          <a:prstGeom prst="rect">
                            <a:avLst/>
                          </a:prstGeom>
                          <a:noFill/>
                          <a:ln>
                            <a:noFill/>
                          </a:ln>
                        </pic:spPr>
                      </pic:pic>
                    </a:graphicData>
                  </a:graphic>
                </wp:inline>
              </w:drawing>
            </w:r>
          </w:p>
          <w:p w14:paraId="129999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项目区域五节芒草丛</w:t>
            </w:r>
          </w:p>
        </w:tc>
      </w:tr>
    </w:tbl>
    <w:p w14:paraId="6D24FA35">
      <w:pPr>
        <w:keepNext w:val="0"/>
        <w:keepLines w:val="0"/>
        <w:pageBreakBefore w:val="0"/>
        <w:widowControl w:val="0"/>
        <w:kinsoku/>
        <w:wordWrap/>
        <w:overflowPunct/>
        <w:topLinePunct w:val="0"/>
        <w:autoSpaceDE/>
        <w:autoSpaceDN/>
        <w:bidi w:val="0"/>
        <w:adjustRightInd/>
        <w:snapToGrid w:val="0"/>
        <w:spacing w:before="167" w:beforeLines="50" w:line="240" w:lineRule="auto"/>
        <w:ind w:firstLine="482" w:firstLineChars="200"/>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（4）野葛草丛</w:t>
      </w:r>
    </w:p>
    <w:p w14:paraId="010948A0">
      <w:pPr>
        <w:pageBreakBefore w:val="0"/>
        <w:tabs>
          <w:tab w:val="left" w:pos="2085"/>
        </w:tabs>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野葛草丛主要分布在项目湖泊岸边、道路边等荒地附近，该群落中野葛占绝对优势，同时还分布有白茅（</w:t>
      </w:r>
      <w:r>
        <w:rPr>
          <w:rFonts w:hint="default" w:ascii="Times New Roman" w:hAnsi="Times New Roman" w:eastAsia="宋体" w:cs="Times New Roman"/>
          <w:i/>
          <w:color w:val="auto"/>
          <w:sz w:val="24"/>
          <w:szCs w:val="24"/>
          <w:u w:val="none" w:color="auto"/>
        </w:rPr>
        <w:t>Imperata cylindrica</w:t>
      </w:r>
      <w:r>
        <w:rPr>
          <w:rFonts w:hint="default" w:ascii="Times New Roman" w:hAnsi="Times New Roman" w:eastAsia="宋体" w:cs="Times New Roman"/>
          <w:color w:val="auto"/>
          <w:sz w:val="24"/>
          <w:szCs w:val="24"/>
          <w:u w:val="none" w:color="auto"/>
        </w:rPr>
        <w:t>）、狗尾草（Setaria viridis）、苍耳（</w:t>
      </w:r>
      <w:r>
        <w:rPr>
          <w:rFonts w:hint="default" w:ascii="Times New Roman" w:hAnsi="Times New Roman" w:eastAsia="宋体" w:cs="Times New Roman"/>
          <w:i/>
          <w:color w:val="auto"/>
          <w:sz w:val="24"/>
          <w:szCs w:val="24"/>
          <w:u w:val="none" w:color="auto"/>
        </w:rPr>
        <w:t>Xanthium sibiricu</w:t>
      </w:r>
      <w:r>
        <w:rPr>
          <w:rFonts w:hint="default" w:ascii="Times New Roman" w:hAnsi="Times New Roman" w:eastAsia="宋体" w:cs="Times New Roman"/>
          <w:color w:val="auto"/>
          <w:sz w:val="24"/>
          <w:szCs w:val="24"/>
          <w:u w:val="none" w:color="auto"/>
        </w:rPr>
        <w:t xml:space="preserve"> ）等其它草本植物。</w:t>
      </w:r>
    </w:p>
    <w:p w14:paraId="08FC0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default" w:ascii="Times New Roman" w:hAnsi="Times New Roman" w:eastAsia="宋体" w:cs="Times New Roman"/>
          <w:b/>
          <w:color w:val="auto"/>
          <w:sz w:val="24"/>
          <w:szCs w:val="24"/>
          <w:u w:val="none" w:color="auto"/>
          <w:lang w:val="en-US" w:eastAsia="zh-CN"/>
        </w:rPr>
        <w:t>4.5-1</w:t>
      </w:r>
      <w:r>
        <w:rPr>
          <w:rFonts w:hint="eastAsia" w:cs="Times New Roman"/>
          <w:b/>
          <w:color w:val="auto"/>
          <w:sz w:val="24"/>
          <w:szCs w:val="24"/>
          <w:u w:val="none" w:color="auto"/>
          <w:lang w:val="en-US" w:eastAsia="zh-CN"/>
        </w:rPr>
        <w:t>7</w:t>
      </w:r>
      <w:r>
        <w:rPr>
          <w:rFonts w:hint="default"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 xml:space="preserve"> 野葛草丛样方表</w:t>
      </w:r>
    </w:p>
    <w:tbl>
      <w:tblPr>
        <w:tblStyle w:val="2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63"/>
        <w:gridCol w:w="1320"/>
        <w:gridCol w:w="728"/>
        <w:gridCol w:w="1074"/>
        <w:gridCol w:w="76"/>
        <w:gridCol w:w="863"/>
        <w:gridCol w:w="344"/>
        <w:gridCol w:w="710"/>
        <w:gridCol w:w="557"/>
        <w:gridCol w:w="153"/>
        <w:gridCol w:w="625"/>
        <w:gridCol w:w="707"/>
      </w:tblGrid>
      <w:tr w14:paraId="04B0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tcBorders>
              <w:tl2br w:val="nil"/>
              <w:tr2bl w:val="nil"/>
            </w:tcBorders>
            <w:noWrap w:val="0"/>
            <w:vAlign w:val="center"/>
          </w:tcPr>
          <w:p w14:paraId="75AB7022">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编号</w:t>
            </w:r>
          </w:p>
        </w:tc>
        <w:tc>
          <w:tcPr>
            <w:tcW w:w="803" w:type="pct"/>
            <w:tcBorders>
              <w:tl2br w:val="nil"/>
              <w:tr2bl w:val="nil"/>
            </w:tcBorders>
            <w:noWrap w:val="0"/>
            <w:vAlign w:val="center"/>
          </w:tcPr>
          <w:p w14:paraId="51A4E4AC">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lang w:val="en-US" w:eastAsia="zh-CN"/>
              </w:rPr>
            </w:pPr>
            <w:r>
              <w:rPr>
                <w:rFonts w:hint="default" w:ascii="Times New Roman" w:hAnsi="Times New Roman" w:eastAsia="宋体" w:cs="Times New Roman"/>
                <w:color w:val="auto"/>
                <w:spacing w:val="-2"/>
                <w:sz w:val="21"/>
                <w:szCs w:val="21"/>
                <w:u w:val="none" w:color="auto"/>
                <w:lang w:val="en-US" w:eastAsia="zh-CN"/>
              </w:rPr>
              <w:t>样方4</w:t>
            </w:r>
          </w:p>
        </w:tc>
        <w:tc>
          <w:tcPr>
            <w:tcW w:w="3548" w:type="pct"/>
            <w:gridSpan w:val="10"/>
            <w:tcBorders>
              <w:tl2br w:val="nil"/>
              <w:tr2bl w:val="nil"/>
            </w:tcBorders>
            <w:noWrap w:val="0"/>
            <w:vAlign w:val="center"/>
          </w:tcPr>
          <w:p w14:paraId="1D9F69A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环境特征</w:t>
            </w:r>
          </w:p>
        </w:tc>
      </w:tr>
      <w:tr w14:paraId="499E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tcBorders>
              <w:tl2br w:val="nil"/>
              <w:tr2bl w:val="nil"/>
            </w:tcBorders>
            <w:noWrap w:val="0"/>
            <w:vAlign w:val="center"/>
          </w:tcPr>
          <w:p w14:paraId="088FD40F">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地点</w:t>
            </w:r>
          </w:p>
        </w:tc>
        <w:tc>
          <w:tcPr>
            <w:tcW w:w="803" w:type="pct"/>
            <w:tcBorders>
              <w:tl2br w:val="nil"/>
              <w:tr2bl w:val="nil"/>
            </w:tcBorders>
            <w:noWrap w:val="0"/>
            <w:vAlign w:val="center"/>
          </w:tcPr>
          <w:p w14:paraId="3D7E063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项目东南侧900m</w:t>
            </w:r>
          </w:p>
        </w:tc>
        <w:tc>
          <w:tcPr>
            <w:tcW w:w="443" w:type="pct"/>
            <w:tcBorders>
              <w:tl2br w:val="nil"/>
              <w:tr2bl w:val="nil"/>
            </w:tcBorders>
            <w:noWrap w:val="0"/>
            <w:vAlign w:val="center"/>
          </w:tcPr>
          <w:p w14:paraId="4869F62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地形</w:t>
            </w:r>
          </w:p>
        </w:tc>
        <w:tc>
          <w:tcPr>
            <w:tcW w:w="653" w:type="pct"/>
            <w:tcBorders>
              <w:tl2br w:val="nil"/>
              <w:tr2bl w:val="nil"/>
            </w:tcBorders>
            <w:noWrap w:val="0"/>
            <w:vAlign w:val="center"/>
          </w:tcPr>
          <w:p w14:paraId="18A68F69">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样方面积</w:t>
            </w:r>
          </w:p>
        </w:tc>
        <w:tc>
          <w:tcPr>
            <w:tcW w:w="571" w:type="pct"/>
            <w:gridSpan w:val="2"/>
            <w:tcBorders>
              <w:tl2br w:val="nil"/>
              <w:tr2bl w:val="nil"/>
            </w:tcBorders>
            <w:noWrap w:val="0"/>
            <w:vAlign w:val="center"/>
          </w:tcPr>
          <w:p w14:paraId="53110310">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海拔高度</w:t>
            </w:r>
          </w:p>
        </w:tc>
        <w:tc>
          <w:tcPr>
            <w:tcW w:w="980" w:type="pct"/>
            <w:gridSpan w:val="3"/>
            <w:tcBorders>
              <w:tl2br w:val="nil"/>
              <w:tr2bl w:val="nil"/>
            </w:tcBorders>
            <w:noWrap w:val="0"/>
            <w:vAlign w:val="center"/>
          </w:tcPr>
          <w:p w14:paraId="021F14B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经度</w:t>
            </w:r>
          </w:p>
        </w:tc>
        <w:tc>
          <w:tcPr>
            <w:tcW w:w="900" w:type="pct"/>
            <w:gridSpan w:val="3"/>
            <w:tcBorders>
              <w:tl2br w:val="nil"/>
              <w:tr2bl w:val="nil"/>
            </w:tcBorders>
            <w:noWrap w:val="0"/>
            <w:vAlign w:val="center"/>
          </w:tcPr>
          <w:p w14:paraId="162E7CF9">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纬度</w:t>
            </w:r>
          </w:p>
        </w:tc>
      </w:tr>
      <w:tr w14:paraId="3C66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tcBorders>
              <w:tl2br w:val="nil"/>
              <w:tr2bl w:val="nil"/>
            </w:tcBorders>
            <w:noWrap w:val="0"/>
            <w:vAlign w:val="center"/>
          </w:tcPr>
          <w:p w14:paraId="6AB7C3E5">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群落类型</w:t>
            </w:r>
          </w:p>
        </w:tc>
        <w:tc>
          <w:tcPr>
            <w:tcW w:w="803" w:type="pct"/>
            <w:tcBorders>
              <w:tl2br w:val="nil"/>
              <w:tr2bl w:val="nil"/>
            </w:tcBorders>
            <w:noWrap w:val="0"/>
            <w:vAlign w:val="center"/>
          </w:tcPr>
          <w:p w14:paraId="68F798A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野葛草丛</w:t>
            </w:r>
          </w:p>
        </w:tc>
        <w:tc>
          <w:tcPr>
            <w:tcW w:w="443" w:type="pct"/>
            <w:tcBorders>
              <w:tl2br w:val="nil"/>
              <w:tr2bl w:val="nil"/>
            </w:tcBorders>
            <w:noWrap w:val="0"/>
            <w:vAlign w:val="center"/>
          </w:tcPr>
          <w:p w14:paraId="7F6F7A8A">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平原</w:t>
            </w:r>
          </w:p>
        </w:tc>
        <w:tc>
          <w:tcPr>
            <w:tcW w:w="653" w:type="pct"/>
            <w:tcBorders>
              <w:tl2br w:val="nil"/>
              <w:tr2bl w:val="nil"/>
            </w:tcBorders>
            <w:noWrap w:val="0"/>
            <w:vAlign w:val="center"/>
          </w:tcPr>
          <w:p w14:paraId="17ED2B43">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1m×1m</w:t>
            </w:r>
          </w:p>
        </w:tc>
        <w:tc>
          <w:tcPr>
            <w:tcW w:w="571" w:type="pct"/>
            <w:gridSpan w:val="2"/>
            <w:tcBorders>
              <w:tl2br w:val="nil"/>
              <w:tr2bl w:val="nil"/>
            </w:tcBorders>
            <w:noWrap w:val="0"/>
            <w:vAlign w:val="center"/>
          </w:tcPr>
          <w:p w14:paraId="7DF21B84">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27m</w:t>
            </w:r>
          </w:p>
        </w:tc>
        <w:tc>
          <w:tcPr>
            <w:tcW w:w="980" w:type="pct"/>
            <w:gridSpan w:val="3"/>
            <w:tcBorders>
              <w:tl2br w:val="nil"/>
              <w:tr2bl w:val="nil"/>
            </w:tcBorders>
            <w:noWrap w:val="0"/>
            <w:vAlign w:val="center"/>
          </w:tcPr>
          <w:p w14:paraId="17F1097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zh-CN" w:bidi="zh-CN"/>
              </w:rPr>
            </w:pPr>
            <w:r>
              <w:rPr>
                <w:rFonts w:hint="default" w:ascii="Times New Roman" w:hAnsi="Times New Roman" w:eastAsia="宋体" w:cs="Times New Roman"/>
                <w:color w:val="auto"/>
                <w:sz w:val="21"/>
                <w:szCs w:val="21"/>
                <w:u w:val="none" w:color="auto"/>
              </w:rPr>
              <w:t>113.008374</w:t>
            </w:r>
          </w:p>
        </w:tc>
        <w:tc>
          <w:tcPr>
            <w:tcW w:w="900" w:type="pct"/>
            <w:gridSpan w:val="3"/>
            <w:tcBorders>
              <w:tl2br w:val="nil"/>
              <w:tr2bl w:val="nil"/>
            </w:tcBorders>
            <w:noWrap w:val="0"/>
            <w:vAlign w:val="center"/>
          </w:tcPr>
          <w:p w14:paraId="6707C72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zh-CN" w:bidi="zh-CN"/>
              </w:rPr>
            </w:pPr>
            <w:r>
              <w:rPr>
                <w:rFonts w:hint="default" w:ascii="Times New Roman" w:hAnsi="Times New Roman" w:eastAsia="宋体" w:cs="Times New Roman"/>
                <w:color w:val="auto"/>
                <w:sz w:val="21"/>
                <w:szCs w:val="21"/>
                <w:u w:val="none" w:color="auto"/>
              </w:rPr>
              <w:t>29.155151</w:t>
            </w:r>
          </w:p>
        </w:tc>
      </w:tr>
      <w:tr w14:paraId="2D1A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tcBorders>
              <w:tl2br w:val="nil"/>
              <w:tr2bl w:val="nil"/>
            </w:tcBorders>
            <w:noWrap w:val="0"/>
            <w:vAlign w:val="center"/>
          </w:tcPr>
          <w:p w14:paraId="6F84AB5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群落层次</w:t>
            </w:r>
          </w:p>
        </w:tc>
        <w:tc>
          <w:tcPr>
            <w:tcW w:w="4352" w:type="pct"/>
            <w:gridSpan w:val="11"/>
            <w:tcBorders>
              <w:tl2br w:val="nil"/>
              <w:tr2bl w:val="nil"/>
            </w:tcBorders>
            <w:noWrap w:val="0"/>
            <w:vAlign w:val="center"/>
          </w:tcPr>
          <w:p w14:paraId="7810F269">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一层</w:t>
            </w:r>
          </w:p>
        </w:tc>
      </w:tr>
      <w:tr w14:paraId="0AE7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restart"/>
            <w:tcBorders>
              <w:tl2br w:val="nil"/>
              <w:tr2bl w:val="nil"/>
            </w:tcBorders>
            <w:noWrap w:val="0"/>
            <w:vAlign w:val="center"/>
          </w:tcPr>
          <w:p w14:paraId="7126188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4352" w:type="pct"/>
            <w:gridSpan w:val="11"/>
            <w:tcBorders>
              <w:tl2br w:val="nil"/>
              <w:tr2bl w:val="nil"/>
            </w:tcBorders>
            <w:noWrap w:val="0"/>
            <w:vAlign w:val="center"/>
          </w:tcPr>
          <w:p w14:paraId="07CB7B5D">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种类组成及生长状况</w:t>
            </w:r>
          </w:p>
        </w:tc>
      </w:tr>
      <w:tr w14:paraId="6BB8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continue"/>
            <w:tcBorders>
              <w:tl2br w:val="nil"/>
              <w:tr2bl w:val="nil"/>
            </w:tcBorders>
            <w:noWrap w:val="0"/>
            <w:vAlign w:val="center"/>
          </w:tcPr>
          <w:p w14:paraId="56073A76">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5" w:type="pct"/>
            <w:gridSpan w:val="4"/>
            <w:tcBorders>
              <w:tl2br w:val="nil"/>
              <w:tr2bl w:val="nil"/>
            </w:tcBorders>
            <w:noWrap w:val="0"/>
            <w:vAlign w:val="center"/>
          </w:tcPr>
          <w:p w14:paraId="0D2C68D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734" w:type="pct"/>
            <w:gridSpan w:val="2"/>
            <w:tcBorders>
              <w:tl2br w:val="nil"/>
              <w:tr2bl w:val="nil"/>
            </w:tcBorders>
            <w:noWrap w:val="0"/>
            <w:vAlign w:val="center"/>
          </w:tcPr>
          <w:p w14:paraId="467B61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432" w:type="pct"/>
            <w:tcBorders>
              <w:tl2br w:val="nil"/>
              <w:tr2bl w:val="nil"/>
            </w:tcBorders>
            <w:noWrap w:val="0"/>
            <w:vAlign w:val="center"/>
          </w:tcPr>
          <w:p w14:paraId="4B5FBBE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432" w:type="pct"/>
            <w:gridSpan w:val="2"/>
            <w:tcBorders>
              <w:tl2br w:val="nil"/>
              <w:tr2bl w:val="nil"/>
            </w:tcBorders>
            <w:noWrap w:val="0"/>
            <w:vAlign w:val="center"/>
          </w:tcPr>
          <w:p w14:paraId="10CD1A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380" w:type="pct"/>
            <w:tcBorders>
              <w:tl2br w:val="nil"/>
              <w:tr2bl w:val="nil"/>
            </w:tcBorders>
            <w:noWrap w:val="0"/>
            <w:vAlign w:val="center"/>
          </w:tcPr>
          <w:p w14:paraId="4DFCFC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平均高度cm</w:t>
            </w:r>
          </w:p>
        </w:tc>
        <w:tc>
          <w:tcPr>
            <w:tcW w:w="427" w:type="pct"/>
            <w:tcBorders>
              <w:tl2br w:val="nil"/>
              <w:tr2bl w:val="nil"/>
            </w:tcBorders>
            <w:noWrap w:val="0"/>
            <w:vAlign w:val="center"/>
          </w:tcPr>
          <w:p w14:paraId="3C97E61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2231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restart"/>
            <w:tcBorders>
              <w:tl2br w:val="nil"/>
              <w:tr2bl w:val="nil"/>
            </w:tcBorders>
            <w:noWrap w:val="0"/>
            <w:vAlign w:val="center"/>
          </w:tcPr>
          <w:p w14:paraId="66B87EA1">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r>
              <w:rPr>
                <w:rFonts w:hint="default" w:ascii="Times New Roman" w:hAnsi="Times New Roman" w:eastAsia="宋体" w:cs="Times New Roman"/>
                <w:color w:val="auto"/>
                <w:spacing w:val="-2"/>
                <w:sz w:val="21"/>
                <w:szCs w:val="21"/>
                <w:u w:val="none" w:color="auto"/>
              </w:rPr>
              <w:t>草本层</w:t>
            </w:r>
          </w:p>
        </w:tc>
        <w:tc>
          <w:tcPr>
            <w:tcW w:w="1945" w:type="pct"/>
            <w:gridSpan w:val="4"/>
            <w:tcBorders>
              <w:tl2br w:val="nil"/>
              <w:tr2bl w:val="nil"/>
            </w:tcBorders>
            <w:noWrap w:val="0"/>
            <w:vAlign w:val="center"/>
          </w:tcPr>
          <w:p w14:paraId="3E9102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野葛</w:t>
            </w:r>
            <w:r>
              <w:rPr>
                <w:rFonts w:hint="default" w:ascii="Times New Roman" w:hAnsi="Times New Roman" w:eastAsia="宋体" w:cs="Times New Roman"/>
                <w:i/>
                <w:color w:val="auto"/>
                <w:sz w:val="21"/>
                <w:szCs w:val="21"/>
                <w:u w:val="none" w:color="auto"/>
              </w:rPr>
              <w:t>Pueraria lobata</w:t>
            </w:r>
          </w:p>
        </w:tc>
        <w:tc>
          <w:tcPr>
            <w:tcW w:w="734" w:type="pct"/>
            <w:gridSpan w:val="2"/>
            <w:tcBorders>
              <w:tl2br w:val="nil"/>
              <w:tr2bl w:val="nil"/>
            </w:tcBorders>
            <w:noWrap w:val="0"/>
            <w:vAlign w:val="center"/>
          </w:tcPr>
          <w:p w14:paraId="0839BBE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432" w:type="pct"/>
            <w:tcBorders>
              <w:tl2br w:val="nil"/>
              <w:tr2bl w:val="nil"/>
            </w:tcBorders>
            <w:noWrap w:val="0"/>
            <w:vAlign w:val="center"/>
          </w:tcPr>
          <w:p w14:paraId="40B1AE9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53</w:t>
            </w:r>
          </w:p>
        </w:tc>
        <w:tc>
          <w:tcPr>
            <w:tcW w:w="432" w:type="pct"/>
            <w:gridSpan w:val="2"/>
            <w:tcBorders>
              <w:tl2br w:val="nil"/>
              <w:tr2bl w:val="nil"/>
            </w:tcBorders>
            <w:noWrap w:val="0"/>
            <w:vAlign w:val="center"/>
          </w:tcPr>
          <w:p w14:paraId="22DB1A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380" w:type="pct"/>
            <w:tcBorders>
              <w:tl2br w:val="nil"/>
              <w:tr2bl w:val="nil"/>
            </w:tcBorders>
            <w:noWrap w:val="0"/>
            <w:vAlign w:val="center"/>
          </w:tcPr>
          <w:p w14:paraId="0D5027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27" w:type="pct"/>
            <w:tcBorders>
              <w:tl2br w:val="nil"/>
              <w:tr2bl w:val="nil"/>
            </w:tcBorders>
            <w:noWrap w:val="0"/>
            <w:vAlign w:val="center"/>
          </w:tcPr>
          <w:p w14:paraId="4C4998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7D54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continue"/>
            <w:tcBorders>
              <w:tl2br w:val="nil"/>
              <w:tr2bl w:val="nil"/>
            </w:tcBorders>
            <w:noWrap w:val="0"/>
            <w:vAlign w:val="center"/>
          </w:tcPr>
          <w:p w14:paraId="6E536F9E">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5" w:type="pct"/>
            <w:gridSpan w:val="4"/>
            <w:tcBorders>
              <w:tl2br w:val="nil"/>
              <w:tr2bl w:val="nil"/>
            </w:tcBorders>
            <w:noWrap w:val="0"/>
            <w:vAlign w:val="center"/>
          </w:tcPr>
          <w:p w14:paraId="315720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白茅</w:t>
            </w:r>
            <w:r>
              <w:rPr>
                <w:rFonts w:hint="default" w:ascii="Times New Roman" w:hAnsi="Times New Roman" w:eastAsia="宋体" w:cs="Times New Roman"/>
                <w:i/>
                <w:color w:val="auto"/>
                <w:sz w:val="21"/>
                <w:szCs w:val="21"/>
                <w:u w:val="none" w:color="auto"/>
              </w:rPr>
              <w:t>Imperata cylindrica</w:t>
            </w:r>
          </w:p>
        </w:tc>
        <w:tc>
          <w:tcPr>
            <w:tcW w:w="734" w:type="pct"/>
            <w:gridSpan w:val="2"/>
            <w:tcBorders>
              <w:tl2br w:val="nil"/>
              <w:tr2bl w:val="nil"/>
            </w:tcBorders>
            <w:noWrap w:val="0"/>
            <w:vAlign w:val="center"/>
          </w:tcPr>
          <w:p w14:paraId="2A2DD51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花果期</w:t>
            </w:r>
          </w:p>
        </w:tc>
        <w:tc>
          <w:tcPr>
            <w:tcW w:w="432" w:type="pct"/>
            <w:tcBorders>
              <w:tl2br w:val="nil"/>
              <w:tr2bl w:val="nil"/>
            </w:tcBorders>
            <w:noWrap w:val="0"/>
            <w:vAlign w:val="center"/>
          </w:tcPr>
          <w:p w14:paraId="172707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24</w:t>
            </w:r>
          </w:p>
        </w:tc>
        <w:tc>
          <w:tcPr>
            <w:tcW w:w="432" w:type="pct"/>
            <w:gridSpan w:val="2"/>
            <w:tcBorders>
              <w:tl2br w:val="nil"/>
              <w:tr2bl w:val="nil"/>
            </w:tcBorders>
            <w:noWrap w:val="0"/>
            <w:vAlign w:val="center"/>
          </w:tcPr>
          <w:p w14:paraId="02C835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2</w:t>
            </w:r>
          </w:p>
        </w:tc>
        <w:tc>
          <w:tcPr>
            <w:tcW w:w="380" w:type="pct"/>
            <w:tcBorders>
              <w:tl2br w:val="nil"/>
              <w:tr2bl w:val="nil"/>
            </w:tcBorders>
            <w:noWrap w:val="0"/>
            <w:vAlign w:val="center"/>
          </w:tcPr>
          <w:p w14:paraId="5DD7A3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27" w:type="pct"/>
            <w:tcBorders>
              <w:tl2br w:val="nil"/>
              <w:tr2bl w:val="nil"/>
            </w:tcBorders>
            <w:noWrap w:val="0"/>
            <w:vAlign w:val="center"/>
          </w:tcPr>
          <w:p w14:paraId="4419BC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5173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continue"/>
            <w:tcBorders>
              <w:tl2br w:val="nil"/>
              <w:tr2bl w:val="nil"/>
            </w:tcBorders>
            <w:noWrap w:val="0"/>
            <w:vAlign w:val="center"/>
          </w:tcPr>
          <w:p w14:paraId="221E06C7">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5" w:type="pct"/>
            <w:gridSpan w:val="4"/>
            <w:tcBorders>
              <w:tl2br w:val="nil"/>
              <w:tr2bl w:val="nil"/>
            </w:tcBorders>
            <w:noWrap w:val="0"/>
            <w:vAlign w:val="center"/>
          </w:tcPr>
          <w:p w14:paraId="24F9D0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狗尾草Setaria viridis</w:t>
            </w:r>
          </w:p>
        </w:tc>
        <w:tc>
          <w:tcPr>
            <w:tcW w:w="734" w:type="pct"/>
            <w:gridSpan w:val="2"/>
            <w:tcBorders>
              <w:tl2br w:val="nil"/>
              <w:tr2bl w:val="nil"/>
            </w:tcBorders>
            <w:noWrap w:val="0"/>
            <w:vAlign w:val="center"/>
          </w:tcPr>
          <w:p w14:paraId="68F2BBE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花果期</w:t>
            </w:r>
          </w:p>
        </w:tc>
        <w:tc>
          <w:tcPr>
            <w:tcW w:w="432" w:type="pct"/>
            <w:tcBorders>
              <w:tl2br w:val="nil"/>
              <w:tr2bl w:val="nil"/>
            </w:tcBorders>
            <w:noWrap w:val="0"/>
            <w:vAlign w:val="center"/>
          </w:tcPr>
          <w:p w14:paraId="7977E8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23</w:t>
            </w:r>
          </w:p>
        </w:tc>
        <w:tc>
          <w:tcPr>
            <w:tcW w:w="432" w:type="pct"/>
            <w:gridSpan w:val="2"/>
            <w:tcBorders>
              <w:tl2br w:val="nil"/>
              <w:tr2bl w:val="nil"/>
            </w:tcBorders>
            <w:noWrap w:val="0"/>
            <w:vAlign w:val="center"/>
          </w:tcPr>
          <w:p w14:paraId="4957A9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2</w:t>
            </w:r>
          </w:p>
        </w:tc>
        <w:tc>
          <w:tcPr>
            <w:tcW w:w="380" w:type="pct"/>
            <w:tcBorders>
              <w:tl2br w:val="nil"/>
              <w:tr2bl w:val="nil"/>
            </w:tcBorders>
            <w:noWrap w:val="0"/>
            <w:vAlign w:val="center"/>
          </w:tcPr>
          <w:p w14:paraId="2F0D42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427" w:type="pct"/>
            <w:tcBorders>
              <w:tl2br w:val="nil"/>
              <w:tr2bl w:val="nil"/>
            </w:tcBorders>
            <w:noWrap w:val="0"/>
            <w:vAlign w:val="center"/>
          </w:tcPr>
          <w:p w14:paraId="14018B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6B86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continue"/>
            <w:tcBorders>
              <w:tl2br w:val="nil"/>
              <w:tr2bl w:val="nil"/>
            </w:tcBorders>
            <w:noWrap w:val="0"/>
            <w:vAlign w:val="center"/>
          </w:tcPr>
          <w:p w14:paraId="668F7B88">
            <w:pPr>
              <w:pStyle w:val="6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sz w:val="21"/>
                <w:szCs w:val="21"/>
                <w:u w:val="none" w:color="auto"/>
              </w:rPr>
            </w:pPr>
          </w:p>
        </w:tc>
        <w:tc>
          <w:tcPr>
            <w:tcW w:w="1945" w:type="pct"/>
            <w:gridSpan w:val="4"/>
            <w:tcBorders>
              <w:tl2br w:val="nil"/>
              <w:tr2bl w:val="nil"/>
            </w:tcBorders>
            <w:noWrap w:val="0"/>
            <w:vAlign w:val="center"/>
          </w:tcPr>
          <w:p w14:paraId="79E9C3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苍耳</w:t>
            </w:r>
            <w:r>
              <w:rPr>
                <w:rFonts w:hint="default" w:ascii="Times New Roman" w:hAnsi="Times New Roman" w:eastAsia="宋体" w:cs="Times New Roman"/>
                <w:i/>
                <w:color w:val="auto"/>
                <w:sz w:val="21"/>
                <w:szCs w:val="21"/>
                <w:u w:val="none" w:color="auto"/>
              </w:rPr>
              <w:t>Xanthium sibiricu</w:t>
            </w:r>
          </w:p>
        </w:tc>
        <w:tc>
          <w:tcPr>
            <w:tcW w:w="734" w:type="pct"/>
            <w:gridSpan w:val="2"/>
            <w:tcBorders>
              <w:tl2br w:val="nil"/>
              <w:tr2bl w:val="nil"/>
            </w:tcBorders>
            <w:noWrap w:val="0"/>
            <w:vAlign w:val="center"/>
          </w:tcPr>
          <w:p w14:paraId="3A87C5E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432" w:type="pct"/>
            <w:tcBorders>
              <w:tl2br w:val="nil"/>
              <w:tr2bl w:val="nil"/>
            </w:tcBorders>
            <w:noWrap w:val="0"/>
            <w:vAlign w:val="center"/>
          </w:tcPr>
          <w:p w14:paraId="01CE4D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432" w:type="pct"/>
            <w:gridSpan w:val="2"/>
            <w:tcBorders>
              <w:tl2br w:val="nil"/>
              <w:tr2bl w:val="nil"/>
            </w:tcBorders>
            <w:noWrap w:val="0"/>
            <w:vAlign w:val="center"/>
          </w:tcPr>
          <w:p w14:paraId="1AC308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380" w:type="pct"/>
            <w:tcBorders>
              <w:tl2br w:val="nil"/>
              <w:tr2bl w:val="nil"/>
            </w:tcBorders>
            <w:noWrap w:val="0"/>
            <w:vAlign w:val="center"/>
          </w:tcPr>
          <w:p w14:paraId="5C0470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40</w:t>
            </w:r>
          </w:p>
        </w:tc>
        <w:tc>
          <w:tcPr>
            <w:tcW w:w="427" w:type="pct"/>
            <w:tcBorders>
              <w:tl2br w:val="nil"/>
              <w:tr2bl w:val="nil"/>
            </w:tcBorders>
            <w:noWrap w:val="0"/>
            <w:vAlign w:val="center"/>
          </w:tcPr>
          <w:p w14:paraId="5ECBB9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5053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000" w:type="pct"/>
            <w:gridSpan w:val="12"/>
            <w:tcBorders>
              <w:tl2br w:val="nil"/>
              <w:tr2bl w:val="nil"/>
            </w:tcBorders>
            <w:noWrap w:val="0"/>
            <w:vAlign w:val="center"/>
          </w:tcPr>
          <w:p w14:paraId="4E2945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3835400" cy="2152650"/>
                  <wp:effectExtent l="0" t="0" r="12700" b="0"/>
                  <wp:docPr id="105" name="图片 22" descr="IMG_20171114_10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descr="IMG_20171114_103729"/>
                          <pic:cNvPicPr>
                            <a:picLocks noChangeAspect="1"/>
                          </pic:cNvPicPr>
                        </pic:nvPicPr>
                        <pic:blipFill>
                          <a:blip r:embed="rId44"/>
                          <a:stretch>
                            <a:fillRect/>
                          </a:stretch>
                        </pic:blipFill>
                        <pic:spPr>
                          <a:xfrm>
                            <a:off x="0" y="0"/>
                            <a:ext cx="3835400" cy="2152650"/>
                          </a:xfrm>
                          <a:prstGeom prst="rect">
                            <a:avLst/>
                          </a:prstGeom>
                          <a:noFill/>
                          <a:ln>
                            <a:noFill/>
                          </a:ln>
                        </pic:spPr>
                      </pic:pic>
                    </a:graphicData>
                  </a:graphic>
                </wp:inline>
              </w:drawing>
            </w:r>
          </w:p>
          <w:p w14:paraId="1618CC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项目区域野葛草丛</w:t>
            </w:r>
          </w:p>
        </w:tc>
      </w:tr>
    </w:tbl>
    <w:p w14:paraId="7DEC83F1">
      <w:pPr>
        <w:pageBreakBefore w:val="0"/>
        <w:kinsoku/>
        <w:wordWrap/>
        <w:overflowPunct/>
        <w:topLinePunct w:val="0"/>
        <w:bidi w:val="0"/>
        <w:spacing w:line="360" w:lineRule="auto"/>
        <w:outlineLvl w:val="9"/>
        <w:rPr>
          <w:rFonts w:hint="default" w:ascii="Times New Roman" w:hAnsi="Times New Roman" w:eastAsia="宋体" w:cs="Times New Roman"/>
          <w:b/>
          <w:bCs/>
          <w:color w:val="auto"/>
          <w:sz w:val="24"/>
          <w:szCs w:val="24"/>
          <w:u w:val="none" w:color="auto"/>
          <w:lang w:val="en-US"/>
        </w:rPr>
      </w:pPr>
      <w:bookmarkStart w:id="603" w:name="_Toc31653"/>
      <w:r>
        <w:rPr>
          <w:rFonts w:hint="default" w:ascii="Times New Roman" w:hAnsi="Times New Roman" w:eastAsia="宋体" w:cs="Times New Roman"/>
          <w:b/>
          <w:bCs/>
          <w:color w:val="auto"/>
          <w:sz w:val="24"/>
          <w:szCs w:val="24"/>
          <w:u w:val="none" w:color="auto"/>
          <w:lang w:val="en-US" w:eastAsia="zh-CN"/>
        </w:rPr>
        <w:t>2、湖中洲滩</w:t>
      </w:r>
      <w:bookmarkEnd w:id="603"/>
    </w:p>
    <w:p w14:paraId="23723DEA">
      <w:pPr>
        <w:pageBreakBefore w:val="0"/>
        <w:kinsoku/>
        <w:wordWrap/>
        <w:overflowPunct/>
        <w:topLinePunct w:val="0"/>
        <w:bidi w:val="0"/>
        <w:snapToGrid w:val="0"/>
        <w:spacing w:line="360" w:lineRule="auto"/>
        <w:ind w:firstLine="482" w:firstLineChars="200"/>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lang w:eastAsia="zh-CN"/>
        </w:rPr>
        <w:t>（</w:t>
      </w:r>
      <w:r>
        <w:rPr>
          <w:rFonts w:hint="default" w:ascii="Times New Roman" w:hAnsi="Times New Roman" w:eastAsia="宋体" w:cs="Times New Roman"/>
          <w:b/>
          <w:color w:val="auto"/>
          <w:sz w:val="24"/>
          <w:szCs w:val="24"/>
          <w:u w:val="none" w:color="auto"/>
          <w:lang w:val="en-US" w:eastAsia="zh-CN"/>
        </w:rPr>
        <w:t>1</w:t>
      </w:r>
      <w:r>
        <w:rPr>
          <w:rFonts w:hint="default" w:ascii="Times New Roman" w:hAnsi="Times New Roman" w:eastAsia="宋体" w:cs="Times New Roman"/>
          <w:b/>
          <w:color w:val="auto"/>
          <w:sz w:val="24"/>
          <w:szCs w:val="24"/>
          <w:u w:val="none" w:color="auto"/>
          <w:lang w:eastAsia="zh-CN"/>
        </w:rPr>
        <w:t>）</w:t>
      </w:r>
      <w:r>
        <w:rPr>
          <w:rFonts w:hint="default" w:ascii="Times New Roman" w:hAnsi="Times New Roman" w:eastAsia="宋体" w:cs="Times New Roman"/>
          <w:b/>
          <w:color w:val="auto"/>
          <w:sz w:val="24"/>
          <w:szCs w:val="24"/>
          <w:u w:val="none" w:color="auto"/>
          <w:lang w:val="zh-CN"/>
        </w:rPr>
        <w:t>杨树</w:t>
      </w:r>
      <w:r>
        <w:rPr>
          <w:rFonts w:hint="default" w:ascii="Times New Roman" w:hAnsi="Times New Roman" w:eastAsia="宋体" w:cs="Times New Roman"/>
          <w:b/>
          <w:color w:val="auto"/>
          <w:sz w:val="24"/>
          <w:szCs w:val="24"/>
          <w:u w:val="none" w:color="auto"/>
        </w:rPr>
        <w:t>（</w:t>
      </w:r>
      <w:r>
        <w:rPr>
          <w:rFonts w:hint="default" w:ascii="Times New Roman" w:hAnsi="Times New Roman" w:eastAsia="宋体" w:cs="Times New Roman"/>
          <w:b/>
          <w:i/>
          <w:iCs/>
          <w:color w:val="auto"/>
          <w:sz w:val="24"/>
          <w:szCs w:val="24"/>
          <w:u w:val="none" w:color="auto"/>
        </w:rPr>
        <w:t>Populus simonii</w:t>
      </w:r>
      <w:r>
        <w:rPr>
          <w:rFonts w:hint="default" w:ascii="Times New Roman" w:hAnsi="Times New Roman" w:eastAsia="宋体" w:cs="Times New Roman"/>
          <w:b/>
          <w:color w:val="auto"/>
          <w:sz w:val="24"/>
          <w:szCs w:val="24"/>
          <w:u w:val="none" w:color="auto"/>
        </w:rPr>
        <w:t>）</w:t>
      </w:r>
    </w:p>
    <w:p w14:paraId="79F86AE9">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与杨树伴生的灌木层植物主要为红继木、苎麻，草本层主要植物为葎草和芒，详见</w:t>
      </w:r>
      <w:r>
        <w:rPr>
          <w:rFonts w:hint="eastAsia" w:cs="Times New Roman"/>
          <w:color w:val="auto"/>
          <w:sz w:val="24"/>
          <w:szCs w:val="24"/>
          <w:u w:val="none" w:color="auto"/>
          <w:lang w:val="en-US" w:eastAsia="zh-CN"/>
        </w:rPr>
        <w:t>下</w:t>
      </w:r>
      <w:r>
        <w:rPr>
          <w:rFonts w:hint="default" w:ascii="Times New Roman" w:hAnsi="Times New Roman" w:eastAsia="宋体" w:cs="Times New Roman"/>
          <w:color w:val="auto"/>
          <w:sz w:val="24"/>
          <w:szCs w:val="24"/>
          <w:u w:val="none" w:color="auto"/>
        </w:rPr>
        <w:t>表。</w:t>
      </w:r>
    </w:p>
    <w:p w14:paraId="1330D838">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表4.5-1</w:t>
      </w:r>
      <w:r>
        <w:rPr>
          <w:rFonts w:hint="eastAsia"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 xml:space="preserve"> </w:t>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杨树林样方调查表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01"/>
        <w:gridCol w:w="1185"/>
        <w:gridCol w:w="1083"/>
        <w:gridCol w:w="1124"/>
        <w:gridCol w:w="261"/>
        <w:gridCol w:w="678"/>
        <w:gridCol w:w="60"/>
        <w:gridCol w:w="663"/>
        <w:gridCol w:w="621"/>
        <w:gridCol w:w="640"/>
        <w:gridCol w:w="704"/>
      </w:tblGrid>
      <w:tr w14:paraId="5849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vMerge w:val="restart"/>
            <w:noWrap w:val="0"/>
            <w:vAlign w:val="center"/>
          </w:tcPr>
          <w:p w14:paraId="72B45E6E">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编号</w:t>
            </w:r>
          </w:p>
        </w:tc>
        <w:tc>
          <w:tcPr>
            <w:tcW w:w="1207" w:type="dxa"/>
            <w:vMerge w:val="restart"/>
            <w:noWrap w:val="0"/>
            <w:vAlign w:val="center"/>
          </w:tcPr>
          <w:p w14:paraId="3B9841AA">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val="en-US" w:eastAsia="zh-CN"/>
              </w:rPr>
              <w:t>样方5</w:t>
            </w:r>
          </w:p>
        </w:tc>
        <w:tc>
          <w:tcPr>
            <w:tcW w:w="5938" w:type="dxa"/>
            <w:gridSpan w:val="9"/>
            <w:noWrap w:val="0"/>
            <w:vAlign w:val="center"/>
          </w:tcPr>
          <w:p w14:paraId="466AC44F">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环境特征</w:t>
            </w:r>
          </w:p>
        </w:tc>
      </w:tr>
      <w:tr w14:paraId="7078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vMerge w:val="continue"/>
            <w:noWrap w:val="0"/>
            <w:vAlign w:val="center"/>
          </w:tcPr>
          <w:p w14:paraId="368BA359">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p>
        </w:tc>
        <w:tc>
          <w:tcPr>
            <w:tcW w:w="1207" w:type="dxa"/>
            <w:vMerge w:val="continue"/>
            <w:noWrap w:val="0"/>
            <w:vAlign w:val="center"/>
          </w:tcPr>
          <w:p w14:paraId="613E9C2E">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p>
        </w:tc>
        <w:tc>
          <w:tcPr>
            <w:tcW w:w="1103" w:type="dxa"/>
            <w:noWrap w:val="0"/>
            <w:vAlign w:val="center"/>
          </w:tcPr>
          <w:p w14:paraId="225873FC">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地形</w:t>
            </w:r>
          </w:p>
        </w:tc>
        <w:tc>
          <w:tcPr>
            <w:tcW w:w="1144" w:type="dxa"/>
            <w:noWrap w:val="0"/>
            <w:vAlign w:val="center"/>
          </w:tcPr>
          <w:p w14:paraId="25E27FD5">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样方面积</w:t>
            </w:r>
          </w:p>
        </w:tc>
        <w:tc>
          <w:tcPr>
            <w:tcW w:w="956" w:type="dxa"/>
            <w:gridSpan w:val="2"/>
            <w:noWrap w:val="0"/>
            <w:vAlign w:val="center"/>
          </w:tcPr>
          <w:p w14:paraId="442F3694">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海拔高度</w:t>
            </w:r>
          </w:p>
        </w:tc>
        <w:tc>
          <w:tcPr>
            <w:tcW w:w="1368" w:type="dxa"/>
            <w:gridSpan w:val="3"/>
            <w:noWrap w:val="0"/>
            <w:vAlign w:val="center"/>
          </w:tcPr>
          <w:p w14:paraId="1FC2A462">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经度</w:t>
            </w:r>
          </w:p>
        </w:tc>
        <w:tc>
          <w:tcPr>
            <w:tcW w:w="1367" w:type="dxa"/>
            <w:gridSpan w:val="2"/>
            <w:noWrap w:val="0"/>
            <w:vAlign w:val="center"/>
          </w:tcPr>
          <w:p w14:paraId="79FDD145">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纬度</w:t>
            </w:r>
          </w:p>
        </w:tc>
      </w:tr>
      <w:tr w14:paraId="3717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noWrap w:val="0"/>
            <w:vAlign w:val="center"/>
          </w:tcPr>
          <w:p w14:paraId="371CDF7E">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群落类型</w:t>
            </w:r>
          </w:p>
        </w:tc>
        <w:tc>
          <w:tcPr>
            <w:tcW w:w="1207" w:type="dxa"/>
            <w:noWrap w:val="0"/>
            <w:vAlign w:val="center"/>
          </w:tcPr>
          <w:p w14:paraId="6B2EDF43">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杨树林</w:t>
            </w:r>
          </w:p>
        </w:tc>
        <w:tc>
          <w:tcPr>
            <w:tcW w:w="1103" w:type="dxa"/>
            <w:noWrap w:val="0"/>
            <w:vAlign w:val="center"/>
          </w:tcPr>
          <w:p w14:paraId="36322908">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滩涂</w:t>
            </w:r>
          </w:p>
        </w:tc>
        <w:tc>
          <w:tcPr>
            <w:tcW w:w="1144" w:type="dxa"/>
            <w:noWrap w:val="0"/>
            <w:vAlign w:val="center"/>
          </w:tcPr>
          <w:p w14:paraId="6401CC05">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10m×10m</w:t>
            </w:r>
          </w:p>
        </w:tc>
        <w:tc>
          <w:tcPr>
            <w:tcW w:w="956" w:type="dxa"/>
            <w:gridSpan w:val="2"/>
            <w:noWrap w:val="0"/>
            <w:vAlign w:val="center"/>
          </w:tcPr>
          <w:p w14:paraId="59FC7014">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highlight w:val="none"/>
                <w:u w:val="none" w:color="auto"/>
                <w:lang w:val="en-US" w:eastAsia="zh-CN"/>
              </w:rPr>
              <w:t>33</w:t>
            </w:r>
            <w:r>
              <w:rPr>
                <w:rFonts w:hint="default" w:ascii="Times New Roman" w:hAnsi="Times New Roman" w:eastAsia="宋体" w:cs="Times New Roman"/>
                <w:b w:val="0"/>
                <w:bCs w:val="0"/>
                <w:color w:val="auto"/>
                <w:sz w:val="21"/>
                <w:szCs w:val="21"/>
                <w:highlight w:val="none"/>
                <w:u w:val="none" w:color="auto"/>
              </w:rPr>
              <w:t>m</w:t>
            </w:r>
          </w:p>
        </w:tc>
        <w:tc>
          <w:tcPr>
            <w:tcW w:w="1368" w:type="dxa"/>
            <w:gridSpan w:val="3"/>
            <w:noWrap w:val="0"/>
            <w:vAlign w:val="center"/>
          </w:tcPr>
          <w:p w14:paraId="670170D2">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112.993792</w:t>
            </w:r>
          </w:p>
        </w:tc>
        <w:tc>
          <w:tcPr>
            <w:tcW w:w="1367" w:type="dxa"/>
            <w:gridSpan w:val="2"/>
            <w:noWrap w:val="0"/>
            <w:vAlign w:val="center"/>
          </w:tcPr>
          <w:p w14:paraId="727D6309">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29.151439</w:t>
            </w:r>
          </w:p>
        </w:tc>
      </w:tr>
      <w:tr w14:paraId="12D0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noWrap w:val="0"/>
            <w:vAlign w:val="center"/>
          </w:tcPr>
          <w:p w14:paraId="06E13EE0">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样方周边环境现状</w:t>
            </w:r>
          </w:p>
        </w:tc>
        <w:tc>
          <w:tcPr>
            <w:tcW w:w="7145" w:type="dxa"/>
            <w:gridSpan w:val="10"/>
            <w:noWrap w:val="0"/>
            <w:vAlign w:val="center"/>
          </w:tcPr>
          <w:p w14:paraId="035908AF">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洞庭湖滩涂</w:t>
            </w:r>
          </w:p>
        </w:tc>
      </w:tr>
      <w:tr w14:paraId="1106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noWrap w:val="0"/>
            <w:vAlign w:val="center"/>
          </w:tcPr>
          <w:p w14:paraId="7EE62672">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群落层次</w:t>
            </w:r>
          </w:p>
        </w:tc>
        <w:tc>
          <w:tcPr>
            <w:tcW w:w="7145" w:type="dxa"/>
            <w:gridSpan w:val="10"/>
            <w:noWrap w:val="0"/>
            <w:vAlign w:val="center"/>
          </w:tcPr>
          <w:p w14:paraId="56DED367">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三层</w:t>
            </w:r>
          </w:p>
        </w:tc>
      </w:tr>
      <w:tr w14:paraId="3937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noWrap w:val="0"/>
            <w:vAlign w:val="center"/>
          </w:tcPr>
          <w:p w14:paraId="2BC59048">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种类组成及生长状况</w:t>
            </w:r>
          </w:p>
        </w:tc>
        <w:tc>
          <w:tcPr>
            <w:tcW w:w="2310" w:type="dxa"/>
            <w:gridSpan w:val="2"/>
            <w:noWrap w:val="0"/>
            <w:vAlign w:val="center"/>
          </w:tcPr>
          <w:p w14:paraId="7134A136">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1410" w:type="dxa"/>
            <w:gridSpan w:val="2"/>
            <w:noWrap w:val="0"/>
            <w:vAlign w:val="center"/>
          </w:tcPr>
          <w:p w14:paraId="69C115AA">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751" w:type="dxa"/>
            <w:gridSpan w:val="2"/>
            <w:noWrap w:val="0"/>
            <w:vAlign w:val="center"/>
          </w:tcPr>
          <w:p w14:paraId="577C8EAA">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675" w:type="dxa"/>
            <w:noWrap w:val="0"/>
            <w:vAlign w:val="center"/>
          </w:tcPr>
          <w:p w14:paraId="63303085">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1284" w:type="dxa"/>
            <w:gridSpan w:val="2"/>
            <w:noWrap w:val="0"/>
            <w:vAlign w:val="center"/>
          </w:tcPr>
          <w:p w14:paraId="17BAAA1C">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平均高度m</w:t>
            </w:r>
          </w:p>
        </w:tc>
        <w:tc>
          <w:tcPr>
            <w:tcW w:w="715" w:type="dxa"/>
            <w:noWrap w:val="0"/>
            <w:vAlign w:val="center"/>
          </w:tcPr>
          <w:p w14:paraId="32C0E9EE">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2C19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23" w:type="dxa"/>
            <w:noWrap w:val="0"/>
            <w:vAlign w:val="center"/>
          </w:tcPr>
          <w:p w14:paraId="5F21214A">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乔木层</w:t>
            </w:r>
          </w:p>
        </w:tc>
        <w:tc>
          <w:tcPr>
            <w:tcW w:w="2310" w:type="dxa"/>
            <w:gridSpan w:val="2"/>
            <w:noWrap w:val="0"/>
            <w:vAlign w:val="center"/>
          </w:tcPr>
          <w:p w14:paraId="78C7BA8F">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i/>
                <w:color w:val="auto"/>
                <w:sz w:val="21"/>
                <w:szCs w:val="21"/>
                <w:u w:val="none" w:color="auto"/>
              </w:rPr>
            </w:pPr>
            <w:r>
              <w:rPr>
                <w:rFonts w:hint="default" w:ascii="Times New Roman" w:hAnsi="Times New Roman" w:eastAsia="宋体" w:cs="Times New Roman"/>
                <w:color w:val="auto"/>
                <w:sz w:val="21"/>
                <w:szCs w:val="21"/>
                <w:u w:val="none" w:color="auto"/>
              </w:rPr>
              <w:t>杨树</w:t>
            </w:r>
          </w:p>
        </w:tc>
        <w:tc>
          <w:tcPr>
            <w:tcW w:w="1410" w:type="dxa"/>
            <w:gridSpan w:val="2"/>
            <w:noWrap w:val="0"/>
            <w:vAlign w:val="center"/>
          </w:tcPr>
          <w:p w14:paraId="47B179C3">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751" w:type="dxa"/>
            <w:gridSpan w:val="2"/>
            <w:noWrap w:val="0"/>
            <w:vAlign w:val="center"/>
          </w:tcPr>
          <w:p w14:paraId="23EF7A21">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675" w:type="dxa"/>
            <w:noWrap w:val="0"/>
            <w:vAlign w:val="center"/>
          </w:tcPr>
          <w:p w14:paraId="47F553EE">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Un</w:t>
            </w:r>
          </w:p>
        </w:tc>
        <w:tc>
          <w:tcPr>
            <w:tcW w:w="1284" w:type="dxa"/>
            <w:gridSpan w:val="2"/>
            <w:noWrap w:val="0"/>
            <w:vAlign w:val="center"/>
          </w:tcPr>
          <w:p w14:paraId="5CDC9E18">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715" w:type="dxa"/>
            <w:noWrap w:val="0"/>
            <w:vAlign w:val="center"/>
          </w:tcPr>
          <w:p w14:paraId="2BE62A82">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17F5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noWrap w:val="0"/>
            <w:vAlign w:val="center"/>
          </w:tcPr>
          <w:p w14:paraId="1E5D220D">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灌木层</w:t>
            </w:r>
          </w:p>
        </w:tc>
        <w:tc>
          <w:tcPr>
            <w:tcW w:w="2310" w:type="dxa"/>
            <w:gridSpan w:val="2"/>
            <w:noWrap w:val="0"/>
            <w:vAlign w:val="center"/>
          </w:tcPr>
          <w:p w14:paraId="75317DB8">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i/>
                <w:color w:val="auto"/>
                <w:sz w:val="21"/>
                <w:szCs w:val="21"/>
                <w:u w:val="none" w:color="auto"/>
              </w:rPr>
            </w:pPr>
            <w:r>
              <w:rPr>
                <w:rFonts w:hint="default" w:ascii="Times New Roman" w:hAnsi="Times New Roman" w:eastAsia="宋体" w:cs="Times New Roman"/>
                <w:color w:val="auto"/>
                <w:sz w:val="21"/>
                <w:szCs w:val="21"/>
                <w:u w:val="none" w:color="auto"/>
                <w:shd w:val="clear" w:color="auto" w:fill="FFFFFF"/>
              </w:rPr>
              <w:t>芦苇</w:t>
            </w:r>
          </w:p>
        </w:tc>
        <w:tc>
          <w:tcPr>
            <w:tcW w:w="1410" w:type="dxa"/>
            <w:gridSpan w:val="2"/>
            <w:noWrap w:val="0"/>
            <w:vAlign w:val="center"/>
          </w:tcPr>
          <w:p w14:paraId="7DAB0171">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751" w:type="dxa"/>
            <w:gridSpan w:val="2"/>
            <w:noWrap w:val="0"/>
            <w:vAlign w:val="center"/>
          </w:tcPr>
          <w:p w14:paraId="430D015D">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c>
          <w:tcPr>
            <w:tcW w:w="675" w:type="dxa"/>
            <w:noWrap w:val="0"/>
            <w:vAlign w:val="center"/>
          </w:tcPr>
          <w:p w14:paraId="419E91BC">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1284" w:type="dxa"/>
            <w:gridSpan w:val="2"/>
            <w:noWrap w:val="0"/>
            <w:vAlign w:val="center"/>
          </w:tcPr>
          <w:p w14:paraId="1A327B1E">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715" w:type="dxa"/>
            <w:noWrap w:val="0"/>
            <w:vAlign w:val="center"/>
          </w:tcPr>
          <w:p w14:paraId="2895DD1B">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634E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vMerge w:val="restart"/>
            <w:noWrap w:val="0"/>
            <w:vAlign w:val="center"/>
          </w:tcPr>
          <w:p w14:paraId="2C6B7A8D">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草本层</w:t>
            </w:r>
          </w:p>
        </w:tc>
        <w:tc>
          <w:tcPr>
            <w:tcW w:w="2310" w:type="dxa"/>
            <w:gridSpan w:val="2"/>
            <w:noWrap w:val="0"/>
            <w:vAlign w:val="center"/>
          </w:tcPr>
          <w:p w14:paraId="3F565AC3">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shd w:val="clear" w:color="auto" w:fill="FFFFFF"/>
              </w:rPr>
              <w:t>苔草</w:t>
            </w:r>
          </w:p>
        </w:tc>
        <w:tc>
          <w:tcPr>
            <w:tcW w:w="1410" w:type="dxa"/>
            <w:gridSpan w:val="2"/>
            <w:noWrap w:val="0"/>
            <w:vAlign w:val="center"/>
          </w:tcPr>
          <w:p w14:paraId="5918ED50">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营养期</w:t>
            </w:r>
          </w:p>
        </w:tc>
        <w:tc>
          <w:tcPr>
            <w:tcW w:w="751" w:type="dxa"/>
            <w:gridSpan w:val="2"/>
            <w:noWrap w:val="0"/>
            <w:vAlign w:val="center"/>
          </w:tcPr>
          <w:p w14:paraId="1B51FAD2">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675" w:type="dxa"/>
            <w:noWrap w:val="0"/>
            <w:vAlign w:val="center"/>
          </w:tcPr>
          <w:p w14:paraId="5747F123">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2</w:t>
            </w:r>
          </w:p>
        </w:tc>
        <w:tc>
          <w:tcPr>
            <w:tcW w:w="1284" w:type="dxa"/>
            <w:gridSpan w:val="2"/>
            <w:noWrap w:val="0"/>
            <w:vAlign w:val="center"/>
          </w:tcPr>
          <w:p w14:paraId="3A07399D">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0.6</w:t>
            </w:r>
          </w:p>
        </w:tc>
        <w:tc>
          <w:tcPr>
            <w:tcW w:w="715" w:type="dxa"/>
            <w:noWrap w:val="0"/>
            <w:vAlign w:val="center"/>
          </w:tcPr>
          <w:p w14:paraId="1EF91FD6">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4929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3" w:type="dxa"/>
            <w:vMerge w:val="continue"/>
            <w:noWrap w:val="0"/>
            <w:vAlign w:val="center"/>
          </w:tcPr>
          <w:p w14:paraId="4588B4AA">
            <w:pPr>
              <w:pStyle w:val="65"/>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2310" w:type="dxa"/>
            <w:gridSpan w:val="2"/>
            <w:noWrap w:val="0"/>
            <w:vAlign w:val="center"/>
          </w:tcPr>
          <w:p w14:paraId="0958CAC3">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shd w:val="clear" w:color="auto" w:fill="FFFFFF"/>
              </w:rPr>
              <w:t>芦蒿（</w:t>
            </w:r>
            <w:r>
              <w:rPr>
                <w:rFonts w:hint="default" w:ascii="Times New Roman" w:hAnsi="Times New Roman" w:eastAsia="宋体" w:cs="Times New Roman"/>
                <w:i/>
                <w:iCs/>
                <w:color w:val="auto"/>
                <w:sz w:val="21"/>
                <w:szCs w:val="21"/>
                <w:u w:val="none" w:color="auto"/>
                <w:shd w:val="clear" w:color="auto" w:fill="FFFFFF"/>
              </w:rPr>
              <w:t>Artemisiaselengensis</w:t>
            </w:r>
            <w:r>
              <w:rPr>
                <w:rFonts w:hint="default" w:ascii="Times New Roman" w:hAnsi="Times New Roman" w:eastAsia="宋体" w:cs="Times New Roman"/>
                <w:color w:val="auto"/>
                <w:sz w:val="21"/>
                <w:szCs w:val="21"/>
                <w:u w:val="none" w:color="auto"/>
                <w:shd w:val="clear" w:color="auto" w:fill="FFFFFF"/>
              </w:rPr>
              <w:t>）</w:t>
            </w:r>
          </w:p>
        </w:tc>
        <w:tc>
          <w:tcPr>
            <w:tcW w:w="1410" w:type="dxa"/>
            <w:gridSpan w:val="2"/>
            <w:noWrap w:val="0"/>
            <w:vAlign w:val="center"/>
          </w:tcPr>
          <w:p w14:paraId="293417D3">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营养期</w:t>
            </w:r>
          </w:p>
        </w:tc>
        <w:tc>
          <w:tcPr>
            <w:tcW w:w="751" w:type="dxa"/>
            <w:gridSpan w:val="2"/>
            <w:noWrap w:val="0"/>
            <w:vAlign w:val="center"/>
          </w:tcPr>
          <w:p w14:paraId="0003FFE0">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675" w:type="dxa"/>
            <w:noWrap w:val="0"/>
            <w:vAlign w:val="center"/>
          </w:tcPr>
          <w:p w14:paraId="3A4C6A2C">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1284" w:type="dxa"/>
            <w:gridSpan w:val="2"/>
            <w:noWrap w:val="0"/>
            <w:vAlign w:val="center"/>
          </w:tcPr>
          <w:p w14:paraId="3E94BF8B">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0.4</w:t>
            </w:r>
          </w:p>
        </w:tc>
        <w:tc>
          <w:tcPr>
            <w:tcW w:w="715" w:type="dxa"/>
            <w:noWrap w:val="0"/>
            <w:vAlign w:val="center"/>
          </w:tcPr>
          <w:p w14:paraId="5E992AF5">
            <w:pPr>
              <w:keepNext w:val="0"/>
              <w:keepLines w:val="0"/>
              <w:pageBreakBefore w:val="0"/>
              <w:widowControl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r>
      <w:tr w14:paraId="4768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8" w:type="dxa"/>
            <w:gridSpan w:val="11"/>
            <w:noWrap w:val="0"/>
            <w:vAlign w:val="center"/>
          </w:tcPr>
          <w:p w14:paraId="5B5264E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3258820" cy="1932940"/>
                  <wp:effectExtent l="0" t="0" r="17780" b="10160"/>
                  <wp:docPr id="109" name="图片 23" descr="D:\丁总\新港、胜利采区采砂10000\附件\照片\IMG_20180517_140729.jpgIMG_20180517_14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 descr="D:\丁总\新港、胜利采区采砂10000\附件\照片\IMG_20180517_140729.jpgIMG_20180517_140729"/>
                          <pic:cNvPicPr>
                            <a:picLocks noChangeAspect="1"/>
                          </pic:cNvPicPr>
                        </pic:nvPicPr>
                        <pic:blipFill>
                          <a:blip r:embed="rId45"/>
                          <a:stretch>
                            <a:fillRect/>
                          </a:stretch>
                        </pic:blipFill>
                        <pic:spPr>
                          <a:xfrm>
                            <a:off x="0" y="0"/>
                            <a:ext cx="3258820" cy="1932940"/>
                          </a:xfrm>
                          <a:prstGeom prst="rect">
                            <a:avLst/>
                          </a:prstGeom>
                          <a:noFill/>
                          <a:ln>
                            <a:noFill/>
                          </a:ln>
                        </pic:spPr>
                      </pic:pic>
                    </a:graphicData>
                  </a:graphic>
                </wp:inline>
              </w:drawing>
            </w:r>
          </w:p>
          <w:p w14:paraId="2FD91D5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杨树林</w:t>
            </w:r>
          </w:p>
        </w:tc>
      </w:tr>
    </w:tbl>
    <w:p w14:paraId="36370018">
      <w:pPr>
        <w:pageBreakBefore w:val="0"/>
        <w:kinsoku/>
        <w:wordWrap/>
        <w:overflowPunct/>
        <w:topLinePunct w:val="0"/>
        <w:bidi w:val="0"/>
        <w:spacing w:line="360" w:lineRule="auto"/>
        <w:ind w:firstLine="560"/>
        <w:rPr>
          <w:rFonts w:hint="default" w:ascii="Times New Roman" w:hAnsi="Times New Roman" w:eastAsia="宋体" w:cs="Times New Roman"/>
          <w:b/>
          <w:bCs w:val="0"/>
          <w:color w:val="auto"/>
          <w:sz w:val="24"/>
          <w:szCs w:val="24"/>
          <w:u w:val="none" w:color="auto"/>
        </w:rPr>
      </w:pPr>
      <w:r>
        <w:rPr>
          <w:rFonts w:hint="default" w:ascii="Times New Roman" w:hAnsi="Times New Roman" w:eastAsia="宋体" w:cs="Times New Roman"/>
          <w:b/>
          <w:bCs w:val="0"/>
          <w:color w:val="auto"/>
          <w:sz w:val="24"/>
          <w:szCs w:val="24"/>
          <w:u w:val="none" w:color="auto"/>
          <w:lang w:eastAsia="zh-CN"/>
        </w:rPr>
        <w:t>（</w:t>
      </w:r>
      <w:r>
        <w:rPr>
          <w:rFonts w:hint="default" w:ascii="Times New Roman" w:hAnsi="Times New Roman" w:eastAsia="宋体" w:cs="Times New Roman"/>
          <w:b/>
          <w:bCs w:val="0"/>
          <w:color w:val="auto"/>
          <w:sz w:val="24"/>
          <w:szCs w:val="24"/>
          <w:u w:val="none" w:color="auto"/>
          <w:lang w:val="en-US" w:eastAsia="zh-CN"/>
        </w:rPr>
        <w:t>2</w:t>
      </w:r>
      <w:r>
        <w:rPr>
          <w:rFonts w:hint="default" w:ascii="Times New Roman" w:hAnsi="Times New Roman" w:eastAsia="宋体" w:cs="Times New Roman"/>
          <w:b/>
          <w:bCs w:val="0"/>
          <w:color w:val="auto"/>
          <w:sz w:val="24"/>
          <w:szCs w:val="24"/>
          <w:u w:val="none" w:color="auto"/>
          <w:lang w:eastAsia="zh-CN"/>
        </w:rPr>
        <w:t>）</w:t>
      </w:r>
      <w:r>
        <w:rPr>
          <w:rFonts w:hint="default" w:ascii="Times New Roman" w:hAnsi="Times New Roman" w:eastAsia="宋体" w:cs="Times New Roman"/>
          <w:b/>
          <w:bCs w:val="0"/>
          <w:color w:val="auto"/>
          <w:sz w:val="24"/>
          <w:szCs w:val="24"/>
          <w:u w:val="none" w:color="auto"/>
          <w:lang w:val="zh-CN"/>
        </w:rPr>
        <w:t>苔草</w:t>
      </w:r>
    </w:p>
    <w:p w14:paraId="7187CF9C">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苔草常与针茅</w:t>
      </w:r>
      <w:r>
        <w:rPr>
          <w:rFonts w:hint="default" w:ascii="Times New Roman" w:hAnsi="Times New Roman" w:eastAsia="宋体" w:cs="Times New Roman"/>
          <w:i/>
          <w:iCs/>
          <w:color w:val="auto"/>
          <w:sz w:val="24"/>
          <w:szCs w:val="24"/>
          <w:u w:val="none" w:color="auto"/>
          <w:lang w:val="zh-CN"/>
        </w:rPr>
        <w:t>(Stipa</w:t>
      </w:r>
      <w:r>
        <w:rPr>
          <w:rFonts w:hint="default" w:ascii="Times New Roman" w:hAnsi="Times New Roman" w:eastAsia="宋体" w:cs="Times New Roman"/>
          <w:i/>
          <w:iCs/>
          <w:color w:val="auto"/>
          <w:sz w:val="24"/>
          <w:szCs w:val="24"/>
          <w:u w:val="none" w:color="auto"/>
        </w:rPr>
        <w:t xml:space="preserve"> </w:t>
      </w:r>
      <w:r>
        <w:rPr>
          <w:rFonts w:hint="default" w:ascii="Times New Roman" w:hAnsi="Times New Roman" w:eastAsia="宋体" w:cs="Times New Roman"/>
          <w:i/>
          <w:iCs/>
          <w:color w:val="auto"/>
          <w:sz w:val="24"/>
          <w:szCs w:val="24"/>
          <w:u w:val="none" w:color="auto"/>
          <w:lang w:val="zh-CN"/>
        </w:rPr>
        <w:t>capillata)</w:t>
      </w:r>
      <w:r>
        <w:rPr>
          <w:rFonts w:hint="default" w:ascii="Times New Roman" w:hAnsi="Times New Roman" w:eastAsia="宋体" w:cs="Times New Roman"/>
          <w:color w:val="auto"/>
          <w:sz w:val="24"/>
          <w:szCs w:val="24"/>
          <w:u w:val="none" w:color="auto"/>
          <w:lang w:val="zh-CN"/>
        </w:rPr>
        <w:t>、沟羊茅</w:t>
      </w:r>
      <w:r>
        <w:rPr>
          <w:rFonts w:hint="default" w:ascii="Times New Roman" w:hAnsi="Times New Roman" w:eastAsia="宋体" w:cs="Times New Roman"/>
          <w:i/>
          <w:iCs/>
          <w:color w:val="auto"/>
          <w:sz w:val="24"/>
          <w:szCs w:val="24"/>
          <w:u w:val="none" w:color="auto"/>
          <w:lang w:val="zh-CN"/>
        </w:rPr>
        <w:t>(Festuca</w:t>
      </w:r>
      <w:r>
        <w:rPr>
          <w:rFonts w:hint="default" w:ascii="Times New Roman" w:hAnsi="Times New Roman" w:eastAsia="宋体" w:cs="Times New Roman"/>
          <w:i/>
          <w:iCs/>
          <w:color w:val="auto"/>
          <w:sz w:val="24"/>
          <w:szCs w:val="24"/>
          <w:u w:val="none" w:color="auto"/>
        </w:rPr>
        <w:t xml:space="preserve"> </w:t>
      </w:r>
      <w:r>
        <w:rPr>
          <w:rFonts w:hint="default" w:ascii="Times New Roman" w:hAnsi="Times New Roman" w:eastAsia="宋体" w:cs="Times New Roman"/>
          <w:i/>
          <w:iCs/>
          <w:color w:val="auto"/>
          <w:sz w:val="24"/>
          <w:szCs w:val="24"/>
          <w:u w:val="none" w:color="auto"/>
          <w:lang w:val="zh-CN"/>
        </w:rPr>
        <w:t>valesiaca)</w:t>
      </w:r>
      <w:r>
        <w:rPr>
          <w:rFonts w:hint="default" w:ascii="Times New Roman" w:hAnsi="Times New Roman" w:eastAsia="宋体" w:cs="Times New Roman"/>
          <w:color w:val="auto"/>
          <w:sz w:val="24"/>
          <w:szCs w:val="24"/>
          <w:u w:val="none" w:color="auto"/>
          <w:lang w:val="zh-CN"/>
        </w:rPr>
        <w:t>和超旱生半灌木蒿属植物一起组成干草原或荒漠草原群落。苔草广布与世界各地，常为草甸，高寒草甸优势植物高寒草甸，这种草甸常用作放牧场。</w:t>
      </w:r>
    </w:p>
    <w:p w14:paraId="16C61D8E">
      <w:pPr>
        <w:pageBreakBefore w:val="0"/>
        <w:kinsoku/>
        <w:wordWrap/>
        <w:overflowPunct/>
        <w:topLinePunct w:val="0"/>
        <w:bidi w:val="0"/>
        <w:spacing w:line="360" w:lineRule="auto"/>
        <w:ind w:firstLine="560"/>
        <w:jc w:val="both"/>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本项目调查该群落中芦苇占绝对优势，同时还分布有白茅、长刺酸模</w:t>
      </w:r>
      <w:r>
        <w:rPr>
          <w:rFonts w:hint="default" w:ascii="Times New Roman" w:hAnsi="Times New Roman" w:eastAsia="宋体" w:cs="Times New Roman"/>
          <w:i/>
          <w:iCs/>
          <w:color w:val="auto"/>
          <w:sz w:val="24"/>
          <w:szCs w:val="24"/>
          <w:u w:val="none" w:color="auto"/>
          <w:lang w:val="zh-CN"/>
        </w:rPr>
        <w:t>（Rumex</w:t>
      </w:r>
      <w:r>
        <w:rPr>
          <w:rFonts w:hint="default" w:ascii="Times New Roman" w:hAnsi="Times New Roman" w:eastAsia="宋体" w:cs="Times New Roman"/>
          <w:i/>
          <w:iCs/>
          <w:color w:val="auto"/>
          <w:sz w:val="24"/>
          <w:szCs w:val="24"/>
          <w:u w:val="none" w:color="auto"/>
        </w:rPr>
        <w:t xml:space="preserve"> </w:t>
      </w:r>
      <w:r>
        <w:rPr>
          <w:rFonts w:hint="default" w:ascii="Times New Roman" w:hAnsi="Times New Roman" w:eastAsia="宋体" w:cs="Times New Roman"/>
          <w:i/>
          <w:iCs/>
          <w:color w:val="auto"/>
          <w:sz w:val="24"/>
          <w:szCs w:val="24"/>
          <w:u w:val="none" w:color="auto"/>
          <w:lang w:val="zh-CN"/>
        </w:rPr>
        <w:t>trisetifer）</w:t>
      </w:r>
      <w:r>
        <w:rPr>
          <w:rFonts w:hint="default" w:ascii="Times New Roman" w:hAnsi="Times New Roman" w:eastAsia="宋体" w:cs="Times New Roman"/>
          <w:color w:val="auto"/>
          <w:sz w:val="24"/>
          <w:szCs w:val="24"/>
          <w:u w:val="none" w:color="auto"/>
          <w:lang w:val="zh-CN"/>
        </w:rPr>
        <w:t>、荔枝草</w:t>
      </w:r>
      <w:r>
        <w:rPr>
          <w:rFonts w:hint="default" w:ascii="Times New Roman" w:hAnsi="Times New Roman" w:eastAsia="宋体" w:cs="Times New Roman"/>
          <w:i/>
          <w:iCs/>
          <w:color w:val="auto"/>
          <w:sz w:val="24"/>
          <w:szCs w:val="24"/>
          <w:u w:val="none" w:color="auto"/>
          <w:lang w:val="zh-CN"/>
        </w:rPr>
        <w:t>（Salvia</w:t>
      </w:r>
      <w:r>
        <w:rPr>
          <w:rFonts w:hint="default" w:ascii="Times New Roman" w:hAnsi="Times New Roman" w:eastAsia="宋体" w:cs="Times New Roman"/>
          <w:i/>
          <w:iCs/>
          <w:color w:val="auto"/>
          <w:sz w:val="24"/>
          <w:szCs w:val="24"/>
          <w:u w:val="none" w:color="auto"/>
        </w:rPr>
        <w:t xml:space="preserve"> </w:t>
      </w:r>
      <w:r>
        <w:rPr>
          <w:rFonts w:hint="default" w:ascii="Times New Roman" w:hAnsi="Times New Roman" w:eastAsia="宋体" w:cs="Times New Roman"/>
          <w:i/>
          <w:iCs/>
          <w:color w:val="auto"/>
          <w:sz w:val="24"/>
          <w:szCs w:val="24"/>
          <w:u w:val="none" w:color="auto"/>
          <w:lang w:val="zh-CN"/>
        </w:rPr>
        <w:t>plebeia）</w:t>
      </w:r>
      <w:r>
        <w:rPr>
          <w:rFonts w:hint="default" w:ascii="Times New Roman" w:hAnsi="Times New Roman" w:eastAsia="宋体" w:cs="Times New Roman"/>
          <w:color w:val="auto"/>
          <w:sz w:val="24"/>
          <w:szCs w:val="24"/>
          <w:u w:val="none" w:color="auto"/>
          <w:lang w:val="zh-CN"/>
        </w:rPr>
        <w:t>、柳叶马鞭草</w:t>
      </w:r>
      <w:r>
        <w:rPr>
          <w:rFonts w:hint="default" w:ascii="Times New Roman" w:hAnsi="Times New Roman" w:eastAsia="宋体" w:cs="Times New Roman"/>
          <w:i/>
          <w:iCs/>
          <w:color w:val="auto"/>
          <w:sz w:val="24"/>
          <w:szCs w:val="24"/>
          <w:u w:val="none" w:color="auto"/>
          <w:lang w:val="zh-CN"/>
        </w:rPr>
        <w:t>（Verbena</w:t>
      </w:r>
      <w:r>
        <w:rPr>
          <w:rFonts w:hint="default" w:ascii="Times New Roman" w:hAnsi="Times New Roman" w:eastAsia="宋体" w:cs="Times New Roman"/>
          <w:i/>
          <w:iCs/>
          <w:color w:val="auto"/>
          <w:sz w:val="24"/>
          <w:szCs w:val="24"/>
          <w:u w:val="none" w:color="auto"/>
        </w:rPr>
        <w:t xml:space="preserve"> </w:t>
      </w:r>
      <w:r>
        <w:rPr>
          <w:rFonts w:hint="default" w:ascii="Times New Roman" w:hAnsi="Times New Roman" w:eastAsia="宋体" w:cs="Times New Roman"/>
          <w:i/>
          <w:iCs/>
          <w:color w:val="auto"/>
          <w:sz w:val="24"/>
          <w:szCs w:val="24"/>
          <w:u w:val="none" w:color="auto"/>
          <w:lang w:val="zh-CN"/>
        </w:rPr>
        <w:t>bonariensis）</w:t>
      </w:r>
      <w:r>
        <w:rPr>
          <w:rFonts w:hint="default" w:ascii="Times New Roman" w:hAnsi="Times New Roman" w:eastAsia="宋体" w:cs="Times New Roman"/>
          <w:color w:val="auto"/>
          <w:sz w:val="24"/>
          <w:szCs w:val="24"/>
          <w:u w:val="none" w:color="auto"/>
          <w:lang w:val="zh-CN"/>
        </w:rPr>
        <w:t>等其它草本植物。</w:t>
      </w:r>
    </w:p>
    <w:p w14:paraId="41C429F3">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outlineLvl w:val="9"/>
        <w:rPr>
          <w:rFonts w:hint="default" w:ascii="Times New Roman" w:hAnsi="Times New Roman" w:eastAsia="宋体" w:cs="Times New Roman"/>
          <w:color w:val="auto"/>
          <w:sz w:val="24"/>
          <w:szCs w:val="24"/>
          <w:u w:val="none" w:color="auto"/>
        </w:rPr>
      </w:pPr>
      <w:bookmarkStart w:id="604" w:name="_Toc19273"/>
      <w:r>
        <w:rPr>
          <w:rFonts w:hint="default" w:ascii="Times New Roman" w:hAnsi="Times New Roman" w:eastAsia="宋体" w:cs="Times New Roman"/>
          <w:color w:val="auto"/>
          <w:sz w:val="24"/>
          <w:szCs w:val="24"/>
          <w:u w:val="none" w:color="auto"/>
        </w:rPr>
        <w:t>表4.5-</w:t>
      </w:r>
      <w:r>
        <w:rPr>
          <w:rFonts w:hint="eastAsia" w:cs="Times New Roman"/>
          <w:color w:val="auto"/>
          <w:sz w:val="24"/>
          <w:szCs w:val="24"/>
          <w:u w:val="none" w:color="auto"/>
          <w:lang w:val="en-US" w:eastAsia="zh-CN"/>
        </w:rPr>
        <w:t>19</w:t>
      </w:r>
      <w:r>
        <w:rPr>
          <w:rFonts w:hint="default" w:ascii="Times New Roman" w:hAnsi="Times New Roman" w:eastAsia="宋体" w:cs="Times New Roman"/>
          <w:color w:val="auto"/>
          <w:sz w:val="24"/>
          <w:szCs w:val="24"/>
          <w:u w:val="none" w:color="auto"/>
        </w:rPr>
        <w:t xml:space="preserve"> </w:t>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苜蓿草草丛样方表</w:t>
      </w:r>
      <w:bookmarkEnd w:id="604"/>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61"/>
        <w:gridCol w:w="1125"/>
        <w:gridCol w:w="730"/>
        <w:gridCol w:w="443"/>
        <w:gridCol w:w="631"/>
        <w:gridCol w:w="940"/>
        <w:gridCol w:w="845"/>
        <w:gridCol w:w="766"/>
        <w:gridCol w:w="775"/>
        <w:gridCol w:w="704"/>
      </w:tblGrid>
      <w:tr w14:paraId="60DC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restart"/>
            <w:noWrap w:val="0"/>
            <w:vAlign w:val="center"/>
          </w:tcPr>
          <w:p w14:paraId="6192AE60">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编号</w:t>
            </w:r>
          </w:p>
        </w:tc>
        <w:tc>
          <w:tcPr>
            <w:tcW w:w="1146" w:type="dxa"/>
            <w:vMerge w:val="restart"/>
            <w:noWrap w:val="0"/>
            <w:vAlign w:val="center"/>
          </w:tcPr>
          <w:p w14:paraId="2D4C0C6D">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样方6</w:t>
            </w:r>
          </w:p>
        </w:tc>
        <w:tc>
          <w:tcPr>
            <w:tcW w:w="5938" w:type="dxa"/>
            <w:gridSpan w:val="8"/>
            <w:noWrap w:val="0"/>
            <w:vAlign w:val="center"/>
          </w:tcPr>
          <w:p w14:paraId="799686C4">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环境特征</w:t>
            </w:r>
          </w:p>
        </w:tc>
      </w:tr>
      <w:tr w14:paraId="609F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continue"/>
            <w:noWrap w:val="0"/>
            <w:vAlign w:val="center"/>
          </w:tcPr>
          <w:p w14:paraId="2A273CB6">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146" w:type="dxa"/>
            <w:vMerge w:val="continue"/>
            <w:noWrap w:val="0"/>
            <w:vAlign w:val="center"/>
          </w:tcPr>
          <w:p w14:paraId="4A0143D4">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743" w:type="dxa"/>
            <w:noWrap w:val="0"/>
            <w:vAlign w:val="center"/>
          </w:tcPr>
          <w:p w14:paraId="6CB2C115">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地形</w:t>
            </w:r>
          </w:p>
        </w:tc>
        <w:tc>
          <w:tcPr>
            <w:tcW w:w="1094" w:type="dxa"/>
            <w:gridSpan w:val="2"/>
            <w:noWrap w:val="0"/>
            <w:vAlign w:val="center"/>
          </w:tcPr>
          <w:p w14:paraId="3D7B381A">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样方面积</w:t>
            </w:r>
          </w:p>
        </w:tc>
        <w:tc>
          <w:tcPr>
            <w:tcW w:w="957" w:type="dxa"/>
            <w:noWrap w:val="0"/>
            <w:vAlign w:val="center"/>
          </w:tcPr>
          <w:p w14:paraId="3A423B26">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海拔高度</w:t>
            </w:r>
          </w:p>
        </w:tc>
        <w:tc>
          <w:tcPr>
            <w:tcW w:w="1640" w:type="dxa"/>
            <w:gridSpan w:val="2"/>
            <w:noWrap w:val="0"/>
            <w:vAlign w:val="center"/>
          </w:tcPr>
          <w:p w14:paraId="36028907">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经度</w:t>
            </w:r>
          </w:p>
        </w:tc>
        <w:tc>
          <w:tcPr>
            <w:tcW w:w="1504" w:type="dxa"/>
            <w:gridSpan w:val="2"/>
            <w:noWrap w:val="0"/>
            <w:vAlign w:val="center"/>
          </w:tcPr>
          <w:p w14:paraId="5192C60D">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纬度</w:t>
            </w:r>
          </w:p>
        </w:tc>
      </w:tr>
      <w:tr w14:paraId="09D7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noWrap w:val="0"/>
            <w:vAlign w:val="center"/>
          </w:tcPr>
          <w:p w14:paraId="78EE973A">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群落类型</w:t>
            </w:r>
          </w:p>
        </w:tc>
        <w:tc>
          <w:tcPr>
            <w:tcW w:w="1146" w:type="dxa"/>
            <w:noWrap w:val="0"/>
            <w:vAlign w:val="center"/>
          </w:tcPr>
          <w:p w14:paraId="571A1C80">
            <w:pPr>
              <w:pStyle w:val="65"/>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zh-CN"/>
              </w:rPr>
              <w:t>苔草</w:t>
            </w:r>
            <w:r>
              <w:rPr>
                <w:rFonts w:hint="default" w:ascii="Times New Roman" w:hAnsi="Times New Roman" w:eastAsia="宋体" w:cs="Times New Roman"/>
                <w:color w:val="auto"/>
                <w:sz w:val="21"/>
                <w:szCs w:val="21"/>
                <w:u w:val="none" w:color="auto"/>
              </w:rPr>
              <w:t>草丛</w:t>
            </w:r>
          </w:p>
        </w:tc>
        <w:tc>
          <w:tcPr>
            <w:tcW w:w="743" w:type="dxa"/>
            <w:noWrap w:val="0"/>
            <w:vAlign w:val="center"/>
          </w:tcPr>
          <w:p w14:paraId="606E5AA6">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平原</w:t>
            </w:r>
          </w:p>
        </w:tc>
        <w:tc>
          <w:tcPr>
            <w:tcW w:w="1094" w:type="dxa"/>
            <w:gridSpan w:val="2"/>
            <w:noWrap w:val="0"/>
            <w:vAlign w:val="center"/>
          </w:tcPr>
          <w:p w14:paraId="424F7AA1">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5m×5m</w:t>
            </w:r>
          </w:p>
        </w:tc>
        <w:tc>
          <w:tcPr>
            <w:tcW w:w="957" w:type="dxa"/>
            <w:noWrap w:val="0"/>
            <w:vAlign w:val="center"/>
          </w:tcPr>
          <w:p w14:paraId="7EF9F726">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26m</w:t>
            </w:r>
          </w:p>
        </w:tc>
        <w:tc>
          <w:tcPr>
            <w:tcW w:w="1640" w:type="dxa"/>
            <w:gridSpan w:val="2"/>
            <w:noWrap w:val="0"/>
            <w:vAlign w:val="center"/>
          </w:tcPr>
          <w:p w14:paraId="48CBDB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112.993849</w:t>
            </w:r>
          </w:p>
        </w:tc>
        <w:tc>
          <w:tcPr>
            <w:tcW w:w="1504" w:type="dxa"/>
            <w:gridSpan w:val="2"/>
            <w:noWrap w:val="0"/>
            <w:vAlign w:val="center"/>
          </w:tcPr>
          <w:p w14:paraId="6B60CF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29.151266</w:t>
            </w:r>
          </w:p>
        </w:tc>
      </w:tr>
      <w:tr w14:paraId="460D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noWrap w:val="0"/>
            <w:vAlign w:val="center"/>
          </w:tcPr>
          <w:p w14:paraId="2EE96BC4">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群落层次</w:t>
            </w:r>
          </w:p>
        </w:tc>
        <w:tc>
          <w:tcPr>
            <w:tcW w:w="7084" w:type="dxa"/>
            <w:gridSpan w:val="9"/>
            <w:noWrap w:val="0"/>
            <w:vAlign w:val="center"/>
          </w:tcPr>
          <w:p w14:paraId="0DFAF0F8">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二层</w:t>
            </w:r>
          </w:p>
        </w:tc>
      </w:tr>
      <w:tr w14:paraId="1CD3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noWrap w:val="0"/>
            <w:vAlign w:val="center"/>
          </w:tcPr>
          <w:p w14:paraId="5FF83DD0">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样方周边环境现状</w:t>
            </w:r>
          </w:p>
        </w:tc>
        <w:tc>
          <w:tcPr>
            <w:tcW w:w="7084" w:type="dxa"/>
            <w:gridSpan w:val="9"/>
            <w:noWrap w:val="0"/>
            <w:vAlign w:val="center"/>
          </w:tcPr>
          <w:p w14:paraId="1802F9D3">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河流岸地带</w:t>
            </w:r>
          </w:p>
        </w:tc>
      </w:tr>
      <w:tr w14:paraId="3A9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noWrap w:val="0"/>
            <w:vAlign w:val="center"/>
          </w:tcPr>
          <w:p w14:paraId="0AC4878E">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种类组成及生长状况</w:t>
            </w:r>
          </w:p>
        </w:tc>
        <w:tc>
          <w:tcPr>
            <w:tcW w:w="2340" w:type="dxa"/>
            <w:gridSpan w:val="3"/>
            <w:noWrap w:val="0"/>
            <w:vAlign w:val="center"/>
          </w:tcPr>
          <w:p w14:paraId="2098C8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植物种名</w:t>
            </w:r>
          </w:p>
        </w:tc>
        <w:tc>
          <w:tcPr>
            <w:tcW w:w="1600" w:type="dxa"/>
            <w:gridSpan w:val="2"/>
            <w:noWrap w:val="0"/>
            <w:vAlign w:val="center"/>
          </w:tcPr>
          <w:p w14:paraId="06D27B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物候期</w:t>
            </w:r>
          </w:p>
        </w:tc>
        <w:tc>
          <w:tcPr>
            <w:tcW w:w="860" w:type="dxa"/>
            <w:noWrap w:val="0"/>
            <w:vAlign w:val="center"/>
          </w:tcPr>
          <w:p w14:paraId="193553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株（丛）数</w:t>
            </w:r>
          </w:p>
        </w:tc>
        <w:tc>
          <w:tcPr>
            <w:tcW w:w="780" w:type="dxa"/>
            <w:noWrap w:val="0"/>
            <w:vAlign w:val="center"/>
          </w:tcPr>
          <w:p w14:paraId="713F05E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多度</w:t>
            </w:r>
          </w:p>
        </w:tc>
        <w:tc>
          <w:tcPr>
            <w:tcW w:w="789" w:type="dxa"/>
            <w:noWrap w:val="0"/>
            <w:vAlign w:val="center"/>
          </w:tcPr>
          <w:p w14:paraId="5396B98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平均高度cm</w:t>
            </w:r>
          </w:p>
        </w:tc>
        <w:tc>
          <w:tcPr>
            <w:tcW w:w="715" w:type="dxa"/>
            <w:noWrap w:val="0"/>
            <w:vAlign w:val="center"/>
          </w:tcPr>
          <w:p w14:paraId="078B85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盖度%</w:t>
            </w:r>
          </w:p>
        </w:tc>
      </w:tr>
      <w:tr w14:paraId="36A6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noWrap w:val="0"/>
            <w:vAlign w:val="center"/>
          </w:tcPr>
          <w:p w14:paraId="178AEE7E">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灌木层</w:t>
            </w:r>
          </w:p>
        </w:tc>
        <w:tc>
          <w:tcPr>
            <w:tcW w:w="2340" w:type="dxa"/>
            <w:gridSpan w:val="3"/>
            <w:noWrap w:val="0"/>
            <w:vAlign w:val="center"/>
          </w:tcPr>
          <w:p w14:paraId="2B9E00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color w:val="auto"/>
                <w:sz w:val="21"/>
                <w:szCs w:val="21"/>
                <w:u w:val="none" w:color="auto"/>
                <w:shd w:val="clear" w:color="auto" w:fill="FFFFFF"/>
              </w:rPr>
              <w:t>芦苇</w:t>
            </w:r>
          </w:p>
        </w:tc>
        <w:tc>
          <w:tcPr>
            <w:tcW w:w="1600" w:type="dxa"/>
            <w:gridSpan w:val="2"/>
            <w:noWrap w:val="0"/>
            <w:vAlign w:val="center"/>
          </w:tcPr>
          <w:p w14:paraId="362EDC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860" w:type="dxa"/>
            <w:noWrap w:val="0"/>
            <w:vAlign w:val="center"/>
          </w:tcPr>
          <w:p w14:paraId="105A49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780" w:type="dxa"/>
            <w:noWrap w:val="0"/>
            <w:vAlign w:val="center"/>
          </w:tcPr>
          <w:p w14:paraId="3578CD2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789" w:type="dxa"/>
            <w:noWrap w:val="0"/>
            <w:vAlign w:val="center"/>
          </w:tcPr>
          <w:p w14:paraId="6FA192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715" w:type="dxa"/>
            <w:noWrap w:val="0"/>
            <w:vAlign w:val="center"/>
          </w:tcPr>
          <w:p w14:paraId="6DE3CA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0B67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restart"/>
            <w:noWrap w:val="0"/>
            <w:vAlign w:val="center"/>
          </w:tcPr>
          <w:p w14:paraId="6411E928">
            <w:pPr>
              <w:pStyle w:val="65"/>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草本层</w:t>
            </w:r>
          </w:p>
        </w:tc>
        <w:tc>
          <w:tcPr>
            <w:tcW w:w="2340" w:type="dxa"/>
            <w:gridSpan w:val="3"/>
            <w:noWrap w:val="0"/>
            <w:vAlign w:val="center"/>
          </w:tcPr>
          <w:p w14:paraId="453EC8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zh-CN"/>
              </w:rPr>
              <w:t>苔草</w:t>
            </w:r>
          </w:p>
        </w:tc>
        <w:tc>
          <w:tcPr>
            <w:tcW w:w="1600" w:type="dxa"/>
            <w:gridSpan w:val="2"/>
            <w:noWrap w:val="0"/>
            <w:vAlign w:val="center"/>
          </w:tcPr>
          <w:p w14:paraId="174EB7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860" w:type="dxa"/>
            <w:noWrap w:val="0"/>
            <w:vAlign w:val="center"/>
          </w:tcPr>
          <w:p w14:paraId="73D452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780" w:type="dxa"/>
            <w:noWrap w:val="0"/>
            <w:vAlign w:val="center"/>
          </w:tcPr>
          <w:p w14:paraId="3E7B84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789" w:type="dxa"/>
            <w:noWrap w:val="0"/>
            <w:vAlign w:val="center"/>
          </w:tcPr>
          <w:p w14:paraId="1F9B99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715" w:type="dxa"/>
            <w:noWrap w:val="0"/>
            <w:vAlign w:val="center"/>
          </w:tcPr>
          <w:p w14:paraId="2634D1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w:t>
            </w:r>
          </w:p>
        </w:tc>
      </w:tr>
      <w:tr w14:paraId="7DDC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continue"/>
            <w:noWrap w:val="0"/>
            <w:vAlign w:val="center"/>
          </w:tcPr>
          <w:p w14:paraId="2F76E253">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2340" w:type="dxa"/>
            <w:gridSpan w:val="3"/>
            <w:noWrap w:val="0"/>
            <w:vAlign w:val="center"/>
          </w:tcPr>
          <w:p w14:paraId="66D5FE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白茅</w:t>
            </w:r>
          </w:p>
        </w:tc>
        <w:tc>
          <w:tcPr>
            <w:tcW w:w="1600" w:type="dxa"/>
            <w:gridSpan w:val="2"/>
            <w:noWrap w:val="0"/>
            <w:vAlign w:val="center"/>
          </w:tcPr>
          <w:p w14:paraId="44D5DDC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花前营养期</w:t>
            </w:r>
          </w:p>
        </w:tc>
        <w:tc>
          <w:tcPr>
            <w:tcW w:w="860" w:type="dxa"/>
            <w:noWrap w:val="0"/>
            <w:vAlign w:val="center"/>
          </w:tcPr>
          <w:p w14:paraId="7006A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780" w:type="dxa"/>
            <w:noWrap w:val="0"/>
            <w:vAlign w:val="center"/>
          </w:tcPr>
          <w:p w14:paraId="39348F1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3</w:t>
            </w:r>
          </w:p>
        </w:tc>
        <w:tc>
          <w:tcPr>
            <w:tcW w:w="789" w:type="dxa"/>
            <w:noWrap w:val="0"/>
            <w:vAlign w:val="center"/>
          </w:tcPr>
          <w:p w14:paraId="0168AB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715" w:type="dxa"/>
            <w:noWrap w:val="0"/>
            <w:vAlign w:val="center"/>
          </w:tcPr>
          <w:p w14:paraId="16AB7A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r>
      <w:tr w14:paraId="34F4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continue"/>
            <w:noWrap w:val="0"/>
            <w:vAlign w:val="center"/>
          </w:tcPr>
          <w:p w14:paraId="7F39424E">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2340" w:type="dxa"/>
            <w:gridSpan w:val="3"/>
            <w:noWrap w:val="0"/>
            <w:vAlign w:val="center"/>
          </w:tcPr>
          <w:p w14:paraId="08407C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长刺酸模</w:t>
            </w:r>
          </w:p>
        </w:tc>
        <w:tc>
          <w:tcPr>
            <w:tcW w:w="1600" w:type="dxa"/>
            <w:gridSpan w:val="2"/>
            <w:noWrap w:val="0"/>
            <w:vAlign w:val="center"/>
          </w:tcPr>
          <w:p w14:paraId="76B2C2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果后营养期</w:t>
            </w:r>
          </w:p>
        </w:tc>
        <w:tc>
          <w:tcPr>
            <w:tcW w:w="860" w:type="dxa"/>
            <w:noWrap w:val="0"/>
            <w:vAlign w:val="center"/>
          </w:tcPr>
          <w:p w14:paraId="7917DF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780" w:type="dxa"/>
            <w:noWrap w:val="0"/>
            <w:vAlign w:val="center"/>
          </w:tcPr>
          <w:p w14:paraId="44D5B2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Cop</w:t>
            </w:r>
            <w:r>
              <w:rPr>
                <w:rFonts w:hint="default" w:ascii="Times New Roman" w:hAnsi="Times New Roman" w:eastAsia="宋体" w:cs="Times New Roman"/>
                <w:color w:val="auto"/>
                <w:sz w:val="21"/>
                <w:szCs w:val="21"/>
                <w:u w:val="none" w:color="auto"/>
                <w:vertAlign w:val="superscript"/>
              </w:rPr>
              <w:t>1</w:t>
            </w:r>
          </w:p>
        </w:tc>
        <w:tc>
          <w:tcPr>
            <w:tcW w:w="789" w:type="dxa"/>
            <w:noWrap w:val="0"/>
            <w:vAlign w:val="center"/>
          </w:tcPr>
          <w:p w14:paraId="7BB0B9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715" w:type="dxa"/>
            <w:noWrap w:val="0"/>
            <w:vAlign w:val="center"/>
          </w:tcPr>
          <w:p w14:paraId="6D779F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r>
      <w:tr w14:paraId="6D4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continue"/>
            <w:noWrap w:val="0"/>
            <w:vAlign w:val="center"/>
          </w:tcPr>
          <w:p w14:paraId="422BF9BA">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2340" w:type="dxa"/>
            <w:gridSpan w:val="3"/>
            <w:noWrap w:val="0"/>
            <w:vAlign w:val="center"/>
          </w:tcPr>
          <w:p w14:paraId="148C2F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荔枝草</w:t>
            </w:r>
          </w:p>
        </w:tc>
        <w:tc>
          <w:tcPr>
            <w:tcW w:w="1600" w:type="dxa"/>
            <w:gridSpan w:val="2"/>
            <w:noWrap w:val="0"/>
            <w:vAlign w:val="center"/>
          </w:tcPr>
          <w:p w14:paraId="625603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花期</w:t>
            </w:r>
          </w:p>
        </w:tc>
        <w:tc>
          <w:tcPr>
            <w:tcW w:w="860" w:type="dxa"/>
            <w:noWrap w:val="0"/>
            <w:vAlign w:val="center"/>
          </w:tcPr>
          <w:p w14:paraId="4346C5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780" w:type="dxa"/>
            <w:noWrap w:val="0"/>
            <w:vAlign w:val="center"/>
          </w:tcPr>
          <w:p w14:paraId="5D263C3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789" w:type="dxa"/>
            <w:noWrap w:val="0"/>
            <w:vAlign w:val="center"/>
          </w:tcPr>
          <w:p w14:paraId="01CC0F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715" w:type="dxa"/>
            <w:noWrap w:val="0"/>
            <w:vAlign w:val="center"/>
          </w:tcPr>
          <w:p w14:paraId="64CC93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26DD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4" w:type="dxa"/>
            <w:vMerge w:val="continue"/>
            <w:noWrap w:val="0"/>
            <w:vAlign w:val="center"/>
          </w:tcPr>
          <w:p w14:paraId="7A381AA2">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2340" w:type="dxa"/>
            <w:gridSpan w:val="3"/>
            <w:noWrap w:val="0"/>
            <w:vAlign w:val="center"/>
          </w:tcPr>
          <w:p w14:paraId="453EA7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柳叶马鞭草</w:t>
            </w:r>
          </w:p>
        </w:tc>
        <w:tc>
          <w:tcPr>
            <w:tcW w:w="1600" w:type="dxa"/>
            <w:gridSpan w:val="2"/>
            <w:noWrap w:val="0"/>
            <w:vAlign w:val="top"/>
          </w:tcPr>
          <w:p w14:paraId="6F8E573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营养期</w:t>
            </w:r>
          </w:p>
        </w:tc>
        <w:tc>
          <w:tcPr>
            <w:tcW w:w="860" w:type="dxa"/>
            <w:noWrap w:val="0"/>
            <w:vAlign w:val="center"/>
          </w:tcPr>
          <w:p w14:paraId="078674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780" w:type="dxa"/>
            <w:noWrap w:val="0"/>
            <w:vAlign w:val="top"/>
          </w:tcPr>
          <w:p w14:paraId="26D43E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SP</w:t>
            </w:r>
          </w:p>
        </w:tc>
        <w:tc>
          <w:tcPr>
            <w:tcW w:w="789" w:type="dxa"/>
            <w:noWrap w:val="0"/>
            <w:vAlign w:val="center"/>
          </w:tcPr>
          <w:p w14:paraId="454B08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715" w:type="dxa"/>
            <w:noWrap w:val="0"/>
            <w:vAlign w:val="center"/>
          </w:tcPr>
          <w:p w14:paraId="75F36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r>
      <w:tr w14:paraId="214E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8" w:type="dxa"/>
            <w:gridSpan w:val="10"/>
            <w:noWrap w:val="0"/>
            <w:vAlign w:val="center"/>
          </w:tcPr>
          <w:p w14:paraId="156078EA">
            <w:pPr>
              <w:pStyle w:val="66"/>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drawing>
                <wp:inline distT="0" distB="0" distL="114300" distR="114300">
                  <wp:extent cx="3952875" cy="2152650"/>
                  <wp:effectExtent l="0" t="0" r="9525" b="0"/>
                  <wp:docPr id="110" name="图片 24" descr="e2fd5f60703a784db402dc85be42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descr="e2fd5f60703a784db402dc85be42b17"/>
                          <pic:cNvPicPr>
                            <a:picLocks noChangeAspect="1"/>
                          </pic:cNvPicPr>
                        </pic:nvPicPr>
                        <pic:blipFill>
                          <a:blip r:embed="rId46"/>
                          <a:srcRect t="37068"/>
                          <a:stretch>
                            <a:fillRect/>
                          </a:stretch>
                        </pic:blipFill>
                        <pic:spPr>
                          <a:xfrm>
                            <a:off x="0" y="0"/>
                            <a:ext cx="3952875" cy="2152650"/>
                          </a:xfrm>
                          <a:prstGeom prst="rect">
                            <a:avLst/>
                          </a:prstGeom>
                          <a:noFill/>
                          <a:ln>
                            <a:noFill/>
                          </a:ln>
                        </pic:spPr>
                      </pic:pic>
                    </a:graphicData>
                  </a:graphic>
                </wp:inline>
              </w:drawing>
            </w:r>
          </w:p>
          <w:p w14:paraId="7DBF9003">
            <w:pPr>
              <w:pStyle w:val="6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bCs/>
                <w:color w:val="auto"/>
                <w:sz w:val="21"/>
                <w:szCs w:val="21"/>
                <w:u w:val="none" w:color="auto"/>
              </w:rPr>
              <w:t>苜蓿草草丛</w:t>
            </w:r>
          </w:p>
        </w:tc>
      </w:tr>
    </w:tbl>
    <w:p w14:paraId="741701A7">
      <w:pPr>
        <w:pageBreakBefore w:val="0"/>
        <w:kinsoku/>
        <w:wordWrap/>
        <w:overflowPunct/>
        <w:topLinePunct w:val="0"/>
        <w:bidi w:val="0"/>
        <w:spacing w:line="360" w:lineRule="auto"/>
        <w:ind w:firstLine="560"/>
        <w:outlineLvl w:val="9"/>
        <w:rPr>
          <w:rFonts w:hint="default" w:ascii="Times New Roman" w:hAnsi="Times New Roman" w:eastAsia="宋体" w:cs="Times New Roman"/>
          <w:b/>
          <w:bCs w:val="0"/>
          <w:color w:val="auto"/>
          <w:sz w:val="24"/>
          <w:szCs w:val="24"/>
          <w:u w:val="none" w:color="auto"/>
        </w:rPr>
      </w:pPr>
      <w:bookmarkStart w:id="605" w:name="_Toc20464"/>
      <w:r>
        <w:rPr>
          <w:rFonts w:hint="default" w:ascii="Times New Roman" w:hAnsi="Times New Roman" w:eastAsia="宋体" w:cs="Times New Roman"/>
          <w:b/>
          <w:bCs w:val="0"/>
          <w:color w:val="auto"/>
          <w:sz w:val="24"/>
          <w:szCs w:val="24"/>
          <w:u w:val="none" w:color="auto"/>
          <w:lang w:val="en-US" w:eastAsia="zh-CN"/>
        </w:rPr>
        <w:t>3</w:t>
      </w:r>
      <w:r>
        <w:rPr>
          <w:rFonts w:hint="default" w:ascii="Times New Roman" w:hAnsi="Times New Roman" w:eastAsia="宋体" w:cs="Times New Roman"/>
          <w:b/>
          <w:bCs w:val="0"/>
          <w:color w:val="auto"/>
          <w:sz w:val="24"/>
          <w:szCs w:val="24"/>
          <w:u w:val="none" w:color="auto"/>
        </w:rPr>
        <w:t>、小结</w:t>
      </w:r>
      <w:bookmarkEnd w:id="605"/>
    </w:p>
    <w:p w14:paraId="3B8CA47B">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zh-CN"/>
        </w:rPr>
        <w:t>项目评价范围内乔木植物群落类型以杨树、</w:t>
      </w:r>
      <w:r>
        <w:rPr>
          <w:rFonts w:hint="default" w:ascii="Times New Roman" w:hAnsi="Times New Roman" w:eastAsia="宋体" w:cs="Times New Roman"/>
          <w:color w:val="auto"/>
          <w:sz w:val="24"/>
          <w:szCs w:val="24"/>
          <w:u w:val="none" w:color="auto"/>
        </w:rPr>
        <w:t>芦苇</w:t>
      </w:r>
      <w:r>
        <w:rPr>
          <w:rFonts w:hint="default" w:ascii="Times New Roman" w:hAnsi="Times New Roman" w:eastAsia="宋体" w:cs="Times New Roman"/>
          <w:color w:val="auto"/>
          <w:sz w:val="24"/>
          <w:szCs w:val="24"/>
          <w:u w:val="none" w:color="auto"/>
          <w:lang w:val="zh-CN"/>
        </w:rPr>
        <w:t>为主；苔草丛主要分布在滩涂</w:t>
      </w:r>
      <w:r>
        <w:rPr>
          <w:rFonts w:hint="default" w:ascii="Times New Roman" w:hAnsi="Times New Roman" w:eastAsia="宋体" w:cs="Times New Roman"/>
          <w:color w:val="auto"/>
          <w:sz w:val="24"/>
          <w:szCs w:val="24"/>
          <w:u w:val="none" w:color="auto"/>
        </w:rPr>
        <w:t>。本项目沿线以水生、湿地生态系统为典型特征，长期以来较少受人类活动的影响，由于水涨水落项目评价范围内少有天然林的植被群落。</w:t>
      </w:r>
    </w:p>
    <w:p w14:paraId="4396FDA3">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606" w:name="_Toc20742"/>
      <w:bookmarkStart w:id="607" w:name="_Toc521971287"/>
      <w:bookmarkStart w:id="608" w:name="_Toc11299"/>
      <w:bookmarkStart w:id="609" w:name="_Toc521943206"/>
      <w:bookmarkStart w:id="610" w:name="_Toc2655"/>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.5.5 </w:t>
      </w:r>
      <w:r>
        <w:rPr>
          <w:rFonts w:hint="default" w:ascii="Times New Roman" w:hAnsi="Times New Roman" w:eastAsia="宋体" w:cs="Times New Roman"/>
          <w:color w:val="auto"/>
          <w:sz w:val="24"/>
          <w:szCs w:val="24"/>
          <w:u w:val="none" w:color="auto"/>
        </w:rPr>
        <w:t>陆生动物多样性调查</w:t>
      </w:r>
      <w:bookmarkEnd w:id="606"/>
      <w:bookmarkEnd w:id="607"/>
      <w:bookmarkEnd w:id="608"/>
      <w:bookmarkEnd w:id="609"/>
      <w:bookmarkEnd w:id="610"/>
    </w:p>
    <w:p w14:paraId="4682C62D">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11" w:name="_Toc17103"/>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兽类</w:t>
      </w:r>
      <w:bookmarkEnd w:id="611"/>
    </w:p>
    <w:p w14:paraId="6B0030AD">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湖南东洞庭湖国家级自然保护区内现有哺乳动物7目14科33种，其中有国家一、二级保护物种有6种，濒危级的中国珍稀保护动物有6种，如：江豚、麋鹿等。</w:t>
      </w:r>
    </w:p>
    <w:p w14:paraId="6D9477A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经实地调查和查阅科考资料，湖南东洞庭湖国家级自然保护区现已记录哺乳动物10种，隶属5目7科，仅占湖南省108种哺乳动物的9.26%。其中食虫目1科1种；翼手目2科2种；兔形目1科1种；啮齿目2科6种；食肉目1科1种1。国家</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三有</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动物有华南兔和黄鼬种。爬行类主要为乌龟、中华鳖、沙鳖等龟鳖类；盲蛇、钝尾两头蛇、滑鼠蛇、灰鼠蛇、乌梢蛇、翠青蛇、赤链蛇、水赤链游蛇、乌游蛇、草游蛇、王锦蛇、双斑锦蛇、黑眉锦蛇、黑脊蛇、中华水蛇等蛇类。经济价值较高的主要为乌龟、中华鳖，现资源衰退严重，主要分布在东洞庭湖洲滩及附近水域，喜栖息在浅水沙洲滩边。两栖类主要分布有大蟾蜍中华亚种、青蛙、泽蛙、沼蛙、东方蝾螈等物种，虎纹蛙、金线蛙偶有发现。种群量较大的主要为青蛙。</w:t>
      </w:r>
    </w:p>
    <w:p w14:paraId="5A83D99E">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12" w:name="_Toc13293"/>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爬行类</w:t>
      </w:r>
      <w:bookmarkEnd w:id="612"/>
    </w:p>
    <w:p w14:paraId="03FD80D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湖南东洞庭湖国家级自然保护区内现有爬行动物3目5科25种，其中有国际贸易公约附录2的保护物种1种，中国濒危动物红皮书中的易危动物7种（值得关注的动物2种，有21种系湖南省的地方重点保护物种。</w:t>
      </w:r>
    </w:p>
    <w:p w14:paraId="243D49C5">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经实地调查和查阅科考资料，湖南东洞庭湖国家级自然保护区现已记录爬行动物11种，仅占湖南省99种的11.1%，隶属2目5科。其中蜥蜴目3科4种；蛇目2科7种。蛇类中游蛇科6种、蝰蛇科1种。爬行类所有种均属国家</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三有</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动物名录。</w:t>
      </w:r>
    </w:p>
    <w:p w14:paraId="201F120F">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13" w:name="_Toc12085"/>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两栖类</w:t>
      </w:r>
      <w:bookmarkEnd w:id="613"/>
    </w:p>
    <w:p w14:paraId="3778569A">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湖南东洞庭湖国家级自然保护区内现有目前分布有两栖动物2目5科11种，其中现存的物种中有国家濒危物种虎纹蛙，该物种是国家二级保护物种，同时也是国际贸易公约的附录2保护物种。</w:t>
      </w:r>
    </w:p>
    <w:p w14:paraId="78343998">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经实地调查和查阅科考资料，湖南东洞庭湖国家级自然保护区现已记录两栖动物8种，隶属2目5科，占整个湖南省已发现的66种两栖动物的12.12%。8个物种均属国家</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三有</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动物名录。</w:t>
      </w:r>
    </w:p>
    <w:p w14:paraId="3EACC84D">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14" w:name="_Toc14244"/>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鸟类</w:t>
      </w:r>
      <w:bookmarkEnd w:id="614"/>
    </w:p>
    <w:p w14:paraId="6A04548E">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湖南东洞庭湖国家级自然保护区内鸟类有鸟纲17目55科251种，其中有国家一级保护动物7种，国家二级保护动物33种。中国濒危动物红皮书种有18种鸟类分布在洞庭湖内。洞庭湖的鸟类有77%的国家的</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三有</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保护动物，52%是湖南省地方重点保护种类，还有139种是中-日候鸟保护对象，41种中-澳候鸟保护物种。</w:t>
      </w:r>
    </w:p>
    <w:p w14:paraId="756939EE">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经实地调查和查阅科考资料，共记录到湖南东洞庭湖国家级自然保护区鸟类61种，占湖南省鸟类448种的13.62％，占洞庭湖全区域251种24.3％，隶属12目33科。其中鸊鷉目1科1种、鹳形目1科4种、雁形目1科3种、鸡形目2科2种、鹤形目1科3种、鸻形目4科8种、鸽形目1科2种、鹃形目1科2种、佛法僧目1科2种、鴷形目1科2种、雀形目18科31种。其中，属于国家</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三有</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动物59种，列入中日候鸟保护协定的有琵嘴鸭</w:t>
      </w:r>
      <w:r>
        <w:rPr>
          <w:rFonts w:hint="default" w:ascii="Times New Roman" w:hAnsi="Times New Roman" w:eastAsia="宋体" w:cs="Times New Roman"/>
          <w:i/>
          <w:iCs/>
          <w:color w:val="auto"/>
          <w:sz w:val="24"/>
          <w:szCs w:val="24"/>
          <w:u w:val="none" w:color="auto"/>
        </w:rPr>
        <w:t>（Anas clypeata）</w:t>
      </w:r>
      <w:r>
        <w:rPr>
          <w:rFonts w:hint="default" w:ascii="Times New Roman" w:hAnsi="Times New Roman" w:eastAsia="宋体" w:cs="Times New Roman"/>
          <w:color w:val="auto"/>
          <w:sz w:val="24"/>
          <w:szCs w:val="24"/>
          <w:u w:val="none" w:color="auto"/>
        </w:rPr>
        <w:t>、绿头鸭</w:t>
      </w:r>
      <w:r>
        <w:rPr>
          <w:rFonts w:hint="default" w:ascii="Times New Roman" w:hAnsi="Times New Roman" w:eastAsia="宋体" w:cs="Times New Roman"/>
          <w:i/>
          <w:iCs/>
          <w:color w:val="auto"/>
          <w:sz w:val="24"/>
          <w:szCs w:val="24"/>
          <w:u w:val="none" w:color="auto"/>
        </w:rPr>
        <w:t>（Anas platyrhynchos）</w:t>
      </w:r>
      <w:r>
        <w:rPr>
          <w:rFonts w:hint="default" w:ascii="Times New Roman" w:hAnsi="Times New Roman" w:eastAsia="宋体" w:cs="Times New Roman"/>
          <w:color w:val="auto"/>
          <w:sz w:val="24"/>
          <w:szCs w:val="24"/>
          <w:u w:val="none" w:color="auto"/>
        </w:rPr>
        <w:t>、大杜鹃</w:t>
      </w:r>
      <w:r>
        <w:rPr>
          <w:rFonts w:hint="default" w:ascii="Times New Roman" w:hAnsi="Times New Roman" w:eastAsia="宋体" w:cs="Times New Roman"/>
          <w:i/>
          <w:iCs/>
          <w:color w:val="auto"/>
          <w:sz w:val="24"/>
          <w:szCs w:val="24"/>
          <w:u w:val="none" w:color="auto"/>
        </w:rPr>
        <w:t>（Cuculus canorus）</w:t>
      </w:r>
      <w:r>
        <w:rPr>
          <w:rFonts w:hint="default" w:ascii="Times New Roman" w:hAnsi="Times New Roman" w:eastAsia="宋体" w:cs="Times New Roman"/>
          <w:color w:val="auto"/>
          <w:sz w:val="24"/>
          <w:szCs w:val="24"/>
          <w:u w:val="none" w:color="auto"/>
        </w:rPr>
        <w:t>等10种；列入中澳候鸟保护协定的有水雉</w:t>
      </w:r>
      <w:r>
        <w:rPr>
          <w:rFonts w:hint="default" w:ascii="Times New Roman" w:hAnsi="Times New Roman" w:eastAsia="宋体" w:cs="Times New Roman"/>
          <w:i/>
          <w:iCs/>
          <w:color w:val="auto"/>
          <w:sz w:val="24"/>
          <w:szCs w:val="24"/>
          <w:u w:val="none" w:color="auto"/>
        </w:rPr>
        <w:t>（Hydrophasianus chirurgus）</w:t>
      </w:r>
      <w:r>
        <w:rPr>
          <w:rFonts w:hint="default" w:ascii="Times New Roman" w:hAnsi="Times New Roman" w:eastAsia="宋体" w:cs="Times New Roman"/>
          <w:color w:val="auto"/>
          <w:sz w:val="24"/>
          <w:szCs w:val="24"/>
          <w:u w:val="none" w:color="auto"/>
        </w:rPr>
        <w:t>、家燕</w:t>
      </w:r>
      <w:r>
        <w:rPr>
          <w:rFonts w:hint="default" w:ascii="Times New Roman" w:hAnsi="Times New Roman" w:eastAsia="宋体" w:cs="Times New Roman"/>
          <w:i/>
          <w:iCs/>
          <w:color w:val="auto"/>
          <w:sz w:val="24"/>
          <w:szCs w:val="24"/>
          <w:u w:val="none" w:color="auto"/>
        </w:rPr>
        <w:t>（Hirundo rustica）</w:t>
      </w:r>
      <w:r>
        <w:rPr>
          <w:rFonts w:hint="default" w:ascii="Times New Roman" w:hAnsi="Times New Roman" w:eastAsia="宋体" w:cs="Times New Roman"/>
          <w:color w:val="auto"/>
          <w:sz w:val="24"/>
          <w:szCs w:val="24"/>
          <w:u w:val="none" w:color="auto"/>
        </w:rPr>
        <w:t>和白鹡鸰</w:t>
      </w:r>
      <w:r>
        <w:rPr>
          <w:rFonts w:hint="default" w:ascii="Times New Roman" w:hAnsi="Times New Roman" w:eastAsia="宋体" w:cs="Times New Roman"/>
          <w:i/>
          <w:iCs/>
          <w:color w:val="auto"/>
          <w:sz w:val="24"/>
          <w:szCs w:val="24"/>
          <w:u w:val="none" w:color="auto"/>
        </w:rPr>
        <w:t>（Motacilla alba）</w:t>
      </w:r>
      <w:r>
        <w:rPr>
          <w:rFonts w:hint="default" w:ascii="Times New Roman" w:hAnsi="Times New Roman" w:eastAsia="宋体" w:cs="Times New Roman"/>
          <w:color w:val="auto"/>
          <w:sz w:val="24"/>
          <w:szCs w:val="24"/>
          <w:u w:val="none" w:color="auto"/>
        </w:rPr>
        <w:t>5种。</w:t>
      </w:r>
    </w:p>
    <w:p w14:paraId="676E4EC7">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15" w:name="_Toc15609"/>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小结</w:t>
      </w:r>
      <w:bookmarkEnd w:id="615"/>
    </w:p>
    <w:p w14:paraId="3A70D02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eastAsia="zh-CN"/>
        </w:rPr>
        <w:t>调查区位于湖南东洞庭湖国家级自然保护区实验区</w:t>
      </w:r>
      <w:r>
        <w:rPr>
          <w:rFonts w:hint="default" w:ascii="Times New Roman" w:hAnsi="Times New Roman" w:eastAsia="宋体" w:cs="Times New Roman"/>
          <w:color w:val="auto"/>
          <w:sz w:val="24"/>
          <w:szCs w:val="24"/>
          <w:u w:val="none" w:color="auto"/>
        </w:rPr>
        <w:t>，主要以水生生态系统和湿地生态系统为主，区内自然植被状况覆盖度不高，以湖泊湿地景观为主，区内以雀形目留鸟、啮齿目常见动物为主，不具备陆生野生动物重要活动栖息生境特点，不是越冬候鸟重要觅食、停歇地；从空间角度来看，该区域</w:t>
      </w:r>
      <w:r>
        <w:rPr>
          <w:rFonts w:hint="default" w:ascii="Times New Roman" w:hAnsi="Times New Roman" w:eastAsia="宋体" w:cs="Times New Roman"/>
          <w:color w:val="auto"/>
          <w:sz w:val="24"/>
          <w:szCs w:val="24"/>
          <w:u w:val="none" w:color="auto"/>
          <w:lang w:val="en-US" w:eastAsia="zh-CN"/>
        </w:rPr>
        <w:t>不</w:t>
      </w:r>
      <w:r>
        <w:rPr>
          <w:rFonts w:hint="default" w:ascii="Times New Roman" w:hAnsi="Times New Roman" w:eastAsia="宋体" w:cs="Times New Roman"/>
          <w:color w:val="auto"/>
          <w:sz w:val="24"/>
          <w:szCs w:val="24"/>
          <w:u w:val="none" w:color="auto"/>
        </w:rPr>
        <w:t>在处于越冬候鸟出入洞庭湖湿地迁移路线上，每年1</w:t>
      </w:r>
      <w:r>
        <w:rPr>
          <w:rFonts w:hint="default" w:ascii="Times New Roman" w:hAnsi="Times New Roman" w:eastAsia="宋体" w:cs="Times New Roman"/>
          <w:color w:val="auto"/>
          <w:sz w:val="24"/>
          <w:szCs w:val="24"/>
          <w:u w:val="none" w:color="auto"/>
          <w:lang w:val="en-US" w:eastAsia="zh-CN"/>
        </w:rPr>
        <w:t>0</w:t>
      </w:r>
      <w:r>
        <w:rPr>
          <w:rFonts w:hint="default" w:ascii="Times New Roman" w:hAnsi="Times New Roman" w:eastAsia="宋体" w:cs="Times New Roman"/>
          <w:color w:val="auto"/>
          <w:sz w:val="24"/>
          <w:szCs w:val="24"/>
          <w:u w:val="none" w:color="auto"/>
        </w:rPr>
        <w:t>月-次年3月，出入洞庭湖的部分水禽会飞跃该区域，但不是停歇和觅食场所。总体评价该区域自然环境质量单一，人为干扰较少，不是野生动物活动的重要场所，野生动物种类较少。</w:t>
      </w:r>
    </w:p>
    <w:p w14:paraId="7E8D4079">
      <w:pPr>
        <w:pStyle w:val="4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表4.5-2</w:t>
      </w:r>
      <w:r>
        <w:rPr>
          <w:rFonts w:hint="eastAsia" w:cs="Times New Roman"/>
          <w:color w:val="auto"/>
          <w:sz w:val="24"/>
          <w:szCs w:val="24"/>
          <w:lang w:val="en-US" w:eastAsia="zh-CN"/>
        </w:rPr>
        <w:t xml:space="preserve">0 </w:t>
      </w:r>
      <w:r>
        <w:rPr>
          <w:rFonts w:hint="eastAsia" w:ascii="Times New Roman" w:hAnsi="Times New Roman" w:eastAsia="宋体" w:cs="Times New Roman"/>
          <w:color w:val="auto"/>
          <w:sz w:val="24"/>
          <w:szCs w:val="24"/>
          <w:lang w:val="en-US" w:eastAsia="zh-CN"/>
        </w:rPr>
        <w:t>项目区主要动物名录表</w:t>
      </w:r>
    </w:p>
    <w:tbl>
      <w:tblPr>
        <w:tblStyle w:val="29"/>
        <w:tblW w:w="8220" w:type="dxa"/>
        <w:tblInd w:w="108"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09"/>
        <w:gridCol w:w="1716"/>
        <w:gridCol w:w="1475"/>
        <w:gridCol w:w="1420"/>
      </w:tblGrid>
      <w:tr w14:paraId="33C8C0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7B5ACD1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中文名拉丁名</w:t>
            </w:r>
          </w:p>
        </w:tc>
        <w:tc>
          <w:tcPr>
            <w:tcW w:w="1716" w:type="dxa"/>
            <w:noWrap w:val="0"/>
            <w:vAlign w:val="top"/>
          </w:tcPr>
          <w:p w14:paraId="697F1A2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区系特征</w:t>
            </w:r>
          </w:p>
        </w:tc>
        <w:tc>
          <w:tcPr>
            <w:tcW w:w="1475" w:type="dxa"/>
            <w:noWrap w:val="0"/>
            <w:vAlign w:val="top"/>
          </w:tcPr>
          <w:p w14:paraId="7E47821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保护级别</w:t>
            </w:r>
          </w:p>
        </w:tc>
        <w:tc>
          <w:tcPr>
            <w:tcW w:w="1420" w:type="dxa"/>
            <w:noWrap w:val="0"/>
            <w:vAlign w:val="top"/>
          </w:tcPr>
          <w:p w14:paraId="4567F01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资料来源</w:t>
            </w:r>
          </w:p>
        </w:tc>
      </w:tr>
      <w:tr w14:paraId="08087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noWrap w:val="0"/>
            <w:vAlign w:val="top"/>
          </w:tcPr>
          <w:p w14:paraId="0BCA8E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一、哺乳纲Mammali</w:t>
            </w:r>
          </w:p>
        </w:tc>
      </w:tr>
      <w:tr w14:paraId="77BA9B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7C0481A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一、食虫目INSECTIVORA</w:t>
            </w:r>
          </w:p>
        </w:tc>
        <w:tc>
          <w:tcPr>
            <w:tcW w:w="1716" w:type="dxa"/>
            <w:noWrap w:val="0"/>
            <w:vAlign w:val="top"/>
          </w:tcPr>
          <w:p w14:paraId="6991433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top"/>
          </w:tcPr>
          <w:p w14:paraId="6132F7E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top"/>
          </w:tcPr>
          <w:p w14:paraId="16C9B8B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AE14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31E276F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1.鼩鼱科Soricidae</w:t>
            </w:r>
          </w:p>
        </w:tc>
        <w:tc>
          <w:tcPr>
            <w:tcW w:w="1716" w:type="dxa"/>
            <w:noWrap w:val="0"/>
            <w:vAlign w:val="top"/>
          </w:tcPr>
          <w:p w14:paraId="25C78C1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top"/>
          </w:tcPr>
          <w:p w14:paraId="61A6774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top"/>
          </w:tcPr>
          <w:p w14:paraId="32CBA13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D966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69A1A28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灰麝鼩Crocidura attenuata</w:t>
            </w:r>
          </w:p>
        </w:tc>
        <w:tc>
          <w:tcPr>
            <w:tcW w:w="1716" w:type="dxa"/>
            <w:noWrap w:val="0"/>
            <w:vAlign w:val="center"/>
          </w:tcPr>
          <w:p w14:paraId="7E46F4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noWrap w:val="0"/>
            <w:vAlign w:val="center"/>
          </w:tcPr>
          <w:p w14:paraId="1263B92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774B919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p>
        </w:tc>
      </w:tr>
      <w:tr w14:paraId="6505C4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04C61CB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二、翼手目CHIROTERA</w:t>
            </w:r>
          </w:p>
        </w:tc>
        <w:tc>
          <w:tcPr>
            <w:tcW w:w="1716" w:type="dxa"/>
            <w:noWrap w:val="0"/>
            <w:vAlign w:val="center"/>
          </w:tcPr>
          <w:p w14:paraId="1CF392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2BF8F4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0959DBA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A3341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57B9068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2.蝙蝠科Vespertillionidae</w:t>
            </w:r>
          </w:p>
        </w:tc>
        <w:tc>
          <w:tcPr>
            <w:tcW w:w="1716" w:type="dxa"/>
            <w:noWrap w:val="0"/>
            <w:vAlign w:val="center"/>
          </w:tcPr>
          <w:p w14:paraId="0A47DC5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5B1103C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277F7B6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505ED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29A21D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东方蝙蝠Vespertillio superans</w:t>
            </w:r>
          </w:p>
        </w:tc>
        <w:tc>
          <w:tcPr>
            <w:tcW w:w="1716" w:type="dxa"/>
            <w:noWrap w:val="0"/>
            <w:vAlign w:val="center"/>
          </w:tcPr>
          <w:p w14:paraId="7051DB1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noWrap w:val="0"/>
            <w:vAlign w:val="center"/>
          </w:tcPr>
          <w:p w14:paraId="342A542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3D15F41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0B9E2F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5BC7A1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3.蹄蝠科Hipposideridae</w:t>
            </w:r>
          </w:p>
        </w:tc>
        <w:tc>
          <w:tcPr>
            <w:tcW w:w="1716" w:type="dxa"/>
            <w:noWrap w:val="0"/>
            <w:vAlign w:val="center"/>
          </w:tcPr>
          <w:p w14:paraId="0430FD2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46B091E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0144B9B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9BED0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54BEAD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大蹄蝠Hipposideros armiger</w:t>
            </w:r>
          </w:p>
        </w:tc>
        <w:tc>
          <w:tcPr>
            <w:tcW w:w="1716" w:type="dxa"/>
            <w:noWrap w:val="0"/>
            <w:vAlign w:val="center"/>
          </w:tcPr>
          <w:p w14:paraId="10EC7AF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noWrap w:val="0"/>
            <w:vAlign w:val="center"/>
          </w:tcPr>
          <w:p w14:paraId="425715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45AC7EF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p>
        </w:tc>
      </w:tr>
      <w:tr w14:paraId="70E971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508543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三、兔形目LAGOMORPHA</w:t>
            </w:r>
          </w:p>
        </w:tc>
        <w:tc>
          <w:tcPr>
            <w:tcW w:w="1716" w:type="dxa"/>
            <w:noWrap w:val="0"/>
            <w:vAlign w:val="center"/>
          </w:tcPr>
          <w:p w14:paraId="244D52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2795E7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535BB3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1955E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7E48BCF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3.兔科Leporidae</w:t>
            </w:r>
          </w:p>
        </w:tc>
        <w:tc>
          <w:tcPr>
            <w:tcW w:w="1716" w:type="dxa"/>
            <w:noWrap w:val="0"/>
            <w:vAlign w:val="center"/>
          </w:tcPr>
          <w:p w14:paraId="3F90DDF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01BF13B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0D28A99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6E042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0D46B6D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华南兔Lepus sinensis</w:t>
            </w:r>
          </w:p>
        </w:tc>
        <w:tc>
          <w:tcPr>
            <w:tcW w:w="1716" w:type="dxa"/>
            <w:noWrap w:val="0"/>
            <w:vAlign w:val="center"/>
          </w:tcPr>
          <w:p w14:paraId="6BC1382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noWrap w:val="0"/>
            <w:vAlign w:val="center"/>
          </w:tcPr>
          <w:p w14:paraId="7ADDEA5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1420" w:type="dxa"/>
            <w:noWrap w:val="0"/>
            <w:vAlign w:val="center"/>
          </w:tcPr>
          <w:p w14:paraId="242A2D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7134A2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7F73C7F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四、啮齿目RODENTIA</w:t>
            </w:r>
          </w:p>
        </w:tc>
        <w:tc>
          <w:tcPr>
            <w:tcW w:w="1716" w:type="dxa"/>
            <w:noWrap w:val="0"/>
            <w:vAlign w:val="center"/>
          </w:tcPr>
          <w:p w14:paraId="3C64AE2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343E17D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2CE5749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727BC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487279A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4.仓鼠科Cricetidae</w:t>
            </w:r>
          </w:p>
        </w:tc>
        <w:tc>
          <w:tcPr>
            <w:tcW w:w="1716" w:type="dxa"/>
            <w:noWrap w:val="0"/>
            <w:vAlign w:val="center"/>
          </w:tcPr>
          <w:p w14:paraId="5A73A9C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1089C8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4935905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E679A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2E5DED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东方田鼠Microtus fortis</w:t>
            </w:r>
          </w:p>
        </w:tc>
        <w:tc>
          <w:tcPr>
            <w:tcW w:w="1716" w:type="dxa"/>
            <w:noWrap w:val="0"/>
            <w:vAlign w:val="center"/>
          </w:tcPr>
          <w:p w14:paraId="62AF1E2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PR</w:t>
            </w:r>
          </w:p>
        </w:tc>
        <w:tc>
          <w:tcPr>
            <w:tcW w:w="1475" w:type="dxa"/>
            <w:noWrap w:val="0"/>
            <w:vAlign w:val="center"/>
          </w:tcPr>
          <w:p w14:paraId="17048F8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60CF7B1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p>
        </w:tc>
      </w:tr>
      <w:tr w14:paraId="5821C3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389FE1A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5.鼠科Muridae：5种</w:t>
            </w:r>
          </w:p>
        </w:tc>
        <w:tc>
          <w:tcPr>
            <w:tcW w:w="1716" w:type="dxa"/>
            <w:noWrap w:val="0"/>
            <w:vAlign w:val="center"/>
          </w:tcPr>
          <w:p w14:paraId="6B27772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4483DA6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05E02D1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AF415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6D51E7C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褐家鼠Rattus norvegicus</w:t>
            </w:r>
          </w:p>
        </w:tc>
        <w:tc>
          <w:tcPr>
            <w:tcW w:w="1716" w:type="dxa"/>
            <w:noWrap w:val="0"/>
            <w:vAlign w:val="center"/>
          </w:tcPr>
          <w:p w14:paraId="1B48FCC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H</w:t>
            </w:r>
          </w:p>
        </w:tc>
        <w:tc>
          <w:tcPr>
            <w:tcW w:w="1475" w:type="dxa"/>
            <w:noWrap w:val="0"/>
            <w:vAlign w:val="center"/>
          </w:tcPr>
          <w:p w14:paraId="17E1E47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52D0CBB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2D32C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noWrap w:val="0"/>
            <w:vAlign w:val="top"/>
          </w:tcPr>
          <w:p w14:paraId="13BF933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黄胸鼠Rattus tanezumi</w:t>
            </w:r>
          </w:p>
        </w:tc>
        <w:tc>
          <w:tcPr>
            <w:tcW w:w="1716" w:type="dxa"/>
            <w:noWrap w:val="0"/>
            <w:vAlign w:val="center"/>
          </w:tcPr>
          <w:p w14:paraId="561C8C0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noWrap w:val="0"/>
            <w:vAlign w:val="center"/>
          </w:tcPr>
          <w:p w14:paraId="5CD7018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25F7D61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p>
        </w:tc>
      </w:tr>
      <w:tr w14:paraId="6050B1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106D4A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黑线姬鼠Apodemus agrarius</w:t>
            </w:r>
          </w:p>
        </w:tc>
        <w:tc>
          <w:tcPr>
            <w:tcW w:w="1716" w:type="dxa"/>
            <w:noWrap w:val="0"/>
            <w:vAlign w:val="center"/>
          </w:tcPr>
          <w:p w14:paraId="73F7688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H</w:t>
            </w:r>
          </w:p>
        </w:tc>
        <w:tc>
          <w:tcPr>
            <w:tcW w:w="1475" w:type="dxa"/>
            <w:noWrap w:val="0"/>
            <w:vAlign w:val="center"/>
          </w:tcPr>
          <w:p w14:paraId="4C8619D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63F082C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1334C5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2C52C14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社鼠Niviventer niviventer</w:t>
            </w:r>
          </w:p>
        </w:tc>
        <w:tc>
          <w:tcPr>
            <w:tcW w:w="1716" w:type="dxa"/>
            <w:noWrap w:val="0"/>
            <w:vAlign w:val="center"/>
          </w:tcPr>
          <w:p w14:paraId="2A2B0E2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47BC015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3EBFDE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D5191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640792C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五、食肉目CARNIVORA</w:t>
            </w:r>
          </w:p>
        </w:tc>
        <w:tc>
          <w:tcPr>
            <w:tcW w:w="1716" w:type="dxa"/>
            <w:noWrap w:val="0"/>
            <w:vAlign w:val="center"/>
          </w:tcPr>
          <w:p w14:paraId="5BE6C38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54B789B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410BEC6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295CB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2BEAEB2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7.鼬科Mustelidae</w:t>
            </w:r>
          </w:p>
        </w:tc>
        <w:tc>
          <w:tcPr>
            <w:tcW w:w="1716" w:type="dxa"/>
            <w:noWrap w:val="0"/>
            <w:vAlign w:val="center"/>
          </w:tcPr>
          <w:p w14:paraId="163ABED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noWrap w:val="0"/>
            <w:vAlign w:val="center"/>
          </w:tcPr>
          <w:p w14:paraId="00A18D1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020F938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14785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6F44424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黄鼬Mustela sibirica</w:t>
            </w:r>
          </w:p>
        </w:tc>
        <w:tc>
          <w:tcPr>
            <w:tcW w:w="1716" w:type="dxa"/>
            <w:tcBorders>
              <w:right w:val="single" w:color="auto" w:sz="4" w:space="0"/>
            </w:tcBorders>
            <w:noWrap w:val="0"/>
            <w:vAlign w:val="center"/>
          </w:tcPr>
          <w:p w14:paraId="28EB2A4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noWrap w:val="0"/>
            <w:vAlign w:val="center"/>
          </w:tcPr>
          <w:p w14:paraId="7D84C9A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1420" w:type="dxa"/>
            <w:noWrap w:val="0"/>
            <w:vAlign w:val="center"/>
          </w:tcPr>
          <w:p w14:paraId="48735D2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412D5D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132AC4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六、鲸目CETACEA </w:t>
            </w:r>
          </w:p>
        </w:tc>
        <w:tc>
          <w:tcPr>
            <w:tcW w:w="1716" w:type="dxa"/>
            <w:tcBorders>
              <w:right w:val="single" w:color="auto" w:sz="4" w:space="0"/>
            </w:tcBorders>
            <w:noWrap w:val="0"/>
            <w:vAlign w:val="center"/>
          </w:tcPr>
          <w:p w14:paraId="7642C7B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noWrap w:val="0"/>
            <w:vAlign w:val="center"/>
          </w:tcPr>
          <w:p w14:paraId="35E07C9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46AE0EB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61772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2EFA8D2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8.鼠海豚科Phocaenidae</w:t>
            </w:r>
          </w:p>
        </w:tc>
        <w:tc>
          <w:tcPr>
            <w:tcW w:w="1716" w:type="dxa"/>
            <w:tcBorders>
              <w:right w:val="single" w:color="auto" w:sz="4" w:space="0"/>
            </w:tcBorders>
            <w:noWrap w:val="0"/>
            <w:vAlign w:val="center"/>
          </w:tcPr>
          <w:p w14:paraId="6E971BC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noWrap w:val="0"/>
            <w:vAlign w:val="center"/>
          </w:tcPr>
          <w:p w14:paraId="363A80D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32EA431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D208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noWrap w:val="0"/>
            <w:vAlign w:val="top"/>
          </w:tcPr>
          <w:p w14:paraId="7BDC12A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江豚Neophocaena asiaeorientalis</w:t>
            </w:r>
          </w:p>
        </w:tc>
        <w:tc>
          <w:tcPr>
            <w:tcW w:w="1716" w:type="dxa"/>
            <w:tcBorders>
              <w:right w:val="single" w:color="auto" w:sz="4" w:space="0"/>
            </w:tcBorders>
            <w:noWrap w:val="0"/>
            <w:vAlign w:val="center"/>
          </w:tcPr>
          <w:p w14:paraId="622B411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noWrap w:val="0"/>
            <w:vAlign w:val="center"/>
          </w:tcPr>
          <w:p w14:paraId="4344C43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noWrap w:val="0"/>
            <w:vAlign w:val="center"/>
          </w:tcPr>
          <w:p w14:paraId="7E02C3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14:paraId="487558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noWrap w:val="0"/>
            <w:vAlign w:val="top"/>
          </w:tcPr>
          <w:p w14:paraId="07BDC1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二、爬行纲Reptili</w:t>
            </w:r>
          </w:p>
        </w:tc>
      </w:tr>
      <w:tr w14:paraId="1A48A9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2FD6711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一、蜥蜴目LACERTILIA</w:t>
            </w:r>
          </w:p>
        </w:tc>
        <w:tc>
          <w:tcPr>
            <w:tcW w:w="1716" w:type="dxa"/>
            <w:tcBorders>
              <w:right w:val="single" w:color="auto" w:sz="4" w:space="0"/>
            </w:tcBorders>
            <w:shd w:val="clear" w:color="auto" w:fill="auto"/>
            <w:noWrap w:val="0"/>
            <w:vAlign w:val="center"/>
          </w:tcPr>
          <w:p w14:paraId="6F7F040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BC0125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0C1B8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DBB42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6DF25A9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1.壁虎科Gekkonidae</w:t>
            </w:r>
          </w:p>
        </w:tc>
        <w:tc>
          <w:tcPr>
            <w:tcW w:w="1716" w:type="dxa"/>
            <w:tcBorders>
              <w:right w:val="single" w:color="auto" w:sz="4" w:space="0"/>
            </w:tcBorders>
            <w:shd w:val="clear" w:color="auto" w:fill="auto"/>
            <w:noWrap w:val="0"/>
            <w:vAlign w:val="center"/>
          </w:tcPr>
          <w:p w14:paraId="5A44F9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9FAA53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117A9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87C20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418AF5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多疣壁虎</w:t>
            </w:r>
            <w:r>
              <w:rPr>
                <w:rFonts w:hint="default" w:ascii="Times New Roman" w:hAnsi="Times New Roman" w:eastAsia="宋体" w:cs="Times New Roman"/>
                <w:color w:val="auto"/>
                <w:kern w:val="2"/>
                <w:sz w:val="21"/>
                <w:szCs w:val="24"/>
                <w:lang w:val="pt-BR" w:eastAsia="zh-CN" w:bidi="ar-SA"/>
              </w:rPr>
              <w:t>Gekko</w:t>
            </w:r>
            <w:r>
              <w:rPr>
                <w:rFonts w:hint="default" w:ascii="Times New Roman" w:hAnsi="Times New Roman" w:eastAsia="宋体"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pt-BR" w:eastAsia="zh-CN" w:bidi="ar-SA"/>
              </w:rPr>
              <w:t>japonicus</w:t>
            </w:r>
          </w:p>
        </w:tc>
        <w:tc>
          <w:tcPr>
            <w:tcW w:w="1716" w:type="dxa"/>
            <w:tcBorders>
              <w:right w:val="single" w:color="auto" w:sz="4" w:space="0"/>
            </w:tcBorders>
            <w:shd w:val="clear" w:color="auto" w:fill="auto"/>
            <w:noWrap w:val="0"/>
            <w:vAlign w:val="center"/>
          </w:tcPr>
          <w:p w14:paraId="01582F8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E0332B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839B53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07C0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60F8CB0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2.石龙子科Scincidae：2种</w:t>
            </w:r>
          </w:p>
        </w:tc>
        <w:tc>
          <w:tcPr>
            <w:tcW w:w="1716" w:type="dxa"/>
            <w:tcBorders>
              <w:right w:val="single" w:color="auto" w:sz="4" w:space="0"/>
            </w:tcBorders>
            <w:shd w:val="clear" w:color="auto" w:fill="auto"/>
            <w:noWrap w:val="0"/>
            <w:vAlign w:val="center"/>
          </w:tcPr>
          <w:p w14:paraId="4843017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7F520B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73CA0A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86590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71212EA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中国石龙子Eumeces chinensis</w:t>
            </w:r>
          </w:p>
        </w:tc>
        <w:tc>
          <w:tcPr>
            <w:tcW w:w="1716" w:type="dxa"/>
            <w:tcBorders>
              <w:right w:val="single" w:color="auto" w:sz="4" w:space="0"/>
            </w:tcBorders>
            <w:shd w:val="clear" w:color="auto" w:fill="auto"/>
            <w:noWrap w:val="0"/>
            <w:vAlign w:val="center"/>
          </w:tcPr>
          <w:p w14:paraId="7E770FA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PR</w:t>
            </w:r>
          </w:p>
        </w:tc>
        <w:tc>
          <w:tcPr>
            <w:tcW w:w="1475" w:type="dxa"/>
            <w:tcBorders>
              <w:left w:val="single" w:color="auto" w:sz="4" w:space="0"/>
            </w:tcBorders>
            <w:shd w:val="clear" w:color="auto" w:fill="auto"/>
            <w:noWrap w:val="0"/>
            <w:vAlign w:val="center"/>
          </w:tcPr>
          <w:p w14:paraId="6115A57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CB6EF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F55CC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406AD34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铜蝘蜒Sphenomorphus indicus</w:t>
            </w:r>
          </w:p>
        </w:tc>
        <w:tc>
          <w:tcPr>
            <w:tcW w:w="1716" w:type="dxa"/>
            <w:tcBorders>
              <w:right w:val="single" w:color="auto" w:sz="4" w:space="0"/>
            </w:tcBorders>
            <w:shd w:val="clear" w:color="auto" w:fill="auto"/>
            <w:noWrap w:val="0"/>
            <w:vAlign w:val="center"/>
          </w:tcPr>
          <w:p w14:paraId="0F37882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7209459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21EA68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78BD2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1B6881A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3.蜥蜴科Lacertidae</w:t>
            </w:r>
          </w:p>
        </w:tc>
        <w:tc>
          <w:tcPr>
            <w:tcW w:w="1716" w:type="dxa"/>
            <w:tcBorders>
              <w:right w:val="single" w:color="auto" w:sz="4" w:space="0"/>
            </w:tcBorders>
            <w:shd w:val="clear" w:color="auto" w:fill="auto"/>
            <w:noWrap w:val="0"/>
            <w:vAlign w:val="center"/>
          </w:tcPr>
          <w:p w14:paraId="2294D47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0A763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42031D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AA315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42774A6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北草蜥</w:t>
            </w:r>
            <w:r>
              <w:rPr>
                <w:rFonts w:hint="default" w:ascii="Times New Roman" w:hAnsi="Times New Roman" w:eastAsia="宋体" w:cs="Times New Roman"/>
                <w:color w:val="auto"/>
                <w:kern w:val="2"/>
                <w:sz w:val="21"/>
                <w:szCs w:val="24"/>
                <w:lang w:val="fr-FR" w:eastAsia="zh-CN" w:bidi="ar-SA"/>
              </w:rPr>
              <w:t>Takydromus</w:t>
            </w:r>
            <w:r>
              <w:rPr>
                <w:rFonts w:hint="default" w:ascii="Times New Roman" w:hAnsi="Times New Roman" w:eastAsia="宋体"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fr-FR" w:eastAsia="zh-CN" w:bidi="ar-SA"/>
              </w:rPr>
              <w:t>septentrionalis</w:t>
            </w:r>
          </w:p>
        </w:tc>
        <w:tc>
          <w:tcPr>
            <w:tcW w:w="1716" w:type="dxa"/>
            <w:tcBorders>
              <w:right w:val="single" w:color="auto" w:sz="4" w:space="0"/>
            </w:tcBorders>
            <w:shd w:val="clear" w:color="auto" w:fill="auto"/>
            <w:noWrap w:val="0"/>
            <w:vAlign w:val="center"/>
          </w:tcPr>
          <w:p w14:paraId="6461E5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PR</w:t>
            </w:r>
          </w:p>
        </w:tc>
        <w:tc>
          <w:tcPr>
            <w:tcW w:w="1475" w:type="dxa"/>
            <w:tcBorders>
              <w:left w:val="single" w:color="auto" w:sz="4" w:space="0"/>
            </w:tcBorders>
            <w:shd w:val="clear" w:color="auto" w:fill="auto"/>
            <w:noWrap w:val="0"/>
            <w:vAlign w:val="center"/>
          </w:tcPr>
          <w:p w14:paraId="2340FAE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FA10E7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4BBD85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0646BB4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二、蛇目OPHIDIA</w:t>
            </w:r>
          </w:p>
        </w:tc>
        <w:tc>
          <w:tcPr>
            <w:tcW w:w="1716" w:type="dxa"/>
            <w:tcBorders>
              <w:right w:val="single" w:color="auto" w:sz="4" w:space="0"/>
            </w:tcBorders>
            <w:shd w:val="clear" w:color="auto" w:fill="auto"/>
            <w:noWrap w:val="0"/>
            <w:vAlign w:val="center"/>
          </w:tcPr>
          <w:p w14:paraId="213F2E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FE6C3F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F26EB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F2908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541E6A1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4</w:t>
            </w:r>
            <w:r>
              <w:rPr>
                <w:rFonts w:hint="default" w:ascii="Times New Roman" w:hAnsi="Times New Roman" w:eastAsia="宋体" w:cs="Times New Roman"/>
                <w:color w:val="auto"/>
                <w:kern w:val="2"/>
                <w:sz w:val="21"/>
                <w:szCs w:val="24"/>
                <w:lang w:val="pt-BR" w:eastAsia="zh-CN" w:bidi="ar-SA"/>
              </w:rPr>
              <w:t>.</w:t>
            </w:r>
            <w:r>
              <w:rPr>
                <w:rFonts w:hint="default" w:ascii="Times New Roman" w:hAnsi="Times New Roman" w:eastAsia="宋体" w:cs="Times New Roman"/>
                <w:color w:val="auto"/>
                <w:kern w:val="2"/>
                <w:sz w:val="21"/>
                <w:szCs w:val="24"/>
                <w:lang w:val="en-US" w:eastAsia="zh-CN" w:bidi="ar-SA"/>
              </w:rPr>
              <w:t>游蛇科</w:t>
            </w:r>
            <w:r>
              <w:rPr>
                <w:rFonts w:hint="default" w:ascii="Times New Roman" w:hAnsi="Times New Roman" w:eastAsia="宋体" w:cs="Times New Roman"/>
                <w:color w:val="auto"/>
                <w:kern w:val="2"/>
                <w:sz w:val="21"/>
                <w:szCs w:val="24"/>
                <w:lang w:val="pt-BR" w:eastAsia="zh-CN" w:bidi="ar-SA"/>
              </w:rPr>
              <w:t>Colubridae：</w:t>
            </w:r>
            <w:r>
              <w:rPr>
                <w:rFonts w:hint="default" w:ascii="Times New Roman" w:hAnsi="Times New Roman" w:eastAsia="宋体" w:cs="Times New Roman"/>
                <w:color w:val="auto"/>
                <w:kern w:val="2"/>
                <w:sz w:val="21"/>
                <w:szCs w:val="24"/>
                <w:lang w:val="en-US" w:eastAsia="zh-CN" w:bidi="ar-SA"/>
              </w:rPr>
              <w:t>6种</w:t>
            </w:r>
          </w:p>
        </w:tc>
        <w:tc>
          <w:tcPr>
            <w:tcW w:w="1716" w:type="dxa"/>
            <w:tcBorders>
              <w:right w:val="single" w:color="auto" w:sz="4" w:space="0"/>
            </w:tcBorders>
            <w:shd w:val="clear" w:color="auto" w:fill="auto"/>
            <w:noWrap w:val="0"/>
            <w:vAlign w:val="center"/>
          </w:tcPr>
          <w:p w14:paraId="1DB24F5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C7EBA0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1945E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F48B4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3731252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钝尾两头蛇Calamaria septentrionalis</w:t>
            </w:r>
          </w:p>
        </w:tc>
        <w:tc>
          <w:tcPr>
            <w:tcW w:w="1716" w:type="dxa"/>
            <w:tcBorders>
              <w:right w:val="single" w:color="auto" w:sz="4" w:space="0"/>
            </w:tcBorders>
            <w:shd w:val="clear" w:color="auto" w:fill="auto"/>
            <w:noWrap w:val="0"/>
            <w:vAlign w:val="center"/>
          </w:tcPr>
          <w:p w14:paraId="524DF89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6FC376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BE5A5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78EE7C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4DCADA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翠青蛇Cyclophiops major</w:t>
            </w:r>
          </w:p>
        </w:tc>
        <w:tc>
          <w:tcPr>
            <w:tcW w:w="1716" w:type="dxa"/>
            <w:tcBorders>
              <w:right w:val="single" w:color="auto" w:sz="4" w:space="0"/>
            </w:tcBorders>
            <w:shd w:val="clear" w:color="auto" w:fill="auto"/>
            <w:noWrap w:val="0"/>
            <w:vAlign w:val="center"/>
          </w:tcPr>
          <w:p w14:paraId="1D2FE28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031928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193EDF5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45115B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014CD9A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赤链蛇Dinodon rufozonatum</w:t>
            </w:r>
          </w:p>
        </w:tc>
        <w:tc>
          <w:tcPr>
            <w:tcW w:w="1716" w:type="dxa"/>
            <w:tcBorders>
              <w:right w:val="single" w:color="auto" w:sz="4" w:space="0"/>
            </w:tcBorders>
            <w:shd w:val="clear" w:color="auto" w:fill="auto"/>
            <w:noWrap w:val="0"/>
            <w:vAlign w:val="center"/>
          </w:tcPr>
          <w:p w14:paraId="54A9909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M-S</w:t>
            </w:r>
          </w:p>
        </w:tc>
        <w:tc>
          <w:tcPr>
            <w:tcW w:w="1475" w:type="dxa"/>
            <w:tcBorders>
              <w:left w:val="single" w:color="auto" w:sz="4" w:space="0"/>
            </w:tcBorders>
            <w:shd w:val="clear" w:color="auto" w:fill="auto"/>
            <w:noWrap w:val="0"/>
            <w:vAlign w:val="center"/>
          </w:tcPr>
          <w:p w14:paraId="4673BAF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C1A521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7F5546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7830F65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黑眉锦蛇Elaphe taeniura</w:t>
            </w:r>
          </w:p>
        </w:tc>
        <w:tc>
          <w:tcPr>
            <w:tcW w:w="1716" w:type="dxa"/>
            <w:tcBorders>
              <w:right w:val="single" w:color="auto" w:sz="4" w:space="0"/>
            </w:tcBorders>
            <w:shd w:val="clear" w:color="auto" w:fill="auto"/>
            <w:noWrap w:val="0"/>
            <w:vAlign w:val="center"/>
          </w:tcPr>
          <w:p w14:paraId="1223F4B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760D2E9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30BCF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56EBE2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161564E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虎斑游蛇</w:t>
            </w:r>
            <w:r>
              <w:rPr>
                <w:rFonts w:hint="default" w:ascii="Times New Roman" w:hAnsi="Times New Roman" w:eastAsia="宋体" w:cs="Times New Roman"/>
                <w:color w:val="auto"/>
                <w:kern w:val="2"/>
                <w:sz w:val="21"/>
                <w:szCs w:val="24"/>
                <w:lang w:val="pt-BR" w:eastAsia="zh-CN" w:bidi="ar-SA"/>
              </w:rPr>
              <w:t>Rhabdophis</w:t>
            </w:r>
            <w:r>
              <w:rPr>
                <w:rFonts w:hint="default" w:ascii="Times New Roman" w:hAnsi="Times New Roman" w:eastAsia="宋体"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pt-BR" w:eastAsia="zh-CN" w:bidi="ar-SA"/>
              </w:rPr>
              <w:t>tigrina</w:t>
            </w:r>
          </w:p>
        </w:tc>
        <w:tc>
          <w:tcPr>
            <w:tcW w:w="1716" w:type="dxa"/>
            <w:tcBorders>
              <w:right w:val="single" w:color="auto" w:sz="4" w:space="0"/>
            </w:tcBorders>
            <w:shd w:val="clear" w:color="auto" w:fill="auto"/>
            <w:noWrap w:val="0"/>
            <w:vAlign w:val="center"/>
          </w:tcPr>
          <w:p w14:paraId="52082CE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1EBA88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75EC13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C20F1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31814C9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中国水蛇Enhydris chinensis</w:t>
            </w:r>
          </w:p>
        </w:tc>
        <w:tc>
          <w:tcPr>
            <w:tcW w:w="1716" w:type="dxa"/>
            <w:tcBorders>
              <w:right w:val="single" w:color="auto" w:sz="4" w:space="0"/>
            </w:tcBorders>
            <w:shd w:val="clear" w:color="auto" w:fill="auto"/>
            <w:noWrap w:val="0"/>
            <w:vAlign w:val="center"/>
          </w:tcPr>
          <w:p w14:paraId="00A3CFE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M-S</w:t>
            </w:r>
          </w:p>
        </w:tc>
        <w:tc>
          <w:tcPr>
            <w:tcW w:w="1475" w:type="dxa"/>
            <w:tcBorders>
              <w:left w:val="single" w:color="auto" w:sz="4" w:space="0"/>
            </w:tcBorders>
            <w:shd w:val="clear" w:color="auto" w:fill="auto"/>
            <w:noWrap w:val="0"/>
            <w:vAlign w:val="center"/>
          </w:tcPr>
          <w:p w14:paraId="6E5DED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679A9F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5AEC76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center"/>
          </w:tcPr>
          <w:p w14:paraId="34BD1F4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5.蝰蛇科Viperidae</w:t>
            </w:r>
          </w:p>
        </w:tc>
        <w:tc>
          <w:tcPr>
            <w:tcW w:w="1716" w:type="dxa"/>
            <w:tcBorders>
              <w:right w:val="single" w:color="auto" w:sz="4" w:space="0"/>
            </w:tcBorders>
            <w:shd w:val="clear" w:color="auto" w:fill="auto"/>
            <w:noWrap w:val="0"/>
            <w:vAlign w:val="center"/>
          </w:tcPr>
          <w:p w14:paraId="6D09A73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96A03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DD8D12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5438E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shd w:val="clear" w:color="auto" w:fill="auto"/>
            <w:noWrap w:val="0"/>
            <w:vAlign w:val="center"/>
          </w:tcPr>
          <w:p w14:paraId="0C8EDD3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三、两栖纲Amphibia</w:t>
            </w:r>
          </w:p>
        </w:tc>
      </w:tr>
      <w:tr w14:paraId="69C383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5D2D39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Ⅰ.有尾目CAUDATA</w:t>
            </w:r>
          </w:p>
        </w:tc>
        <w:tc>
          <w:tcPr>
            <w:tcW w:w="1716" w:type="dxa"/>
            <w:tcBorders>
              <w:right w:val="single" w:color="auto" w:sz="4" w:space="0"/>
            </w:tcBorders>
            <w:shd w:val="clear" w:color="auto" w:fill="auto"/>
            <w:noWrap w:val="0"/>
            <w:vAlign w:val="top"/>
          </w:tcPr>
          <w:p w14:paraId="3910E76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5382EB2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2AE6915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E3624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053445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1.蝾螈科Salamandridae</w:t>
            </w:r>
          </w:p>
        </w:tc>
        <w:tc>
          <w:tcPr>
            <w:tcW w:w="1716" w:type="dxa"/>
            <w:tcBorders>
              <w:right w:val="single" w:color="auto" w:sz="4" w:space="0"/>
            </w:tcBorders>
            <w:shd w:val="clear" w:color="auto" w:fill="auto"/>
            <w:noWrap w:val="0"/>
            <w:vAlign w:val="top"/>
          </w:tcPr>
          <w:p w14:paraId="464CCC7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3FB9952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51D791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02D70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AFC48E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东方蝾螈Cynops orientalis</w:t>
            </w:r>
          </w:p>
        </w:tc>
        <w:tc>
          <w:tcPr>
            <w:tcW w:w="1716" w:type="dxa"/>
            <w:tcBorders>
              <w:right w:val="single" w:color="auto" w:sz="4" w:space="0"/>
            </w:tcBorders>
            <w:shd w:val="clear" w:color="auto" w:fill="auto"/>
            <w:noWrap w:val="0"/>
            <w:vAlign w:val="top"/>
          </w:tcPr>
          <w:p w14:paraId="5A39D53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top"/>
          </w:tcPr>
          <w:p w14:paraId="278674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5A1C977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3CEE8D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DEDEE9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Ⅱ.无尾目ANURA</w:t>
            </w:r>
          </w:p>
        </w:tc>
        <w:tc>
          <w:tcPr>
            <w:tcW w:w="1716" w:type="dxa"/>
            <w:tcBorders>
              <w:right w:val="single" w:color="auto" w:sz="4" w:space="0"/>
            </w:tcBorders>
            <w:shd w:val="clear" w:color="auto" w:fill="auto"/>
            <w:noWrap w:val="0"/>
            <w:vAlign w:val="top"/>
          </w:tcPr>
          <w:p w14:paraId="27D996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3D2304C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44595AC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2C177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D45BBA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2.蟾蜍科Bufonidae</w:t>
            </w:r>
          </w:p>
        </w:tc>
        <w:tc>
          <w:tcPr>
            <w:tcW w:w="1716" w:type="dxa"/>
            <w:tcBorders>
              <w:right w:val="single" w:color="auto" w:sz="4" w:space="0"/>
            </w:tcBorders>
            <w:shd w:val="clear" w:color="auto" w:fill="auto"/>
            <w:noWrap w:val="0"/>
            <w:vAlign w:val="top"/>
          </w:tcPr>
          <w:p w14:paraId="2020BA3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33A68FC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4720823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278EA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16E0DF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中华大蟾蜍Bufo gargarizans</w:t>
            </w:r>
          </w:p>
        </w:tc>
        <w:tc>
          <w:tcPr>
            <w:tcW w:w="1716" w:type="dxa"/>
            <w:tcBorders>
              <w:right w:val="single" w:color="auto" w:sz="4" w:space="0"/>
            </w:tcBorders>
            <w:shd w:val="clear" w:color="auto" w:fill="auto"/>
            <w:noWrap w:val="0"/>
            <w:vAlign w:val="top"/>
          </w:tcPr>
          <w:p w14:paraId="36B00EF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top"/>
          </w:tcPr>
          <w:p w14:paraId="21AB6B4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1B0B4A7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7F61CF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E3036F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3.雨蛙科Hylidae</w:t>
            </w:r>
          </w:p>
        </w:tc>
        <w:tc>
          <w:tcPr>
            <w:tcW w:w="1716" w:type="dxa"/>
            <w:tcBorders>
              <w:right w:val="single" w:color="auto" w:sz="4" w:space="0"/>
            </w:tcBorders>
            <w:shd w:val="clear" w:color="auto" w:fill="auto"/>
            <w:noWrap w:val="0"/>
            <w:vAlign w:val="top"/>
          </w:tcPr>
          <w:p w14:paraId="6D9042B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1D0970D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03156CC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CC8F0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0609E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三港雨蛙Hyla sanchiangenensia</w:t>
            </w:r>
          </w:p>
        </w:tc>
        <w:tc>
          <w:tcPr>
            <w:tcW w:w="1716" w:type="dxa"/>
            <w:tcBorders>
              <w:right w:val="single" w:color="auto" w:sz="4" w:space="0"/>
            </w:tcBorders>
            <w:shd w:val="clear" w:color="auto" w:fill="auto"/>
            <w:noWrap w:val="0"/>
            <w:vAlign w:val="top"/>
          </w:tcPr>
          <w:p w14:paraId="2FAEFC5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top"/>
          </w:tcPr>
          <w:p w14:paraId="300528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200DA75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072012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01E9BA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pt-BR" w:eastAsia="zh-CN" w:bidi="ar-SA"/>
              </w:rPr>
              <w:t>4.</w:t>
            </w:r>
            <w:r>
              <w:rPr>
                <w:rFonts w:hint="default" w:ascii="Times New Roman" w:hAnsi="Times New Roman" w:eastAsia="宋体" w:cs="Times New Roman"/>
                <w:color w:val="auto"/>
                <w:kern w:val="2"/>
                <w:sz w:val="21"/>
                <w:szCs w:val="24"/>
                <w:lang w:val="en-US" w:eastAsia="zh-CN" w:bidi="ar-SA"/>
              </w:rPr>
              <w:t>蛙科</w:t>
            </w:r>
            <w:r>
              <w:rPr>
                <w:rFonts w:hint="default" w:ascii="Times New Roman" w:hAnsi="Times New Roman" w:eastAsia="宋体" w:cs="Times New Roman"/>
                <w:color w:val="auto"/>
                <w:kern w:val="2"/>
                <w:sz w:val="21"/>
                <w:szCs w:val="24"/>
                <w:lang w:val="pt-BR" w:eastAsia="zh-CN" w:bidi="ar-SA"/>
              </w:rPr>
              <w:t>Ranidae：5</w:t>
            </w:r>
            <w:r>
              <w:rPr>
                <w:rFonts w:hint="default" w:ascii="Times New Roman" w:hAnsi="Times New Roman" w:eastAsia="宋体" w:cs="Times New Roman"/>
                <w:color w:val="auto"/>
                <w:kern w:val="2"/>
                <w:sz w:val="21"/>
                <w:szCs w:val="24"/>
                <w:lang w:val="en-US" w:eastAsia="zh-CN" w:bidi="ar-SA"/>
              </w:rPr>
              <w:t>种</w:t>
            </w:r>
          </w:p>
        </w:tc>
        <w:tc>
          <w:tcPr>
            <w:tcW w:w="1716" w:type="dxa"/>
            <w:tcBorders>
              <w:right w:val="single" w:color="auto" w:sz="4" w:space="0"/>
            </w:tcBorders>
            <w:shd w:val="clear" w:color="auto" w:fill="auto"/>
            <w:noWrap w:val="0"/>
            <w:vAlign w:val="top"/>
          </w:tcPr>
          <w:p w14:paraId="77301C1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3BEB9C8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66330D6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8C3F9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75BBD6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沼水蛙Hylarana gunetheri</w:t>
            </w:r>
          </w:p>
        </w:tc>
        <w:tc>
          <w:tcPr>
            <w:tcW w:w="1716" w:type="dxa"/>
            <w:tcBorders>
              <w:right w:val="single" w:color="auto" w:sz="4" w:space="0"/>
            </w:tcBorders>
            <w:shd w:val="clear" w:color="auto" w:fill="auto"/>
            <w:noWrap w:val="0"/>
            <w:vAlign w:val="top"/>
          </w:tcPr>
          <w:p w14:paraId="50765C9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M-S</w:t>
            </w:r>
          </w:p>
        </w:tc>
        <w:tc>
          <w:tcPr>
            <w:tcW w:w="1475" w:type="dxa"/>
            <w:tcBorders>
              <w:left w:val="single" w:color="auto" w:sz="4" w:space="0"/>
            </w:tcBorders>
            <w:shd w:val="clear" w:color="auto" w:fill="auto"/>
            <w:noWrap w:val="0"/>
            <w:vAlign w:val="top"/>
          </w:tcPr>
          <w:p w14:paraId="7A0EC1C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23ECB8E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15E8C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34C7E5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泽陆蛙Fejervarya multistriata</w:t>
            </w:r>
          </w:p>
        </w:tc>
        <w:tc>
          <w:tcPr>
            <w:tcW w:w="1716" w:type="dxa"/>
            <w:tcBorders>
              <w:right w:val="single" w:color="auto" w:sz="4" w:space="0"/>
            </w:tcBorders>
            <w:shd w:val="clear" w:color="auto" w:fill="auto"/>
            <w:noWrap w:val="0"/>
            <w:vAlign w:val="top"/>
          </w:tcPr>
          <w:p w14:paraId="2EA6B9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M-S</w:t>
            </w:r>
          </w:p>
        </w:tc>
        <w:tc>
          <w:tcPr>
            <w:tcW w:w="1475" w:type="dxa"/>
            <w:tcBorders>
              <w:left w:val="single" w:color="auto" w:sz="4" w:space="0"/>
            </w:tcBorders>
            <w:shd w:val="clear" w:color="auto" w:fill="auto"/>
            <w:noWrap w:val="0"/>
            <w:vAlign w:val="top"/>
          </w:tcPr>
          <w:p w14:paraId="2121C2B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0A52ED5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94896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B32C91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黑斑侧褶蛙Pelophylax nigromaculata</w:t>
            </w:r>
          </w:p>
        </w:tc>
        <w:tc>
          <w:tcPr>
            <w:tcW w:w="1716" w:type="dxa"/>
            <w:tcBorders>
              <w:right w:val="single" w:color="auto" w:sz="4" w:space="0"/>
            </w:tcBorders>
            <w:shd w:val="clear" w:color="auto" w:fill="auto"/>
            <w:noWrap w:val="0"/>
            <w:vAlign w:val="top"/>
          </w:tcPr>
          <w:p w14:paraId="1C73726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top"/>
          </w:tcPr>
          <w:p w14:paraId="10ED39B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23A8F6E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5A25A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0F5FBF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金线侧褶蛙Pelophylax plancyi</w:t>
            </w:r>
          </w:p>
        </w:tc>
        <w:tc>
          <w:tcPr>
            <w:tcW w:w="1716" w:type="dxa"/>
            <w:tcBorders>
              <w:right w:val="single" w:color="auto" w:sz="4" w:space="0"/>
            </w:tcBorders>
            <w:shd w:val="clear" w:color="auto" w:fill="auto"/>
            <w:noWrap w:val="0"/>
            <w:vAlign w:val="top"/>
          </w:tcPr>
          <w:p w14:paraId="7B92DCB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top"/>
          </w:tcPr>
          <w:p w14:paraId="79A7492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5E59B1C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026702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0ADA7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5.姬蛙科Microhylidae</w:t>
            </w:r>
          </w:p>
        </w:tc>
        <w:tc>
          <w:tcPr>
            <w:tcW w:w="1716" w:type="dxa"/>
            <w:tcBorders>
              <w:right w:val="single" w:color="auto" w:sz="4" w:space="0"/>
            </w:tcBorders>
            <w:shd w:val="clear" w:color="auto" w:fill="auto"/>
            <w:noWrap w:val="0"/>
            <w:vAlign w:val="top"/>
          </w:tcPr>
          <w:p w14:paraId="1ED2B66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top"/>
          </w:tcPr>
          <w:p w14:paraId="2997A62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top"/>
          </w:tcPr>
          <w:p w14:paraId="5EBD96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926AE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53381D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饰纹姬蛙Microhyla ornate</w:t>
            </w:r>
          </w:p>
        </w:tc>
        <w:tc>
          <w:tcPr>
            <w:tcW w:w="1716" w:type="dxa"/>
            <w:tcBorders>
              <w:right w:val="single" w:color="auto" w:sz="4" w:space="0"/>
            </w:tcBorders>
            <w:shd w:val="clear" w:color="auto" w:fill="auto"/>
            <w:noWrap w:val="0"/>
            <w:vAlign w:val="top"/>
          </w:tcPr>
          <w:p w14:paraId="688CBD4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top"/>
          </w:tcPr>
          <w:p w14:paraId="2D2A649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top"/>
          </w:tcPr>
          <w:p w14:paraId="071DB6A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5BA003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shd w:val="clear" w:color="auto" w:fill="auto"/>
            <w:noWrap w:val="0"/>
            <w:vAlign w:val="center"/>
          </w:tcPr>
          <w:p w14:paraId="3418A54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四、鱼纲Pieces</w:t>
            </w:r>
          </w:p>
        </w:tc>
      </w:tr>
      <w:tr w14:paraId="53D8E3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3A8C44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一、鲱形目CLUPEIFORMES</w:t>
            </w:r>
          </w:p>
        </w:tc>
        <w:tc>
          <w:tcPr>
            <w:tcW w:w="1716" w:type="dxa"/>
            <w:tcBorders>
              <w:right w:val="single" w:color="auto" w:sz="4" w:space="0"/>
            </w:tcBorders>
            <w:shd w:val="clear" w:color="auto" w:fill="auto"/>
            <w:noWrap w:val="0"/>
            <w:vAlign w:val="center"/>
          </w:tcPr>
          <w:p w14:paraId="612AAB8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9B64EF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9579B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05A45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2E1F24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1.鲱科Clueidae</w:t>
            </w:r>
          </w:p>
        </w:tc>
        <w:tc>
          <w:tcPr>
            <w:tcW w:w="1716" w:type="dxa"/>
            <w:tcBorders>
              <w:right w:val="single" w:color="auto" w:sz="4" w:space="0"/>
            </w:tcBorders>
            <w:shd w:val="clear" w:color="auto" w:fill="auto"/>
            <w:noWrap w:val="0"/>
            <w:vAlign w:val="center"/>
          </w:tcPr>
          <w:p w14:paraId="60EAED4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C4835D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7BB65A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4E6D3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4A84D8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鲚Coilia edtenes</w:t>
            </w:r>
          </w:p>
        </w:tc>
        <w:tc>
          <w:tcPr>
            <w:tcW w:w="1716" w:type="dxa"/>
            <w:tcBorders>
              <w:right w:val="single" w:color="auto" w:sz="4" w:space="0"/>
            </w:tcBorders>
            <w:shd w:val="clear" w:color="auto" w:fill="auto"/>
            <w:noWrap w:val="0"/>
            <w:vAlign w:val="center"/>
          </w:tcPr>
          <w:p w14:paraId="7D11094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26BFA10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F73F12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6AB6F6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7C0AB4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二、鲤形目CYPRINIFORMES</w:t>
            </w:r>
          </w:p>
        </w:tc>
        <w:tc>
          <w:tcPr>
            <w:tcW w:w="1716" w:type="dxa"/>
            <w:tcBorders>
              <w:right w:val="single" w:color="auto" w:sz="4" w:space="0"/>
            </w:tcBorders>
            <w:shd w:val="clear" w:color="auto" w:fill="auto"/>
            <w:noWrap w:val="0"/>
            <w:vAlign w:val="center"/>
          </w:tcPr>
          <w:p w14:paraId="115F960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60800E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777D0F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CE6FE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E8F410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2.鲤科Cyprinidae：7种</w:t>
            </w:r>
          </w:p>
        </w:tc>
        <w:tc>
          <w:tcPr>
            <w:tcW w:w="1716" w:type="dxa"/>
            <w:tcBorders>
              <w:right w:val="single" w:color="auto" w:sz="4" w:space="0"/>
            </w:tcBorders>
            <w:shd w:val="clear" w:color="auto" w:fill="auto"/>
            <w:noWrap w:val="0"/>
            <w:vAlign w:val="center"/>
          </w:tcPr>
          <w:p w14:paraId="35E90BE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F8B9FB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0EA8E1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8A942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D1F676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鲤鱼Cyprinus carpio</w:t>
            </w:r>
          </w:p>
        </w:tc>
        <w:tc>
          <w:tcPr>
            <w:tcW w:w="1716" w:type="dxa"/>
            <w:tcBorders>
              <w:right w:val="single" w:color="auto" w:sz="4" w:space="0"/>
            </w:tcBorders>
            <w:shd w:val="clear" w:color="auto" w:fill="auto"/>
            <w:noWrap w:val="0"/>
            <w:vAlign w:val="center"/>
          </w:tcPr>
          <w:p w14:paraId="3CF9334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2A9F9E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0DA7BB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F0AAE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7EEDE1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鲫鱼Carassius auratus</w:t>
            </w:r>
          </w:p>
        </w:tc>
        <w:tc>
          <w:tcPr>
            <w:tcW w:w="1716" w:type="dxa"/>
            <w:tcBorders>
              <w:right w:val="single" w:color="auto" w:sz="4" w:space="0"/>
            </w:tcBorders>
            <w:shd w:val="clear" w:color="auto" w:fill="auto"/>
            <w:noWrap w:val="0"/>
            <w:vAlign w:val="center"/>
          </w:tcPr>
          <w:p w14:paraId="62602CE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6420420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687C4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16B79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234B16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大眼华鳊Sinibrama macrops</w:t>
            </w:r>
          </w:p>
        </w:tc>
        <w:tc>
          <w:tcPr>
            <w:tcW w:w="1716" w:type="dxa"/>
            <w:tcBorders>
              <w:right w:val="single" w:color="auto" w:sz="4" w:space="0"/>
            </w:tcBorders>
            <w:shd w:val="clear" w:color="auto" w:fill="auto"/>
            <w:noWrap w:val="0"/>
            <w:vAlign w:val="center"/>
          </w:tcPr>
          <w:p w14:paraId="010267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4AA3CA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C4C1C3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1A49D2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546F51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蒙古红鮊Erythroculter mongolicus</w:t>
            </w:r>
          </w:p>
        </w:tc>
        <w:tc>
          <w:tcPr>
            <w:tcW w:w="1716" w:type="dxa"/>
            <w:tcBorders>
              <w:right w:val="single" w:color="auto" w:sz="4" w:space="0"/>
            </w:tcBorders>
            <w:shd w:val="clear" w:color="auto" w:fill="auto"/>
            <w:noWrap w:val="0"/>
            <w:vAlign w:val="center"/>
          </w:tcPr>
          <w:p w14:paraId="0BAF5AA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PR</w:t>
            </w:r>
          </w:p>
        </w:tc>
        <w:tc>
          <w:tcPr>
            <w:tcW w:w="1475" w:type="dxa"/>
            <w:tcBorders>
              <w:left w:val="single" w:color="auto" w:sz="4" w:space="0"/>
            </w:tcBorders>
            <w:shd w:val="clear" w:color="auto" w:fill="auto"/>
            <w:noWrap w:val="0"/>
            <w:vAlign w:val="center"/>
          </w:tcPr>
          <w:p w14:paraId="5A6DDAD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3B92A7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8308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86F994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翘嘴红鮊Erythroculter ilishaeformis</w:t>
            </w:r>
          </w:p>
        </w:tc>
        <w:tc>
          <w:tcPr>
            <w:tcW w:w="1716" w:type="dxa"/>
            <w:tcBorders>
              <w:right w:val="single" w:color="auto" w:sz="4" w:space="0"/>
            </w:tcBorders>
            <w:shd w:val="clear" w:color="auto" w:fill="auto"/>
            <w:noWrap w:val="0"/>
            <w:vAlign w:val="center"/>
          </w:tcPr>
          <w:p w14:paraId="3BC50E7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444F7D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2C0B67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17A7A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2D71A1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蛇鮈Saurogobio dabryi</w:t>
            </w:r>
          </w:p>
        </w:tc>
        <w:tc>
          <w:tcPr>
            <w:tcW w:w="1716" w:type="dxa"/>
            <w:tcBorders>
              <w:right w:val="single" w:color="auto" w:sz="4" w:space="0"/>
            </w:tcBorders>
            <w:shd w:val="clear" w:color="auto" w:fill="auto"/>
            <w:noWrap w:val="0"/>
            <w:vAlign w:val="center"/>
          </w:tcPr>
          <w:p w14:paraId="7C89A3E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082395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CF87A0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1E076D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7C26AC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棒花鱼Abbottina psegma</w:t>
            </w:r>
          </w:p>
        </w:tc>
        <w:tc>
          <w:tcPr>
            <w:tcW w:w="1716" w:type="dxa"/>
            <w:tcBorders>
              <w:right w:val="single" w:color="auto" w:sz="4" w:space="0"/>
            </w:tcBorders>
            <w:shd w:val="clear" w:color="auto" w:fill="auto"/>
            <w:noWrap w:val="0"/>
            <w:vAlign w:val="center"/>
          </w:tcPr>
          <w:p w14:paraId="142D04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662D9E1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DFB6DD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E8D8D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60A1A3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3.鳅科Cobitidae：2种</w:t>
            </w:r>
          </w:p>
        </w:tc>
        <w:tc>
          <w:tcPr>
            <w:tcW w:w="1716" w:type="dxa"/>
            <w:tcBorders>
              <w:right w:val="single" w:color="auto" w:sz="4" w:space="0"/>
            </w:tcBorders>
            <w:shd w:val="clear" w:color="auto" w:fill="auto"/>
            <w:noWrap w:val="0"/>
            <w:vAlign w:val="center"/>
          </w:tcPr>
          <w:p w14:paraId="7171BEE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A017F4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22F8F5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B7C99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AC23EC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泥鳅Misgurnus anguillicaudatus</w:t>
            </w:r>
          </w:p>
        </w:tc>
        <w:tc>
          <w:tcPr>
            <w:tcW w:w="1716" w:type="dxa"/>
            <w:tcBorders>
              <w:right w:val="single" w:color="auto" w:sz="4" w:space="0"/>
            </w:tcBorders>
            <w:shd w:val="clear" w:color="auto" w:fill="auto"/>
            <w:noWrap w:val="0"/>
            <w:vAlign w:val="center"/>
          </w:tcPr>
          <w:p w14:paraId="5B6C4D1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6D33E79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58FAA7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238C04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BE9B88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花鳅Cobitis taenia</w:t>
            </w:r>
          </w:p>
        </w:tc>
        <w:tc>
          <w:tcPr>
            <w:tcW w:w="1716" w:type="dxa"/>
            <w:tcBorders>
              <w:right w:val="single" w:color="auto" w:sz="4" w:space="0"/>
            </w:tcBorders>
            <w:shd w:val="clear" w:color="auto" w:fill="auto"/>
            <w:noWrap w:val="0"/>
            <w:vAlign w:val="center"/>
          </w:tcPr>
          <w:p w14:paraId="578E42D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E62347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A23734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1/2</w:t>
            </w:r>
          </w:p>
        </w:tc>
      </w:tr>
      <w:tr w14:paraId="0E27D8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2E8120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三.鲶形目Siluriformes</w:t>
            </w:r>
          </w:p>
        </w:tc>
        <w:tc>
          <w:tcPr>
            <w:tcW w:w="1716" w:type="dxa"/>
            <w:tcBorders>
              <w:right w:val="single" w:color="auto" w:sz="4" w:space="0"/>
            </w:tcBorders>
            <w:shd w:val="clear" w:color="auto" w:fill="auto"/>
            <w:noWrap w:val="0"/>
            <w:vAlign w:val="center"/>
          </w:tcPr>
          <w:p w14:paraId="354B0C1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994C82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93A61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F5E1F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70CA9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4.鮠科Bagridae</w:t>
            </w:r>
          </w:p>
        </w:tc>
        <w:tc>
          <w:tcPr>
            <w:tcW w:w="1716" w:type="dxa"/>
            <w:tcBorders>
              <w:right w:val="single" w:color="auto" w:sz="4" w:space="0"/>
            </w:tcBorders>
            <w:shd w:val="clear" w:color="auto" w:fill="auto"/>
            <w:noWrap w:val="0"/>
            <w:vAlign w:val="center"/>
          </w:tcPr>
          <w:p w14:paraId="08C35F0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3B0E3E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CBED38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8C9E3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1476AA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黄颡鱼Pseudobagrus vachelli</w:t>
            </w:r>
          </w:p>
        </w:tc>
        <w:tc>
          <w:tcPr>
            <w:tcW w:w="1716" w:type="dxa"/>
            <w:tcBorders>
              <w:right w:val="single" w:color="auto" w:sz="4" w:space="0"/>
            </w:tcBorders>
            <w:shd w:val="clear" w:color="auto" w:fill="auto"/>
            <w:noWrap w:val="0"/>
            <w:vAlign w:val="center"/>
          </w:tcPr>
          <w:p w14:paraId="718B6A6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EAE0C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00914C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1/2</w:t>
            </w:r>
          </w:p>
        </w:tc>
      </w:tr>
      <w:tr w14:paraId="737421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0E0667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5.胡子鲶科Clariidae</w:t>
            </w:r>
          </w:p>
        </w:tc>
        <w:tc>
          <w:tcPr>
            <w:tcW w:w="1716" w:type="dxa"/>
            <w:tcBorders>
              <w:right w:val="single" w:color="auto" w:sz="4" w:space="0"/>
            </w:tcBorders>
            <w:shd w:val="clear" w:color="auto" w:fill="auto"/>
            <w:noWrap w:val="0"/>
            <w:vAlign w:val="center"/>
          </w:tcPr>
          <w:p w14:paraId="73C0891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ADA393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D26086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F3DCB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611F3DB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胡子鲶Clarias fuscus</w:t>
            </w:r>
          </w:p>
        </w:tc>
        <w:tc>
          <w:tcPr>
            <w:tcW w:w="1716" w:type="dxa"/>
            <w:tcBorders>
              <w:right w:val="single" w:color="auto" w:sz="4" w:space="0"/>
            </w:tcBorders>
            <w:shd w:val="clear" w:color="auto" w:fill="auto"/>
            <w:noWrap w:val="0"/>
            <w:vAlign w:val="center"/>
          </w:tcPr>
          <w:p w14:paraId="29BC020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0142A0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8B50DE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1/3</w:t>
            </w:r>
          </w:p>
        </w:tc>
      </w:tr>
      <w:tr w14:paraId="44980A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3244ED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四.颌针鱼目BELONIFORMES</w:t>
            </w:r>
          </w:p>
        </w:tc>
        <w:tc>
          <w:tcPr>
            <w:tcW w:w="1716" w:type="dxa"/>
            <w:tcBorders>
              <w:right w:val="single" w:color="auto" w:sz="4" w:space="0"/>
            </w:tcBorders>
            <w:shd w:val="clear" w:color="auto" w:fill="auto"/>
            <w:noWrap w:val="0"/>
            <w:vAlign w:val="center"/>
          </w:tcPr>
          <w:p w14:paraId="63DB710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BB6AE6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61DB69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CAE04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3270E7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6.颌针鱼科Hemirhamphidae</w:t>
            </w:r>
          </w:p>
        </w:tc>
        <w:tc>
          <w:tcPr>
            <w:tcW w:w="1716" w:type="dxa"/>
            <w:tcBorders>
              <w:right w:val="single" w:color="auto" w:sz="4" w:space="0"/>
            </w:tcBorders>
            <w:shd w:val="clear" w:color="auto" w:fill="auto"/>
            <w:noWrap w:val="0"/>
            <w:vAlign w:val="center"/>
          </w:tcPr>
          <w:p w14:paraId="06E4424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E28322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43056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1D415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FC2002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颌针鱼Hemirhamphus kurumeus</w:t>
            </w:r>
          </w:p>
        </w:tc>
        <w:tc>
          <w:tcPr>
            <w:tcW w:w="1716" w:type="dxa"/>
            <w:tcBorders>
              <w:right w:val="single" w:color="auto" w:sz="4" w:space="0"/>
            </w:tcBorders>
            <w:shd w:val="clear" w:color="auto" w:fill="auto"/>
            <w:noWrap w:val="0"/>
            <w:vAlign w:val="center"/>
          </w:tcPr>
          <w:p w14:paraId="73B6D03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72D7CD8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3523E1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6F40CD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16F3B0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五.鳢形OPHIOCEPHALIFORMES</w:t>
            </w:r>
          </w:p>
        </w:tc>
        <w:tc>
          <w:tcPr>
            <w:tcW w:w="1716" w:type="dxa"/>
            <w:tcBorders>
              <w:right w:val="single" w:color="auto" w:sz="4" w:space="0"/>
            </w:tcBorders>
            <w:shd w:val="clear" w:color="auto" w:fill="auto"/>
            <w:noWrap w:val="0"/>
            <w:vAlign w:val="center"/>
          </w:tcPr>
          <w:p w14:paraId="0C9E2BE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EAD2E5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BEDEE5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0C8D3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53A38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7.鳢科Ophiocepalidae</w:t>
            </w:r>
          </w:p>
        </w:tc>
        <w:tc>
          <w:tcPr>
            <w:tcW w:w="1716" w:type="dxa"/>
            <w:tcBorders>
              <w:right w:val="single" w:color="auto" w:sz="4" w:space="0"/>
            </w:tcBorders>
            <w:shd w:val="clear" w:color="auto" w:fill="auto"/>
            <w:noWrap w:val="0"/>
            <w:vAlign w:val="center"/>
          </w:tcPr>
          <w:p w14:paraId="040816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A3F4C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292D0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8A759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48E546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乌鳢Ophiocephalus argus</w:t>
            </w:r>
          </w:p>
        </w:tc>
        <w:tc>
          <w:tcPr>
            <w:tcW w:w="1716" w:type="dxa"/>
            <w:tcBorders>
              <w:right w:val="single" w:color="auto" w:sz="4" w:space="0"/>
            </w:tcBorders>
            <w:shd w:val="clear" w:color="auto" w:fill="auto"/>
            <w:noWrap w:val="0"/>
            <w:vAlign w:val="center"/>
          </w:tcPr>
          <w:p w14:paraId="72B5BF8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2FE7CF5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706EB7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CF6E1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439515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六.合鳃目SYMBRANCHIFORMES</w:t>
            </w:r>
          </w:p>
        </w:tc>
        <w:tc>
          <w:tcPr>
            <w:tcW w:w="1716" w:type="dxa"/>
            <w:tcBorders>
              <w:right w:val="single" w:color="auto" w:sz="4" w:space="0"/>
            </w:tcBorders>
            <w:shd w:val="clear" w:color="auto" w:fill="auto"/>
            <w:noWrap w:val="0"/>
            <w:vAlign w:val="center"/>
          </w:tcPr>
          <w:p w14:paraId="4E5EB0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DE0D6D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22A1B1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F2FEE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E46B0C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8.合鳃科Symbranchidae</w:t>
            </w:r>
          </w:p>
        </w:tc>
        <w:tc>
          <w:tcPr>
            <w:tcW w:w="1716" w:type="dxa"/>
            <w:tcBorders>
              <w:right w:val="single" w:color="auto" w:sz="4" w:space="0"/>
            </w:tcBorders>
            <w:shd w:val="clear" w:color="auto" w:fill="auto"/>
            <w:noWrap w:val="0"/>
            <w:vAlign w:val="center"/>
          </w:tcPr>
          <w:p w14:paraId="3481AE4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CECF53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36875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D3840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60493CE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黄鳝Monopterus albus</w:t>
            </w:r>
          </w:p>
        </w:tc>
        <w:tc>
          <w:tcPr>
            <w:tcW w:w="1716" w:type="dxa"/>
            <w:tcBorders>
              <w:right w:val="single" w:color="auto" w:sz="4" w:space="0"/>
            </w:tcBorders>
            <w:shd w:val="clear" w:color="auto" w:fill="auto"/>
            <w:noWrap w:val="0"/>
            <w:vAlign w:val="center"/>
          </w:tcPr>
          <w:p w14:paraId="1E26DCD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440A6B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FAA12C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E9FEF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C9243B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七.鲈形目PERCIFORMES</w:t>
            </w:r>
          </w:p>
        </w:tc>
        <w:tc>
          <w:tcPr>
            <w:tcW w:w="1716" w:type="dxa"/>
            <w:tcBorders>
              <w:right w:val="single" w:color="auto" w:sz="4" w:space="0"/>
            </w:tcBorders>
            <w:shd w:val="clear" w:color="auto" w:fill="auto"/>
            <w:noWrap w:val="0"/>
            <w:vAlign w:val="center"/>
          </w:tcPr>
          <w:p w14:paraId="400FDA4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8EA925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1B45BB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BA04E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A71814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9.鮨科Serranidae：2种</w:t>
            </w:r>
          </w:p>
        </w:tc>
        <w:tc>
          <w:tcPr>
            <w:tcW w:w="1716" w:type="dxa"/>
            <w:tcBorders>
              <w:right w:val="single" w:color="auto" w:sz="4" w:space="0"/>
            </w:tcBorders>
            <w:shd w:val="clear" w:color="auto" w:fill="auto"/>
            <w:noWrap w:val="0"/>
            <w:vAlign w:val="center"/>
          </w:tcPr>
          <w:p w14:paraId="36807B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1206C4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4E652B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EC994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BFE2B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翘嘴鳜Siniperca chuatsi</w:t>
            </w:r>
          </w:p>
        </w:tc>
        <w:tc>
          <w:tcPr>
            <w:tcW w:w="1716" w:type="dxa"/>
            <w:tcBorders>
              <w:right w:val="single" w:color="auto" w:sz="4" w:space="0"/>
            </w:tcBorders>
            <w:shd w:val="clear" w:color="auto" w:fill="auto"/>
            <w:noWrap w:val="0"/>
            <w:vAlign w:val="center"/>
          </w:tcPr>
          <w:p w14:paraId="453F6D6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6532F56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527B07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E55AC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0D330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大眼鳜Siniperca knerii</w:t>
            </w:r>
          </w:p>
        </w:tc>
        <w:tc>
          <w:tcPr>
            <w:tcW w:w="1716" w:type="dxa"/>
            <w:tcBorders>
              <w:right w:val="single" w:color="auto" w:sz="4" w:space="0"/>
            </w:tcBorders>
            <w:shd w:val="clear" w:color="auto" w:fill="auto"/>
            <w:noWrap w:val="0"/>
            <w:vAlign w:val="center"/>
          </w:tcPr>
          <w:p w14:paraId="586C69F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A90F77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78AF3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AA8EC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shd w:val="clear" w:color="auto" w:fill="auto"/>
            <w:noWrap w:val="0"/>
            <w:vAlign w:val="center"/>
          </w:tcPr>
          <w:p w14:paraId="54B7BD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五、鸟纲Aves</w:t>
            </w:r>
          </w:p>
        </w:tc>
      </w:tr>
      <w:tr w14:paraId="65760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B7E6E6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pt-BR" w:eastAsia="zh-CN" w:bidi="ar-SA"/>
              </w:rPr>
              <w:t>一、</w:t>
            </w:r>
            <w:r>
              <w:rPr>
                <w:rFonts w:hint="default" w:ascii="Times New Roman" w:hAnsi="Times New Roman" w:eastAsia="宋体" w:cs="Times New Roman"/>
                <w:color w:val="auto"/>
                <w:kern w:val="2"/>
                <w:sz w:val="21"/>
                <w:szCs w:val="24"/>
                <w:lang w:val="en-US" w:eastAsia="zh-CN" w:bidi="ar-SA"/>
              </w:rPr>
              <w:t>鸊鷉目</w:t>
            </w:r>
            <w:r>
              <w:rPr>
                <w:rFonts w:hint="default" w:ascii="Times New Roman" w:hAnsi="Times New Roman" w:eastAsia="宋体" w:cs="Times New Roman"/>
                <w:color w:val="auto"/>
                <w:kern w:val="2"/>
                <w:sz w:val="21"/>
                <w:szCs w:val="24"/>
                <w:lang w:val="pt-BR" w:eastAsia="zh-CN" w:bidi="ar-SA"/>
              </w:rPr>
              <w:t>PODICIPEDIFORMES</w:t>
            </w:r>
          </w:p>
        </w:tc>
        <w:tc>
          <w:tcPr>
            <w:tcW w:w="1716" w:type="dxa"/>
            <w:tcBorders>
              <w:right w:val="single" w:color="auto" w:sz="4" w:space="0"/>
            </w:tcBorders>
            <w:shd w:val="clear" w:color="auto" w:fill="auto"/>
            <w:noWrap w:val="0"/>
            <w:vAlign w:val="center"/>
          </w:tcPr>
          <w:p w14:paraId="693F270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5E120F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D97028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B73FF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7F01CC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1.鸊鷉科Pidicipedidae：2种</w:t>
            </w:r>
          </w:p>
        </w:tc>
        <w:tc>
          <w:tcPr>
            <w:tcW w:w="1716" w:type="dxa"/>
            <w:tcBorders>
              <w:right w:val="single" w:color="auto" w:sz="4" w:space="0"/>
            </w:tcBorders>
            <w:shd w:val="clear" w:color="auto" w:fill="auto"/>
            <w:noWrap w:val="0"/>
            <w:vAlign w:val="center"/>
          </w:tcPr>
          <w:p w14:paraId="3064265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FAF40E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E685F1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ABA58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BB598B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小鸊鸊Tachybaptus </w:t>
            </w:r>
            <w:r>
              <w:rPr>
                <w:rFonts w:hint="default" w:ascii="Times New Roman" w:hAnsi="Times New Roman" w:eastAsia="宋体" w:cs="Times New Roman"/>
                <w:color w:val="auto"/>
                <w:kern w:val="2"/>
                <w:sz w:val="21"/>
                <w:szCs w:val="24"/>
                <w:lang w:val="pt-BR" w:eastAsia="zh-CN" w:bidi="ar-SA"/>
              </w:rPr>
              <w:t>ruficollis</w:t>
            </w:r>
          </w:p>
        </w:tc>
        <w:tc>
          <w:tcPr>
            <w:tcW w:w="1716" w:type="dxa"/>
            <w:tcBorders>
              <w:right w:val="single" w:color="auto" w:sz="4" w:space="0"/>
            </w:tcBorders>
            <w:shd w:val="clear" w:color="auto" w:fill="auto"/>
            <w:noWrap w:val="0"/>
            <w:vAlign w:val="center"/>
          </w:tcPr>
          <w:p w14:paraId="425483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76EFF7F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0F6959E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BE118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008156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凤头鸊鷉</w:t>
            </w:r>
            <w:r>
              <w:rPr>
                <w:rFonts w:hint="default" w:ascii="Times New Roman" w:hAnsi="Times New Roman" w:eastAsia="宋体" w:cs="Times New Roman"/>
                <w:color w:val="auto"/>
                <w:kern w:val="2"/>
                <w:sz w:val="21"/>
                <w:szCs w:val="24"/>
                <w:lang w:val="pt-BR" w:eastAsia="zh-CN" w:bidi="ar-SA"/>
              </w:rPr>
              <w:t>Podiceps cristatus</w:t>
            </w:r>
          </w:p>
        </w:tc>
        <w:tc>
          <w:tcPr>
            <w:tcW w:w="1716" w:type="dxa"/>
            <w:tcBorders>
              <w:right w:val="single" w:color="auto" w:sz="4" w:space="0"/>
            </w:tcBorders>
            <w:shd w:val="clear" w:color="auto" w:fill="auto"/>
            <w:noWrap w:val="0"/>
            <w:vAlign w:val="center"/>
          </w:tcPr>
          <w:p w14:paraId="5B01D15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69F40C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647531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643983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05C178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二、鹳形目CICONIIFORMES</w:t>
            </w:r>
          </w:p>
        </w:tc>
        <w:tc>
          <w:tcPr>
            <w:tcW w:w="1716" w:type="dxa"/>
            <w:tcBorders>
              <w:right w:val="single" w:color="auto" w:sz="4" w:space="0"/>
            </w:tcBorders>
            <w:shd w:val="clear" w:color="auto" w:fill="auto"/>
            <w:noWrap w:val="0"/>
            <w:vAlign w:val="center"/>
          </w:tcPr>
          <w:p w14:paraId="7030D48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E293E7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0C9F85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CC20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16BB79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2.鹭科Ardeidae：4种</w:t>
            </w:r>
          </w:p>
        </w:tc>
        <w:tc>
          <w:tcPr>
            <w:tcW w:w="1716" w:type="dxa"/>
            <w:tcBorders>
              <w:right w:val="single" w:color="auto" w:sz="4" w:space="0"/>
            </w:tcBorders>
            <w:shd w:val="clear" w:color="auto" w:fill="auto"/>
            <w:noWrap w:val="0"/>
            <w:vAlign w:val="center"/>
          </w:tcPr>
          <w:p w14:paraId="4C36E81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FC670D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45405D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AC37B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FA37FE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苍鹭Ardea cinerea</w:t>
            </w:r>
          </w:p>
        </w:tc>
        <w:tc>
          <w:tcPr>
            <w:tcW w:w="1716" w:type="dxa"/>
            <w:tcBorders>
              <w:right w:val="single" w:color="auto" w:sz="4" w:space="0"/>
            </w:tcBorders>
            <w:shd w:val="clear" w:color="auto" w:fill="auto"/>
            <w:noWrap w:val="0"/>
            <w:vAlign w:val="center"/>
          </w:tcPr>
          <w:p w14:paraId="30B1C59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E40AAC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4C51EE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489BE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007A02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草鹭Ardea purpurea</w:t>
            </w:r>
          </w:p>
        </w:tc>
        <w:tc>
          <w:tcPr>
            <w:tcW w:w="1716" w:type="dxa"/>
            <w:tcBorders>
              <w:right w:val="single" w:color="auto" w:sz="4" w:space="0"/>
            </w:tcBorders>
            <w:shd w:val="clear" w:color="auto" w:fill="auto"/>
            <w:noWrap w:val="0"/>
            <w:vAlign w:val="center"/>
          </w:tcPr>
          <w:p w14:paraId="7936D5C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09DE5D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65099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4796DA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DC8CA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池鹭Ardeola bacchus</w:t>
            </w:r>
          </w:p>
        </w:tc>
        <w:tc>
          <w:tcPr>
            <w:tcW w:w="1716" w:type="dxa"/>
            <w:tcBorders>
              <w:right w:val="single" w:color="auto" w:sz="4" w:space="0"/>
            </w:tcBorders>
            <w:shd w:val="clear" w:color="auto" w:fill="auto"/>
            <w:noWrap w:val="0"/>
            <w:vAlign w:val="center"/>
          </w:tcPr>
          <w:p w14:paraId="52CDB4D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DF5DE8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842E0C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4EF510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6CA41D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白鹭Egretta garzetta</w:t>
            </w:r>
          </w:p>
        </w:tc>
        <w:tc>
          <w:tcPr>
            <w:tcW w:w="1716" w:type="dxa"/>
            <w:tcBorders>
              <w:right w:val="single" w:color="auto" w:sz="4" w:space="0"/>
            </w:tcBorders>
            <w:shd w:val="clear" w:color="auto" w:fill="auto"/>
            <w:noWrap w:val="0"/>
            <w:vAlign w:val="center"/>
          </w:tcPr>
          <w:p w14:paraId="76F7EC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6D243F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AF0BE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C0491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396739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三、雁形目ANSERIFORMES</w:t>
            </w:r>
          </w:p>
        </w:tc>
        <w:tc>
          <w:tcPr>
            <w:tcW w:w="1716" w:type="dxa"/>
            <w:tcBorders>
              <w:right w:val="single" w:color="auto" w:sz="4" w:space="0"/>
            </w:tcBorders>
            <w:shd w:val="clear" w:color="auto" w:fill="auto"/>
            <w:noWrap w:val="0"/>
            <w:vAlign w:val="center"/>
          </w:tcPr>
          <w:p w14:paraId="38FBBA4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FAB5C6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3D02A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97220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01E69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3.鸭科Anatidae：3种</w:t>
            </w:r>
          </w:p>
        </w:tc>
        <w:tc>
          <w:tcPr>
            <w:tcW w:w="1716" w:type="dxa"/>
            <w:tcBorders>
              <w:right w:val="single" w:color="auto" w:sz="4" w:space="0"/>
            </w:tcBorders>
            <w:shd w:val="clear" w:color="auto" w:fill="auto"/>
            <w:noWrap w:val="0"/>
            <w:vAlign w:val="center"/>
          </w:tcPr>
          <w:p w14:paraId="2C662CC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A603E1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609D79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69721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26B0E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灰雁Anser anser</w:t>
            </w:r>
          </w:p>
        </w:tc>
        <w:tc>
          <w:tcPr>
            <w:tcW w:w="1716" w:type="dxa"/>
            <w:tcBorders>
              <w:right w:val="single" w:color="auto" w:sz="4" w:space="0"/>
            </w:tcBorders>
            <w:shd w:val="clear" w:color="auto" w:fill="auto"/>
            <w:noWrap w:val="0"/>
            <w:vAlign w:val="center"/>
          </w:tcPr>
          <w:p w14:paraId="2C1AC8D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7BF346E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06ED26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D9E6A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2517EF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琵嘴鸭Anas clypeata</w:t>
            </w:r>
          </w:p>
        </w:tc>
        <w:tc>
          <w:tcPr>
            <w:tcW w:w="1716" w:type="dxa"/>
            <w:tcBorders>
              <w:right w:val="single" w:color="auto" w:sz="4" w:space="0"/>
            </w:tcBorders>
            <w:shd w:val="clear" w:color="auto" w:fill="auto"/>
            <w:noWrap w:val="0"/>
            <w:vAlign w:val="center"/>
          </w:tcPr>
          <w:p w14:paraId="32A3181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24F12E1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34EDC9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443BE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3E480E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绿头鸭Anas platyrhynchos</w:t>
            </w:r>
          </w:p>
        </w:tc>
        <w:tc>
          <w:tcPr>
            <w:tcW w:w="1716" w:type="dxa"/>
            <w:tcBorders>
              <w:right w:val="single" w:color="auto" w:sz="4" w:space="0"/>
            </w:tcBorders>
            <w:shd w:val="clear" w:color="auto" w:fill="auto"/>
            <w:noWrap w:val="0"/>
            <w:vAlign w:val="center"/>
          </w:tcPr>
          <w:p w14:paraId="0BE47D9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1F447D1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7827B1E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57FA3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DFE716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四、鸡形目GALLIFORMES</w:t>
            </w:r>
          </w:p>
        </w:tc>
        <w:tc>
          <w:tcPr>
            <w:tcW w:w="1716" w:type="dxa"/>
            <w:tcBorders>
              <w:right w:val="single" w:color="auto" w:sz="4" w:space="0"/>
            </w:tcBorders>
            <w:shd w:val="clear" w:color="auto" w:fill="auto"/>
            <w:noWrap w:val="0"/>
            <w:vAlign w:val="center"/>
          </w:tcPr>
          <w:p w14:paraId="1F5E52F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45FDF53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E36F09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0CA9D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7F85696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4.雉科Phasianidae</w:t>
            </w:r>
          </w:p>
        </w:tc>
        <w:tc>
          <w:tcPr>
            <w:tcW w:w="1716" w:type="dxa"/>
            <w:tcBorders>
              <w:right w:val="single" w:color="auto" w:sz="4" w:space="0"/>
            </w:tcBorders>
            <w:shd w:val="clear" w:color="auto" w:fill="auto"/>
            <w:noWrap w:val="0"/>
            <w:vAlign w:val="center"/>
          </w:tcPr>
          <w:p w14:paraId="1A17AA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ECD505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F72CBE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6616F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A64DBF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灰胸竹鸡Bambusicola thoracica</w:t>
            </w:r>
          </w:p>
        </w:tc>
        <w:tc>
          <w:tcPr>
            <w:tcW w:w="1716" w:type="dxa"/>
            <w:tcBorders>
              <w:right w:val="single" w:color="auto" w:sz="4" w:space="0"/>
            </w:tcBorders>
            <w:shd w:val="clear" w:color="auto" w:fill="auto"/>
            <w:noWrap w:val="0"/>
            <w:vAlign w:val="center"/>
          </w:tcPr>
          <w:p w14:paraId="00D7BFA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E3A4B6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96CD24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56E013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5BAD6D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5.三趾鹑科Turnicidae</w:t>
            </w:r>
          </w:p>
        </w:tc>
        <w:tc>
          <w:tcPr>
            <w:tcW w:w="1716" w:type="dxa"/>
            <w:tcBorders>
              <w:right w:val="single" w:color="auto" w:sz="4" w:space="0"/>
            </w:tcBorders>
            <w:shd w:val="clear" w:color="auto" w:fill="auto"/>
            <w:noWrap w:val="0"/>
            <w:vAlign w:val="center"/>
          </w:tcPr>
          <w:p w14:paraId="36A2B8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5B87E2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4CE6B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0B0DF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B5FF35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黄脚三趾鹑Turnix tanki</w:t>
            </w:r>
          </w:p>
        </w:tc>
        <w:tc>
          <w:tcPr>
            <w:tcW w:w="1716" w:type="dxa"/>
            <w:tcBorders>
              <w:right w:val="single" w:color="auto" w:sz="4" w:space="0"/>
            </w:tcBorders>
            <w:shd w:val="clear" w:color="auto" w:fill="auto"/>
            <w:noWrap w:val="0"/>
            <w:vAlign w:val="center"/>
          </w:tcPr>
          <w:p w14:paraId="033D3C4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2CAE932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1E5D9D3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3B5421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45791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pt-BR" w:eastAsia="zh-CN" w:bidi="ar-SA"/>
              </w:rPr>
              <w:t>五</w:t>
            </w:r>
            <w:r>
              <w:rPr>
                <w:rFonts w:hint="default" w:ascii="Times New Roman" w:hAnsi="Times New Roman" w:eastAsia="宋体" w:cs="Times New Roman"/>
                <w:color w:val="auto"/>
                <w:kern w:val="2"/>
                <w:sz w:val="21"/>
                <w:szCs w:val="24"/>
                <w:lang w:val="en-US" w:eastAsia="zh-CN" w:bidi="ar-SA"/>
              </w:rPr>
              <w:t>、鹤形目GRUIFORMES</w:t>
            </w:r>
          </w:p>
        </w:tc>
        <w:tc>
          <w:tcPr>
            <w:tcW w:w="1716" w:type="dxa"/>
            <w:tcBorders>
              <w:right w:val="single" w:color="auto" w:sz="4" w:space="0"/>
            </w:tcBorders>
            <w:shd w:val="clear" w:color="auto" w:fill="auto"/>
            <w:noWrap w:val="0"/>
            <w:vAlign w:val="center"/>
          </w:tcPr>
          <w:p w14:paraId="73C73DC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2FCE50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88BEC5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EAA1B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C9C1B9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6.秧鸡科Rallidae：3种</w:t>
            </w:r>
          </w:p>
        </w:tc>
        <w:tc>
          <w:tcPr>
            <w:tcW w:w="1716" w:type="dxa"/>
            <w:tcBorders>
              <w:right w:val="single" w:color="auto" w:sz="4" w:space="0"/>
            </w:tcBorders>
            <w:shd w:val="clear" w:color="auto" w:fill="auto"/>
            <w:noWrap w:val="0"/>
            <w:vAlign w:val="center"/>
          </w:tcPr>
          <w:p w14:paraId="4FCF890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B0EAA3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B60DE5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6D109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3158BC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红脚苦恶鸟Amaurornis akool</w:t>
            </w:r>
          </w:p>
        </w:tc>
        <w:tc>
          <w:tcPr>
            <w:tcW w:w="1716" w:type="dxa"/>
            <w:tcBorders>
              <w:right w:val="single" w:color="auto" w:sz="4" w:space="0"/>
            </w:tcBorders>
            <w:shd w:val="clear" w:color="auto" w:fill="auto"/>
            <w:noWrap w:val="0"/>
            <w:vAlign w:val="center"/>
          </w:tcPr>
          <w:p w14:paraId="560B11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040DEB1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F1E815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54EF65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AB5B0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骨顶鸡Fulica atra</w:t>
            </w:r>
          </w:p>
        </w:tc>
        <w:tc>
          <w:tcPr>
            <w:tcW w:w="1716" w:type="dxa"/>
            <w:tcBorders>
              <w:right w:val="single" w:color="auto" w:sz="4" w:space="0"/>
            </w:tcBorders>
            <w:shd w:val="clear" w:color="auto" w:fill="auto"/>
            <w:noWrap w:val="0"/>
            <w:vAlign w:val="center"/>
          </w:tcPr>
          <w:p w14:paraId="7470EF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AB23C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282AFE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00AA21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BCC098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黑水鸡Gallinula chloropus</w:t>
            </w:r>
          </w:p>
        </w:tc>
        <w:tc>
          <w:tcPr>
            <w:tcW w:w="1716" w:type="dxa"/>
            <w:tcBorders>
              <w:right w:val="single" w:color="auto" w:sz="4" w:space="0"/>
            </w:tcBorders>
            <w:shd w:val="clear" w:color="auto" w:fill="auto"/>
            <w:noWrap w:val="0"/>
            <w:vAlign w:val="center"/>
          </w:tcPr>
          <w:p w14:paraId="136F4F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74939D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8DFEC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722706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316348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pt-BR" w:eastAsia="zh-CN" w:bidi="ar-SA"/>
              </w:rPr>
              <w:t>六、</w:t>
            </w:r>
            <w:r>
              <w:rPr>
                <w:rFonts w:hint="default" w:ascii="Times New Roman" w:hAnsi="Times New Roman" w:eastAsia="宋体" w:cs="Times New Roman"/>
                <w:color w:val="auto"/>
                <w:kern w:val="2"/>
                <w:sz w:val="21"/>
                <w:szCs w:val="24"/>
                <w:lang w:val="en-US" w:eastAsia="zh-CN" w:bidi="ar-SA"/>
              </w:rPr>
              <w:t>鸻形目</w:t>
            </w:r>
            <w:r>
              <w:rPr>
                <w:rFonts w:hint="default" w:ascii="Times New Roman" w:hAnsi="Times New Roman" w:eastAsia="宋体" w:cs="Times New Roman"/>
                <w:color w:val="auto"/>
                <w:kern w:val="2"/>
                <w:sz w:val="21"/>
                <w:szCs w:val="24"/>
                <w:lang w:val="pt-BR" w:eastAsia="zh-CN" w:bidi="ar-SA"/>
              </w:rPr>
              <w:t>CHARADRIFORMES</w:t>
            </w:r>
          </w:p>
        </w:tc>
        <w:tc>
          <w:tcPr>
            <w:tcW w:w="1716" w:type="dxa"/>
            <w:tcBorders>
              <w:right w:val="single" w:color="auto" w:sz="4" w:space="0"/>
            </w:tcBorders>
            <w:shd w:val="clear" w:color="auto" w:fill="auto"/>
            <w:noWrap w:val="0"/>
            <w:vAlign w:val="center"/>
          </w:tcPr>
          <w:p w14:paraId="6C0E4EB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3D998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239688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0E58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DD482E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7.水雉科Jacanidae</w:t>
            </w:r>
          </w:p>
        </w:tc>
        <w:tc>
          <w:tcPr>
            <w:tcW w:w="1716" w:type="dxa"/>
            <w:tcBorders>
              <w:right w:val="single" w:color="auto" w:sz="4" w:space="0"/>
            </w:tcBorders>
            <w:shd w:val="clear" w:color="auto" w:fill="auto"/>
            <w:noWrap w:val="0"/>
            <w:vAlign w:val="center"/>
          </w:tcPr>
          <w:p w14:paraId="0D85AC3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08E0A7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B29088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FE3E4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21006A5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水雉Hydrophasianus chirurgus</w:t>
            </w:r>
          </w:p>
        </w:tc>
        <w:tc>
          <w:tcPr>
            <w:tcW w:w="1716" w:type="dxa"/>
            <w:tcBorders>
              <w:right w:val="single" w:color="auto" w:sz="4" w:space="0"/>
            </w:tcBorders>
            <w:shd w:val="clear" w:color="auto" w:fill="auto"/>
            <w:noWrap w:val="0"/>
            <w:vAlign w:val="center"/>
          </w:tcPr>
          <w:p w14:paraId="71675AE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49921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◎澳</w:t>
            </w:r>
          </w:p>
        </w:tc>
        <w:tc>
          <w:tcPr>
            <w:tcW w:w="1420" w:type="dxa"/>
            <w:shd w:val="clear" w:color="auto" w:fill="auto"/>
            <w:noWrap w:val="0"/>
            <w:vAlign w:val="center"/>
          </w:tcPr>
          <w:p w14:paraId="76CB703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3F5178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8D04E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8.鸥科Laridae</w:t>
            </w:r>
          </w:p>
        </w:tc>
        <w:tc>
          <w:tcPr>
            <w:tcW w:w="1716" w:type="dxa"/>
            <w:tcBorders>
              <w:right w:val="single" w:color="auto" w:sz="4" w:space="0"/>
            </w:tcBorders>
            <w:shd w:val="clear" w:color="auto" w:fill="auto"/>
            <w:noWrap w:val="0"/>
            <w:vAlign w:val="center"/>
          </w:tcPr>
          <w:p w14:paraId="5A69703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944CF8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D73D66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A842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9E66F3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红嘴鸥Larus ridibundus</w:t>
            </w:r>
          </w:p>
        </w:tc>
        <w:tc>
          <w:tcPr>
            <w:tcW w:w="1716" w:type="dxa"/>
            <w:tcBorders>
              <w:right w:val="single" w:color="auto" w:sz="4" w:space="0"/>
            </w:tcBorders>
            <w:shd w:val="clear" w:color="auto" w:fill="auto"/>
            <w:noWrap w:val="0"/>
            <w:vAlign w:val="center"/>
          </w:tcPr>
          <w:p w14:paraId="610EC6F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65B3A6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5268AF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84311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127D9C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9.鹬科Scoiopacidae：3种</w:t>
            </w:r>
          </w:p>
        </w:tc>
        <w:tc>
          <w:tcPr>
            <w:tcW w:w="1716" w:type="dxa"/>
            <w:tcBorders>
              <w:right w:val="single" w:color="auto" w:sz="4" w:space="0"/>
            </w:tcBorders>
            <w:shd w:val="clear" w:color="auto" w:fill="auto"/>
            <w:noWrap w:val="0"/>
            <w:vAlign w:val="center"/>
          </w:tcPr>
          <w:p w14:paraId="5A55B15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41D1B4E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C41F7F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94C41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5CAA14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青脚鹬Tringa nebularia</w:t>
            </w:r>
          </w:p>
        </w:tc>
        <w:tc>
          <w:tcPr>
            <w:tcW w:w="1716" w:type="dxa"/>
            <w:tcBorders>
              <w:right w:val="single" w:color="auto" w:sz="4" w:space="0"/>
            </w:tcBorders>
            <w:shd w:val="clear" w:color="auto" w:fill="auto"/>
            <w:noWrap w:val="0"/>
            <w:vAlign w:val="center"/>
          </w:tcPr>
          <w:p w14:paraId="5B9877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6E458E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◎澳日</w:t>
            </w:r>
          </w:p>
        </w:tc>
        <w:tc>
          <w:tcPr>
            <w:tcW w:w="1420" w:type="dxa"/>
            <w:shd w:val="clear" w:color="auto" w:fill="auto"/>
            <w:noWrap w:val="0"/>
            <w:vAlign w:val="center"/>
          </w:tcPr>
          <w:p w14:paraId="3D335BA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6FF809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70EE74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黑腹滨鹬Calidris alpina</w:t>
            </w:r>
          </w:p>
        </w:tc>
        <w:tc>
          <w:tcPr>
            <w:tcW w:w="1716" w:type="dxa"/>
            <w:tcBorders>
              <w:right w:val="single" w:color="auto" w:sz="4" w:space="0"/>
            </w:tcBorders>
            <w:shd w:val="clear" w:color="auto" w:fill="auto"/>
            <w:noWrap w:val="0"/>
            <w:vAlign w:val="center"/>
          </w:tcPr>
          <w:p w14:paraId="1623F06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1A2533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◎澳日</w:t>
            </w:r>
          </w:p>
        </w:tc>
        <w:tc>
          <w:tcPr>
            <w:tcW w:w="1420" w:type="dxa"/>
            <w:shd w:val="clear" w:color="auto" w:fill="auto"/>
            <w:noWrap w:val="0"/>
            <w:vAlign w:val="center"/>
          </w:tcPr>
          <w:p w14:paraId="366758A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4B3CB9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79216C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鹤鹬Tringa erythropus</w:t>
            </w:r>
          </w:p>
        </w:tc>
        <w:tc>
          <w:tcPr>
            <w:tcW w:w="1716" w:type="dxa"/>
            <w:tcBorders>
              <w:right w:val="single" w:color="auto" w:sz="4" w:space="0"/>
            </w:tcBorders>
            <w:shd w:val="clear" w:color="auto" w:fill="auto"/>
            <w:noWrap w:val="0"/>
            <w:vAlign w:val="center"/>
          </w:tcPr>
          <w:p w14:paraId="469EE4E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7DAFB55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02BFD01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2E4CFE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DF3BAC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10.鴴科</w:t>
            </w:r>
            <w:r>
              <w:rPr>
                <w:rFonts w:hint="default" w:ascii="Times New Roman" w:hAnsi="Times New Roman" w:eastAsia="宋体" w:cs="Times New Roman"/>
                <w:color w:val="auto"/>
                <w:kern w:val="2"/>
                <w:sz w:val="21"/>
                <w:szCs w:val="24"/>
                <w:lang w:val="pt-BR" w:eastAsia="zh-CN" w:bidi="ar-SA"/>
              </w:rPr>
              <w:t>Charadriidae：</w:t>
            </w:r>
            <w:r>
              <w:rPr>
                <w:rFonts w:hint="default" w:ascii="Times New Roman" w:hAnsi="Times New Roman" w:eastAsia="宋体" w:cs="Times New Roman"/>
                <w:color w:val="auto"/>
                <w:kern w:val="2"/>
                <w:sz w:val="21"/>
                <w:szCs w:val="24"/>
                <w:lang w:val="en-US" w:eastAsia="zh-CN" w:bidi="ar-SA"/>
              </w:rPr>
              <w:t>3</w:t>
            </w:r>
            <w:r>
              <w:rPr>
                <w:rFonts w:hint="default" w:ascii="Times New Roman" w:hAnsi="Times New Roman" w:eastAsia="宋体" w:cs="Times New Roman"/>
                <w:color w:val="auto"/>
                <w:kern w:val="2"/>
                <w:sz w:val="21"/>
                <w:szCs w:val="24"/>
                <w:lang w:val="pt-BR" w:eastAsia="zh-CN" w:bidi="ar-SA"/>
              </w:rPr>
              <w:t>种</w:t>
            </w:r>
          </w:p>
        </w:tc>
        <w:tc>
          <w:tcPr>
            <w:tcW w:w="1716" w:type="dxa"/>
            <w:tcBorders>
              <w:right w:val="single" w:color="auto" w:sz="4" w:space="0"/>
            </w:tcBorders>
            <w:shd w:val="clear" w:color="auto" w:fill="auto"/>
            <w:noWrap w:val="0"/>
            <w:vAlign w:val="center"/>
          </w:tcPr>
          <w:p w14:paraId="192EDAF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6760C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974EC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6F01B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2376D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灰斑鴴Pluvialis squatarola</w:t>
            </w:r>
          </w:p>
        </w:tc>
        <w:tc>
          <w:tcPr>
            <w:tcW w:w="1716" w:type="dxa"/>
            <w:tcBorders>
              <w:right w:val="single" w:color="auto" w:sz="4" w:space="0"/>
            </w:tcBorders>
            <w:shd w:val="clear" w:color="auto" w:fill="auto"/>
            <w:noWrap w:val="0"/>
            <w:vAlign w:val="center"/>
          </w:tcPr>
          <w:p w14:paraId="4B4FA9D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198237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06CCD6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2FFE28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1B840E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环颈鴴Charadrius alexandrinus</w:t>
            </w:r>
          </w:p>
        </w:tc>
        <w:tc>
          <w:tcPr>
            <w:tcW w:w="1716" w:type="dxa"/>
            <w:tcBorders>
              <w:right w:val="single" w:color="auto" w:sz="4" w:space="0"/>
            </w:tcBorders>
            <w:shd w:val="clear" w:color="auto" w:fill="auto"/>
            <w:noWrap w:val="0"/>
            <w:vAlign w:val="center"/>
          </w:tcPr>
          <w:p w14:paraId="13E9DFF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234A26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8B679E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5650C4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1BC4A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七、鸽形目COLUMBIFORMES</w:t>
            </w:r>
          </w:p>
        </w:tc>
        <w:tc>
          <w:tcPr>
            <w:tcW w:w="1716" w:type="dxa"/>
            <w:tcBorders>
              <w:right w:val="single" w:color="auto" w:sz="4" w:space="0"/>
            </w:tcBorders>
            <w:shd w:val="clear" w:color="auto" w:fill="auto"/>
            <w:noWrap w:val="0"/>
            <w:vAlign w:val="center"/>
          </w:tcPr>
          <w:p w14:paraId="7E9B5FD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ECF0FE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F767D3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750A9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D31825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11.鸠鸽科Columbidae：2种</w:t>
            </w:r>
          </w:p>
        </w:tc>
        <w:tc>
          <w:tcPr>
            <w:tcW w:w="1716" w:type="dxa"/>
            <w:tcBorders>
              <w:right w:val="single" w:color="auto" w:sz="4" w:space="0"/>
            </w:tcBorders>
            <w:shd w:val="clear" w:color="auto" w:fill="auto"/>
            <w:noWrap w:val="0"/>
            <w:vAlign w:val="center"/>
          </w:tcPr>
          <w:p w14:paraId="55F3DE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01E225D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20AD85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18AA9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612AAA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山斑鸠Streptopelia orientalis</w:t>
            </w:r>
          </w:p>
        </w:tc>
        <w:tc>
          <w:tcPr>
            <w:tcW w:w="1716" w:type="dxa"/>
            <w:tcBorders>
              <w:right w:val="single" w:color="auto" w:sz="4" w:space="0"/>
            </w:tcBorders>
            <w:shd w:val="clear" w:color="auto" w:fill="auto"/>
            <w:noWrap w:val="0"/>
            <w:vAlign w:val="center"/>
          </w:tcPr>
          <w:p w14:paraId="56A56B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E23F46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8B2AAE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19DBB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0BEDBC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珠颈斑鸠Streptopelia chinensis</w:t>
            </w:r>
          </w:p>
        </w:tc>
        <w:tc>
          <w:tcPr>
            <w:tcW w:w="1716" w:type="dxa"/>
            <w:tcBorders>
              <w:right w:val="single" w:color="auto" w:sz="4" w:space="0"/>
            </w:tcBorders>
            <w:shd w:val="clear" w:color="auto" w:fill="auto"/>
            <w:noWrap w:val="0"/>
            <w:vAlign w:val="center"/>
          </w:tcPr>
          <w:p w14:paraId="0E216B0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4D72AC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B60B13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9C7CE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3E2A19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八.鹃形目CUCULIFORMES</w:t>
            </w:r>
          </w:p>
        </w:tc>
        <w:tc>
          <w:tcPr>
            <w:tcW w:w="1716" w:type="dxa"/>
            <w:tcBorders>
              <w:right w:val="single" w:color="auto" w:sz="4" w:space="0"/>
            </w:tcBorders>
            <w:shd w:val="clear" w:color="auto" w:fill="auto"/>
            <w:noWrap w:val="0"/>
            <w:vAlign w:val="center"/>
          </w:tcPr>
          <w:p w14:paraId="5A0F19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9D863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3A997F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DA2A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8D86D7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12.杜鹃科Cuculidae：2种</w:t>
            </w:r>
          </w:p>
        </w:tc>
        <w:tc>
          <w:tcPr>
            <w:tcW w:w="1716" w:type="dxa"/>
            <w:tcBorders>
              <w:right w:val="single" w:color="auto" w:sz="4" w:space="0"/>
            </w:tcBorders>
            <w:shd w:val="clear" w:color="auto" w:fill="auto"/>
            <w:noWrap w:val="0"/>
            <w:vAlign w:val="center"/>
          </w:tcPr>
          <w:p w14:paraId="16265CE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D7EFB9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642795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04500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22AF01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四声杜鹃Cuculus micropterus</w:t>
            </w:r>
          </w:p>
        </w:tc>
        <w:tc>
          <w:tcPr>
            <w:tcW w:w="1716" w:type="dxa"/>
            <w:tcBorders>
              <w:right w:val="single" w:color="auto" w:sz="4" w:space="0"/>
            </w:tcBorders>
            <w:shd w:val="clear" w:color="auto" w:fill="auto"/>
            <w:noWrap w:val="0"/>
            <w:vAlign w:val="center"/>
          </w:tcPr>
          <w:p w14:paraId="7DB2253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3F2F8D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29A8B8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w:t>
            </w:r>
          </w:p>
        </w:tc>
      </w:tr>
      <w:tr w14:paraId="341960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3E46BC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大杜鹃Cuculus canorus</w:t>
            </w:r>
          </w:p>
        </w:tc>
        <w:tc>
          <w:tcPr>
            <w:tcW w:w="1716" w:type="dxa"/>
            <w:tcBorders>
              <w:right w:val="single" w:color="auto" w:sz="4" w:space="0"/>
            </w:tcBorders>
            <w:shd w:val="clear" w:color="auto" w:fill="auto"/>
            <w:noWrap w:val="0"/>
            <w:vAlign w:val="center"/>
          </w:tcPr>
          <w:p w14:paraId="190B37B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D36779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27A092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2818FE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737827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九、佛法僧目CORACIFORMES</w:t>
            </w:r>
          </w:p>
        </w:tc>
        <w:tc>
          <w:tcPr>
            <w:tcW w:w="1716" w:type="dxa"/>
            <w:tcBorders>
              <w:right w:val="single" w:color="auto" w:sz="4" w:space="0"/>
            </w:tcBorders>
            <w:shd w:val="clear" w:color="auto" w:fill="auto"/>
            <w:noWrap w:val="0"/>
            <w:vAlign w:val="center"/>
          </w:tcPr>
          <w:p w14:paraId="1C27B25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87E747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F574E8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B76DF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2FFE9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13.翠鸟科Alcedinidae：2种</w:t>
            </w:r>
          </w:p>
        </w:tc>
        <w:tc>
          <w:tcPr>
            <w:tcW w:w="1716" w:type="dxa"/>
            <w:tcBorders>
              <w:right w:val="single" w:color="auto" w:sz="4" w:space="0"/>
            </w:tcBorders>
            <w:shd w:val="clear" w:color="auto" w:fill="auto"/>
            <w:noWrap w:val="0"/>
            <w:vAlign w:val="center"/>
          </w:tcPr>
          <w:p w14:paraId="68AE86C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68B44D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73F80B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56E1D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7EBE9B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普通翠鸟Alcedo atthis</w:t>
            </w:r>
          </w:p>
        </w:tc>
        <w:tc>
          <w:tcPr>
            <w:tcW w:w="1716" w:type="dxa"/>
            <w:tcBorders>
              <w:right w:val="single" w:color="auto" w:sz="4" w:space="0"/>
            </w:tcBorders>
            <w:shd w:val="clear" w:color="auto" w:fill="auto"/>
            <w:noWrap w:val="0"/>
            <w:vAlign w:val="center"/>
          </w:tcPr>
          <w:p w14:paraId="3134730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6C9AE99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6ADF77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75816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5CBCEE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兰翡翠Halcyon pileata</w:t>
            </w:r>
          </w:p>
        </w:tc>
        <w:tc>
          <w:tcPr>
            <w:tcW w:w="1716" w:type="dxa"/>
            <w:tcBorders>
              <w:right w:val="single" w:color="auto" w:sz="4" w:space="0"/>
            </w:tcBorders>
            <w:shd w:val="clear" w:color="auto" w:fill="auto"/>
            <w:noWrap w:val="0"/>
            <w:vAlign w:val="center"/>
          </w:tcPr>
          <w:p w14:paraId="2D02BF5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044B8B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0B2B84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BE32D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4343BC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fr-FR" w:eastAsia="zh-CN" w:bidi="ar-SA"/>
              </w:rPr>
              <w:t>十、</w:t>
            </w:r>
            <w:r>
              <w:rPr>
                <w:rFonts w:hint="default" w:ascii="Times New Roman" w:hAnsi="Times New Roman" w:eastAsia="宋体" w:cs="Times New Roman"/>
                <w:color w:val="auto"/>
                <w:kern w:val="2"/>
                <w:sz w:val="21"/>
                <w:szCs w:val="24"/>
                <w:lang w:val="en-US" w:eastAsia="zh-CN" w:bidi="ar-SA"/>
              </w:rPr>
              <w:t>鴷形目</w:t>
            </w:r>
            <w:r>
              <w:rPr>
                <w:rFonts w:hint="default" w:ascii="Times New Roman" w:hAnsi="Times New Roman" w:eastAsia="宋体" w:cs="Times New Roman"/>
                <w:color w:val="auto"/>
                <w:kern w:val="2"/>
                <w:sz w:val="21"/>
                <w:szCs w:val="24"/>
                <w:lang w:val="fr-FR" w:eastAsia="zh-CN" w:bidi="ar-SA"/>
              </w:rPr>
              <w:t>PICIFORMES</w:t>
            </w:r>
          </w:p>
        </w:tc>
        <w:tc>
          <w:tcPr>
            <w:tcW w:w="1716" w:type="dxa"/>
            <w:tcBorders>
              <w:right w:val="single" w:color="auto" w:sz="4" w:space="0"/>
            </w:tcBorders>
            <w:shd w:val="clear" w:color="auto" w:fill="auto"/>
            <w:noWrap w:val="0"/>
            <w:vAlign w:val="center"/>
          </w:tcPr>
          <w:p w14:paraId="65806A8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B2822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BE9CA8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0AA5E8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10F7EC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14.啄木鸟科Picidae：2种</w:t>
            </w:r>
          </w:p>
        </w:tc>
        <w:tc>
          <w:tcPr>
            <w:tcW w:w="1716" w:type="dxa"/>
            <w:tcBorders>
              <w:right w:val="single" w:color="auto" w:sz="4" w:space="0"/>
            </w:tcBorders>
            <w:shd w:val="clear" w:color="auto" w:fill="auto"/>
            <w:noWrap w:val="0"/>
            <w:vAlign w:val="center"/>
          </w:tcPr>
          <w:p w14:paraId="17CDA1E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1613E2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B1C37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E9258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BEB2B8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黑枕绿啄木鸟Picus canus</w:t>
            </w:r>
          </w:p>
        </w:tc>
        <w:tc>
          <w:tcPr>
            <w:tcW w:w="1716" w:type="dxa"/>
            <w:tcBorders>
              <w:right w:val="single" w:color="auto" w:sz="4" w:space="0"/>
            </w:tcBorders>
            <w:shd w:val="clear" w:color="auto" w:fill="auto"/>
            <w:noWrap w:val="0"/>
            <w:vAlign w:val="center"/>
          </w:tcPr>
          <w:p w14:paraId="387DCF6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153C933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2235C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333D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1410E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星头啄木鸟Dendrocopos canicapillus</w:t>
            </w:r>
          </w:p>
        </w:tc>
        <w:tc>
          <w:tcPr>
            <w:tcW w:w="1716" w:type="dxa"/>
            <w:tcBorders>
              <w:right w:val="single" w:color="auto" w:sz="4" w:space="0"/>
            </w:tcBorders>
            <w:shd w:val="clear" w:color="auto" w:fill="auto"/>
            <w:noWrap w:val="0"/>
            <w:vAlign w:val="center"/>
          </w:tcPr>
          <w:p w14:paraId="5D6D089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555DA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252F3B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3F1202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E95C14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十一、雀形目PASSERIFORMES</w:t>
            </w:r>
          </w:p>
        </w:tc>
        <w:tc>
          <w:tcPr>
            <w:tcW w:w="1716" w:type="dxa"/>
            <w:tcBorders>
              <w:right w:val="single" w:color="auto" w:sz="4" w:space="0"/>
            </w:tcBorders>
            <w:shd w:val="clear" w:color="auto" w:fill="auto"/>
            <w:noWrap w:val="0"/>
            <w:vAlign w:val="center"/>
          </w:tcPr>
          <w:p w14:paraId="0881BE2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F972F0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03A1D5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16C20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5EC545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15.百灵科Alaudidae</w:t>
            </w:r>
          </w:p>
        </w:tc>
        <w:tc>
          <w:tcPr>
            <w:tcW w:w="1716" w:type="dxa"/>
            <w:tcBorders>
              <w:right w:val="single" w:color="auto" w:sz="4" w:space="0"/>
            </w:tcBorders>
            <w:shd w:val="clear" w:color="auto" w:fill="auto"/>
            <w:noWrap w:val="0"/>
            <w:vAlign w:val="center"/>
          </w:tcPr>
          <w:p w14:paraId="6D8E87B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849EA7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4BDA29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6E1A4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9ACB2B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小云雀Alauda gulgula</w:t>
            </w:r>
          </w:p>
        </w:tc>
        <w:tc>
          <w:tcPr>
            <w:tcW w:w="1716" w:type="dxa"/>
            <w:tcBorders>
              <w:right w:val="single" w:color="auto" w:sz="4" w:space="0"/>
            </w:tcBorders>
            <w:shd w:val="clear" w:color="auto" w:fill="auto"/>
            <w:noWrap w:val="0"/>
            <w:vAlign w:val="center"/>
          </w:tcPr>
          <w:p w14:paraId="3AE5417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4E9629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7AC522D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B9E0A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371D5B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16.燕科Hirundinidae：2种</w:t>
            </w:r>
          </w:p>
        </w:tc>
        <w:tc>
          <w:tcPr>
            <w:tcW w:w="1716" w:type="dxa"/>
            <w:tcBorders>
              <w:right w:val="single" w:color="auto" w:sz="4" w:space="0"/>
            </w:tcBorders>
            <w:shd w:val="clear" w:color="auto" w:fill="auto"/>
            <w:noWrap w:val="0"/>
            <w:vAlign w:val="center"/>
          </w:tcPr>
          <w:p w14:paraId="4DEB750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1C262C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5D2ACB5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9818A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25B667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家燕Hirundo rustica</w:t>
            </w:r>
          </w:p>
        </w:tc>
        <w:tc>
          <w:tcPr>
            <w:tcW w:w="1716" w:type="dxa"/>
            <w:tcBorders>
              <w:right w:val="single" w:color="auto" w:sz="4" w:space="0"/>
            </w:tcBorders>
            <w:shd w:val="clear" w:color="auto" w:fill="auto"/>
            <w:noWrap w:val="0"/>
            <w:vAlign w:val="center"/>
          </w:tcPr>
          <w:p w14:paraId="371D76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271141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◎澳日</w:t>
            </w:r>
          </w:p>
        </w:tc>
        <w:tc>
          <w:tcPr>
            <w:tcW w:w="1420" w:type="dxa"/>
            <w:shd w:val="clear" w:color="auto" w:fill="auto"/>
            <w:noWrap w:val="0"/>
            <w:vAlign w:val="center"/>
          </w:tcPr>
          <w:p w14:paraId="2CA2EFF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C9ED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B7F707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金腰燕Hirundo </w:t>
            </w:r>
            <w:r>
              <w:rPr>
                <w:rFonts w:hint="default" w:ascii="Times New Roman" w:hAnsi="Times New Roman" w:eastAsia="宋体" w:cs="Times New Roman"/>
                <w:color w:val="auto"/>
                <w:kern w:val="2"/>
                <w:sz w:val="21"/>
                <w:szCs w:val="24"/>
                <w:lang w:val="pt-BR" w:eastAsia="zh-CN" w:bidi="ar-SA"/>
              </w:rPr>
              <w:t>strilata</w:t>
            </w:r>
          </w:p>
        </w:tc>
        <w:tc>
          <w:tcPr>
            <w:tcW w:w="1716" w:type="dxa"/>
            <w:tcBorders>
              <w:right w:val="single" w:color="auto" w:sz="4" w:space="0"/>
            </w:tcBorders>
            <w:shd w:val="clear" w:color="auto" w:fill="auto"/>
            <w:noWrap w:val="0"/>
            <w:vAlign w:val="center"/>
          </w:tcPr>
          <w:p w14:paraId="596823B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626B24A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39C595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4202E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B6CE3B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17</w:t>
            </w:r>
            <w:r>
              <w:rPr>
                <w:rFonts w:hint="default" w:ascii="Times New Roman" w:hAnsi="Times New Roman" w:eastAsia="宋体" w:cs="Times New Roman"/>
                <w:color w:val="auto"/>
                <w:kern w:val="2"/>
                <w:sz w:val="21"/>
                <w:szCs w:val="24"/>
                <w:lang w:val="pt-BR" w:eastAsia="zh-CN" w:bidi="ar-SA"/>
              </w:rPr>
              <w:t>.</w:t>
            </w:r>
            <w:r>
              <w:rPr>
                <w:rFonts w:hint="default" w:ascii="Times New Roman" w:hAnsi="Times New Roman" w:eastAsia="宋体" w:cs="Times New Roman"/>
                <w:color w:val="auto"/>
                <w:kern w:val="2"/>
                <w:sz w:val="21"/>
                <w:szCs w:val="24"/>
                <w:lang w:val="en-US" w:eastAsia="zh-CN" w:bidi="ar-SA"/>
              </w:rPr>
              <w:t>鹡鸰科</w:t>
            </w:r>
            <w:r>
              <w:rPr>
                <w:rFonts w:hint="default" w:ascii="Times New Roman" w:hAnsi="Times New Roman" w:eastAsia="宋体" w:cs="Times New Roman"/>
                <w:color w:val="auto"/>
                <w:kern w:val="2"/>
                <w:sz w:val="21"/>
                <w:szCs w:val="24"/>
                <w:lang w:val="pt-BR" w:eastAsia="zh-CN" w:bidi="ar-SA"/>
              </w:rPr>
              <w:t>Motaccidae：</w:t>
            </w:r>
          </w:p>
        </w:tc>
        <w:tc>
          <w:tcPr>
            <w:tcW w:w="1716" w:type="dxa"/>
            <w:tcBorders>
              <w:right w:val="single" w:color="auto" w:sz="4" w:space="0"/>
            </w:tcBorders>
            <w:shd w:val="clear" w:color="auto" w:fill="auto"/>
            <w:noWrap w:val="0"/>
            <w:vAlign w:val="center"/>
          </w:tcPr>
          <w:p w14:paraId="5EEEED3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9519E0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7398F5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2B7E1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86278C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白鹡鸰Motacilla alba</w:t>
            </w:r>
          </w:p>
        </w:tc>
        <w:tc>
          <w:tcPr>
            <w:tcW w:w="1716" w:type="dxa"/>
            <w:tcBorders>
              <w:right w:val="single" w:color="auto" w:sz="4" w:space="0"/>
            </w:tcBorders>
            <w:shd w:val="clear" w:color="auto" w:fill="auto"/>
            <w:noWrap w:val="0"/>
            <w:vAlign w:val="center"/>
          </w:tcPr>
          <w:p w14:paraId="33D75C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21DB6E3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◎澳日</w:t>
            </w:r>
          </w:p>
        </w:tc>
        <w:tc>
          <w:tcPr>
            <w:tcW w:w="1420" w:type="dxa"/>
            <w:shd w:val="clear" w:color="auto" w:fill="auto"/>
            <w:noWrap w:val="0"/>
            <w:vAlign w:val="center"/>
          </w:tcPr>
          <w:p w14:paraId="7406EB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5EB71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DCC41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18.鹎科Pycnonotidae：3种</w:t>
            </w:r>
          </w:p>
        </w:tc>
        <w:tc>
          <w:tcPr>
            <w:tcW w:w="1716" w:type="dxa"/>
            <w:tcBorders>
              <w:right w:val="single" w:color="auto" w:sz="4" w:space="0"/>
            </w:tcBorders>
            <w:shd w:val="clear" w:color="auto" w:fill="auto"/>
            <w:noWrap w:val="0"/>
            <w:vAlign w:val="center"/>
          </w:tcPr>
          <w:p w14:paraId="2AD0434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1806DC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1478C6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D2F84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2CF47E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白头鹎Pycnonotus sinensis</w:t>
            </w:r>
          </w:p>
        </w:tc>
        <w:tc>
          <w:tcPr>
            <w:tcW w:w="1716" w:type="dxa"/>
            <w:tcBorders>
              <w:right w:val="single" w:color="auto" w:sz="4" w:space="0"/>
            </w:tcBorders>
            <w:shd w:val="clear" w:color="auto" w:fill="auto"/>
            <w:noWrap w:val="0"/>
            <w:vAlign w:val="center"/>
          </w:tcPr>
          <w:p w14:paraId="42DAF2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5CF182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CF6DF2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EF3D2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B1C337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黄臀鹎Pycnonotus xanthorrhous</w:t>
            </w:r>
          </w:p>
        </w:tc>
        <w:tc>
          <w:tcPr>
            <w:tcW w:w="1716" w:type="dxa"/>
            <w:tcBorders>
              <w:right w:val="single" w:color="auto" w:sz="4" w:space="0"/>
            </w:tcBorders>
            <w:shd w:val="clear" w:color="auto" w:fill="auto"/>
            <w:noWrap w:val="0"/>
            <w:vAlign w:val="center"/>
          </w:tcPr>
          <w:p w14:paraId="39799DF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0E1FD59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D7FC7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C8BD1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184324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领雀嘴鹎Spizixos semitorques</w:t>
            </w:r>
          </w:p>
        </w:tc>
        <w:tc>
          <w:tcPr>
            <w:tcW w:w="1716" w:type="dxa"/>
            <w:tcBorders>
              <w:right w:val="single" w:color="auto" w:sz="4" w:space="0"/>
            </w:tcBorders>
            <w:shd w:val="clear" w:color="auto" w:fill="auto"/>
            <w:noWrap w:val="0"/>
            <w:vAlign w:val="center"/>
          </w:tcPr>
          <w:p w14:paraId="1913EFD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3F356E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6D071A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FAE32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6731BD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19.伯劳科Laniidae：2种</w:t>
            </w:r>
          </w:p>
        </w:tc>
        <w:tc>
          <w:tcPr>
            <w:tcW w:w="1716" w:type="dxa"/>
            <w:tcBorders>
              <w:right w:val="single" w:color="auto" w:sz="4" w:space="0"/>
            </w:tcBorders>
            <w:shd w:val="clear" w:color="auto" w:fill="auto"/>
            <w:noWrap w:val="0"/>
            <w:vAlign w:val="center"/>
          </w:tcPr>
          <w:p w14:paraId="0C19A12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93FF82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EA1A07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4F39C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13015D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棕背伯劳Lanius schach</w:t>
            </w:r>
          </w:p>
        </w:tc>
        <w:tc>
          <w:tcPr>
            <w:tcW w:w="1716" w:type="dxa"/>
            <w:tcBorders>
              <w:right w:val="single" w:color="auto" w:sz="4" w:space="0"/>
            </w:tcBorders>
            <w:shd w:val="clear" w:color="auto" w:fill="auto"/>
            <w:noWrap w:val="0"/>
            <w:vAlign w:val="center"/>
          </w:tcPr>
          <w:p w14:paraId="06177A7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045F93E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85D24A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EBA50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B52462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伯劳Lanius</w:t>
            </w:r>
          </w:p>
        </w:tc>
        <w:tc>
          <w:tcPr>
            <w:tcW w:w="1716" w:type="dxa"/>
            <w:tcBorders>
              <w:right w:val="single" w:color="auto" w:sz="4" w:space="0"/>
            </w:tcBorders>
            <w:shd w:val="clear" w:color="auto" w:fill="auto"/>
            <w:noWrap w:val="0"/>
            <w:vAlign w:val="center"/>
          </w:tcPr>
          <w:p w14:paraId="01F86AB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6E5C4D6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7040E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232FF6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8E05F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20.椋鸟科Sturnidae：2种</w:t>
            </w:r>
          </w:p>
        </w:tc>
        <w:tc>
          <w:tcPr>
            <w:tcW w:w="1716" w:type="dxa"/>
            <w:tcBorders>
              <w:right w:val="single" w:color="auto" w:sz="4" w:space="0"/>
            </w:tcBorders>
            <w:shd w:val="clear" w:color="auto" w:fill="auto"/>
            <w:noWrap w:val="0"/>
            <w:vAlign w:val="center"/>
          </w:tcPr>
          <w:p w14:paraId="10C3388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661C18B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131406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16AB81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FD1C84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灰椋鸟Sturnus cineraceus</w:t>
            </w:r>
          </w:p>
        </w:tc>
        <w:tc>
          <w:tcPr>
            <w:tcW w:w="1716" w:type="dxa"/>
            <w:tcBorders>
              <w:right w:val="single" w:color="auto" w:sz="4" w:space="0"/>
            </w:tcBorders>
            <w:shd w:val="clear" w:color="auto" w:fill="auto"/>
            <w:noWrap w:val="0"/>
            <w:vAlign w:val="center"/>
          </w:tcPr>
          <w:p w14:paraId="7568DAA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98C455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0C1EF50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076C3D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DD64E2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八哥Acridotheres cristatellus</w:t>
            </w:r>
          </w:p>
        </w:tc>
        <w:tc>
          <w:tcPr>
            <w:tcW w:w="1716" w:type="dxa"/>
            <w:tcBorders>
              <w:right w:val="single" w:color="auto" w:sz="4" w:space="0"/>
            </w:tcBorders>
            <w:shd w:val="clear" w:color="auto" w:fill="auto"/>
            <w:noWrap w:val="0"/>
            <w:vAlign w:val="center"/>
          </w:tcPr>
          <w:p w14:paraId="64B5B6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6972DD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6BCB5C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9F7C5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A8BBD1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21.鸦科Corvidae：3种</w:t>
            </w:r>
          </w:p>
        </w:tc>
        <w:tc>
          <w:tcPr>
            <w:tcW w:w="1716" w:type="dxa"/>
            <w:tcBorders>
              <w:right w:val="single" w:color="auto" w:sz="4" w:space="0"/>
            </w:tcBorders>
            <w:shd w:val="clear" w:color="auto" w:fill="auto"/>
            <w:noWrap w:val="0"/>
            <w:vAlign w:val="center"/>
          </w:tcPr>
          <w:p w14:paraId="3227FDE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73BA3F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903772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0F028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3A6148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喜鹊Pica pica</w:t>
            </w:r>
          </w:p>
        </w:tc>
        <w:tc>
          <w:tcPr>
            <w:tcW w:w="1716" w:type="dxa"/>
            <w:tcBorders>
              <w:right w:val="single" w:color="auto" w:sz="4" w:space="0"/>
            </w:tcBorders>
            <w:shd w:val="clear" w:color="auto" w:fill="auto"/>
            <w:noWrap w:val="0"/>
            <w:vAlign w:val="center"/>
          </w:tcPr>
          <w:p w14:paraId="1E24896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C88A3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16F18A4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66AD5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65245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灰喜鹊Cyanopica cyana</w:t>
            </w:r>
          </w:p>
        </w:tc>
        <w:tc>
          <w:tcPr>
            <w:tcW w:w="1716" w:type="dxa"/>
            <w:tcBorders>
              <w:right w:val="single" w:color="auto" w:sz="4" w:space="0"/>
            </w:tcBorders>
            <w:shd w:val="clear" w:color="auto" w:fill="auto"/>
            <w:noWrap w:val="0"/>
            <w:vAlign w:val="center"/>
          </w:tcPr>
          <w:p w14:paraId="19994DB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w:t>
            </w:r>
          </w:p>
        </w:tc>
        <w:tc>
          <w:tcPr>
            <w:tcW w:w="1475" w:type="dxa"/>
            <w:tcBorders>
              <w:left w:val="single" w:color="auto" w:sz="4" w:space="0"/>
            </w:tcBorders>
            <w:shd w:val="clear" w:color="auto" w:fill="auto"/>
            <w:noWrap w:val="0"/>
            <w:vAlign w:val="center"/>
          </w:tcPr>
          <w:p w14:paraId="7FB1EA5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3CCEC5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07DDF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5EECC8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白颈鸦Corvus torquatus</w:t>
            </w:r>
          </w:p>
        </w:tc>
        <w:tc>
          <w:tcPr>
            <w:tcW w:w="1716" w:type="dxa"/>
            <w:tcBorders>
              <w:right w:val="single" w:color="auto" w:sz="4" w:space="0"/>
            </w:tcBorders>
            <w:shd w:val="clear" w:color="auto" w:fill="auto"/>
            <w:noWrap w:val="0"/>
            <w:vAlign w:val="center"/>
          </w:tcPr>
          <w:p w14:paraId="7B7BE10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6F79757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9E326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046337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C4646E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22.河乌科Ciniclidae</w:t>
            </w:r>
          </w:p>
        </w:tc>
        <w:tc>
          <w:tcPr>
            <w:tcW w:w="1716" w:type="dxa"/>
            <w:tcBorders>
              <w:right w:val="single" w:color="auto" w:sz="4" w:space="0"/>
            </w:tcBorders>
            <w:shd w:val="clear" w:color="auto" w:fill="auto"/>
            <w:noWrap w:val="0"/>
            <w:vAlign w:val="center"/>
          </w:tcPr>
          <w:p w14:paraId="74B08B3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54BDE8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B7CD14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9D909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49591F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褐河乌Cinclus pallasii</w:t>
            </w:r>
          </w:p>
        </w:tc>
        <w:tc>
          <w:tcPr>
            <w:tcW w:w="1716" w:type="dxa"/>
            <w:tcBorders>
              <w:right w:val="single" w:color="auto" w:sz="4" w:space="0"/>
            </w:tcBorders>
            <w:shd w:val="clear" w:color="auto" w:fill="auto"/>
            <w:noWrap w:val="0"/>
            <w:vAlign w:val="center"/>
          </w:tcPr>
          <w:p w14:paraId="4AC81C2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0A3FA8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025BD09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6258B0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842672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23.鸫科Turdidae：4种</w:t>
            </w:r>
          </w:p>
        </w:tc>
        <w:tc>
          <w:tcPr>
            <w:tcW w:w="1716" w:type="dxa"/>
            <w:tcBorders>
              <w:right w:val="single" w:color="auto" w:sz="4" w:space="0"/>
            </w:tcBorders>
            <w:shd w:val="clear" w:color="auto" w:fill="auto"/>
            <w:noWrap w:val="0"/>
            <w:vAlign w:val="center"/>
          </w:tcPr>
          <w:p w14:paraId="1758C26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00994C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82DDD9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8876D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DFE854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鹊鸲Cosychus saularis</w:t>
            </w:r>
          </w:p>
        </w:tc>
        <w:tc>
          <w:tcPr>
            <w:tcW w:w="1716" w:type="dxa"/>
            <w:tcBorders>
              <w:right w:val="single" w:color="auto" w:sz="4" w:space="0"/>
            </w:tcBorders>
            <w:shd w:val="clear" w:color="auto" w:fill="auto"/>
            <w:noWrap w:val="0"/>
            <w:vAlign w:val="center"/>
          </w:tcPr>
          <w:p w14:paraId="3C0F7CC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68D743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D6E776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1D3145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1CD787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白额燕尾Enicurus leschenaulti</w:t>
            </w:r>
          </w:p>
        </w:tc>
        <w:tc>
          <w:tcPr>
            <w:tcW w:w="1716" w:type="dxa"/>
            <w:tcBorders>
              <w:right w:val="single" w:color="auto" w:sz="4" w:space="0"/>
            </w:tcBorders>
            <w:shd w:val="clear" w:color="auto" w:fill="auto"/>
            <w:noWrap w:val="0"/>
            <w:vAlign w:val="center"/>
          </w:tcPr>
          <w:p w14:paraId="20F5CA9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4D75B41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2B552F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73D214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A82D77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小燕尾Enicurus scouleri</w:t>
            </w:r>
          </w:p>
        </w:tc>
        <w:tc>
          <w:tcPr>
            <w:tcW w:w="1716" w:type="dxa"/>
            <w:tcBorders>
              <w:right w:val="single" w:color="auto" w:sz="4" w:space="0"/>
            </w:tcBorders>
            <w:shd w:val="clear" w:color="auto" w:fill="auto"/>
            <w:noWrap w:val="0"/>
            <w:vAlign w:val="center"/>
          </w:tcPr>
          <w:p w14:paraId="6A6AB33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C81BA7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60AFC6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5FF489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0BB3BB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乌鸫Turdus melula</w:t>
            </w:r>
          </w:p>
        </w:tc>
        <w:tc>
          <w:tcPr>
            <w:tcW w:w="1716" w:type="dxa"/>
            <w:tcBorders>
              <w:right w:val="single" w:color="auto" w:sz="4" w:space="0"/>
            </w:tcBorders>
            <w:shd w:val="clear" w:color="auto" w:fill="auto"/>
            <w:noWrap w:val="0"/>
            <w:vAlign w:val="center"/>
          </w:tcPr>
          <w:p w14:paraId="4C03B4C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4AB52B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49CA73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118B0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D27AE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24.画眉科Timalidae：3种</w:t>
            </w:r>
          </w:p>
        </w:tc>
        <w:tc>
          <w:tcPr>
            <w:tcW w:w="1716" w:type="dxa"/>
            <w:tcBorders>
              <w:right w:val="single" w:color="auto" w:sz="4" w:space="0"/>
            </w:tcBorders>
            <w:shd w:val="clear" w:color="auto" w:fill="auto"/>
            <w:noWrap w:val="0"/>
            <w:vAlign w:val="center"/>
          </w:tcPr>
          <w:p w14:paraId="704A319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DFC2EF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ADDE9D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1AB7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08B5F8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白颊噪鹛Garrulax sanniv</w:t>
            </w:r>
          </w:p>
        </w:tc>
        <w:tc>
          <w:tcPr>
            <w:tcW w:w="1716" w:type="dxa"/>
            <w:tcBorders>
              <w:right w:val="single" w:color="auto" w:sz="4" w:space="0"/>
            </w:tcBorders>
            <w:shd w:val="clear" w:color="auto" w:fill="auto"/>
            <w:noWrap w:val="0"/>
            <w:vAlign w:val="center"/>
          </w:tcPr>
          <w:p w14:paraId="57E0A99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501C67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A59AE4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3045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9E5DE5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黑脸噪鹛Garrulax perspicilliatus</w:t>
            </w:r>
          </w:p>
        </w:tc>
        <w:tc>
          <w:tcPr>
            <w:tcW w:w="1716" w:type="dxa"/>
            <w:tcBorders>
              <w:right w:val="single" w:color="auto" w:sz="4" w:space="0"/>
            </w:tcBorders>
            <w:shd w:val="clear" w:color="auto" w:fill="auto"/>
            <w:noWrap w:val="0"/>
            <w:vAlign w:val="center"/>
          </w:tcPr>
          <w:p w14:paraId="05B0C47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120BBC2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902EA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3BB11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6492C3A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黑领噪鹛Garrulax pectoralis</w:t>
            </w:r>
          </w:p>
        </w:tc>
        <w:tc>
          <w:tcPr>
            <w:tcW w:w="1716" w:type="dxa"/>
            <w:tcBorders>
              <w:right w:val="single" w:color="auto" w:sz="4" w:space="0"/>
            </w:tcBorders>
            <w:shd w:val="clear" w:color="auto" w:fill="auto"/>
            <w:noWrap w:val="0"/>
            <w:vAlign w:val="center"/>
          </w:tcPr>
          <w:p w14:paraId="61A2E80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5166620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45F0190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6EFC43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A44634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25.鸦雀科Paradoxornithidae</w:t>
            </w:r>
          </w:p>
        </w:tc>
        <w:tc>
          <w:tcPr>
            <w:tcW w:w="1716" w:type="dxa"/>
            <w:tcBorders>
              <w:right w:val="single" w:color="auto" w:sz="4" w:space="0"/>
            </w:tcBorders>
            <w:shd w:val="clear" w:color="auto" w:fill="auto"/>
            <w:noWrap w:val="0"/>
            <w:vAlign w:val="center"/>
          </w:tcPr>
          <w:p w14:paraId="1FA03EB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B8713A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5AF8AE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0655A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5D0BC9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灰头鸦雀Paradoxornis gularidis</w:t>
            </w:r>
          </w:p>
        </w:tc>
        <w:tc>
          <w:tcPr>
            <w:tcW w:w="1716" w:type="dxa"/>
            <w:tcBorders>
              <w:right w:val="single" w:color="auto" w:sz="4" w:space="0"/>
            </w:tcBorders>
            <w:shd w:val="clear" w:color="auto" w:fill="auto"/>
            <w:noWrap w:val="0"/>
            <w:vAlign w:val="center"/>
          </w:tcPr>
          <w:p w14:paraId="055546C8">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FEAE93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542C06D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01646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BD3DF0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26.莺科Sylviidae</w:t>
            </w:r>
          </w:p>
        </w:tc>
        <w:tc>
          <w:tcPr>
            <w:tcW w:w="1716" w:type="dxa"/>
            <w:tcBorders>
              <w:right w:val="single" w:color="auto" w:sz="4" w:space="0"/>
            </w:tcBorders>
            <w:shd w:val="clear" w:color="auto" w:fill="auto"/>
            <w:noWrap w:val="0"/>
            <w:vAlign w:val="center"/>
          </w:tcPr>
          <w:p w14:paraId="3E5DBE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753E35D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7B6B00C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E2A77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83" w:hRule="atLeast"/>
        </w:trPr>
        <w:tc>
          <w:tcPr>
            <w:tcW w:w="3609" w:type="dxa"/>
            <w:shd w:val="clear" w:color="auto" w:fill="auto"/>
            <w:noWrap w:val="0"/>
            <w:vAlign w:val="top"/>
          </w:tcPr>
          <w:p w14:paraId="156D76C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黄腰柳莺Phylloscopus proregulus</w:t>
            </w:r>
          </w:p>
        </w:tc>
        <w:tc>
          <w:tcPr>
            <w:tcW w:w="1716" w:type="dxa"/>
            <w:tcBorders>
              <w:right w:val="single" w:color="auto" w:sz="4" w:space="0"/>
            </w:tcBorders>
            <w:shd w:val="clear" w:color="auto" w:fill="auto"/>
            <w:noWrap w:val="0"/>
            <w:vAlign w:val="center"/>
          </w:tcPr>
          <w:p w14:paraId="49126A2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OR</w:t>
            </w:r>
          </w:p>
        </w:tc>
        <w:tc>
          <w:tcPr>
            <w:tcW w:w="1475" w:type="dxa"/>
            <w:tcBorders>
              <w:left w:val="single" w:color="auto" w:sz="4" w:space="0"/>
            </w:tcBorders>
            <w:shd w:val="clear" w:color="auto" w:fill="auto"/>
            <w:noWrap w:val="0"/>
            <w:vAlign w:val="center"/>
          </w:tcPr>
          <w:p w14:paraId="2824CA7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292500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23C399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12CC50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27</w:t>
            </w:r>
            <w:r>
              <w:rPr>
                <w:rFonts w:hint="default" w:ascii="Times New Roman" w:hAnsi="Times New Roman" w:eastAsia="宋体" w:cs="Times New Roman"/>
                <w:color w:val="auto"/>
                <w:kern w:val="2"/>
                <w:sz w:val="21"/>
                <w:szCs w:val="24"/>
                <w:lang w:val="pt-BR" w:eastAsia="zh-CN" w:bidi="ar-SA"/>
              </w:rPr>
              <w:t>.</w:t>
            </w:r>
            <w:r>
              <w:rPr>
                <w:rFonts w:hint="default" w:ascii="Times New Roman" w:hAnsi="Times New Roman" w:eastAsia="宋体" w:cs="Times New Roman"/>
                <w:color w:val="auto"/>
                <w:kern w:val="2"/>
                <w:sz w:val="21"/>
                <w:szCs w:val="24"/>
                <w:lang w:val="en-US" w:eastAsia="zh-CN" w:bidi="ar-SA"/>
              </w:rPr>
              <w:t>鹟科</w:t>
            </w:r>
            <w:r>
              <w:rPr>
                <w:rFonts w:hint="default" w:ascii="Times New Roman" w:hAnsi="Times New Roman" w:eastAsia="宋体" w:cs="Times New Roman"/>
                <w:color w:val="auto"/>
                <w:kern w:val="2"/>
                <w:sz w:val="21"/>
                <w:szCs w:val="24"/>
                <w:lang w:val="pt-BR" w:eastAsia="zh-CN" w:bidi="ar-SA"/>
              </w:rPr>
              <w:t>Muscicapidae</w:t>
            </w:r>
          </w:p>
        </w:tc>
        <w:tc>
          <w:tcPr>
            <w:tcW w:w="1716" w:type="dxa"/>
            <w:tcBorders>
              <w:right w:val="single" w:color="auto" w:sz="4" w:space="0"/>
            </w:tcBorders>
            <w:shd w:val="clear" w:color="auto" w:fill="auto"/>
            <w:noWrap w:val="0"/>
            <w:vAlign w:val="center"/>
          </w:tcPr>
          <w:p w14:paraId="012A16E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410CAE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D42306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3E368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6F135C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乌鹟Muscicapa sibirica</w:t>
            </w:r>
          </w:p>
        </w:tc>
        <w:tc>
          <w:tcPr>
            <w:tcW w:w="1716" w:type="dxa"/>
            <w:tcBorders>
              <w:right w:val="single" w:color="auto" w:sz="4" w:space="0"/>
            </w:tcBorders>
            <w:shd w:val="clear" w:color="auto" w:fill="auto"/>
            <w:noWrap w:val="0"/>
            <w:vAlign w:val="center"/>
          </w:tcPr>
          <w:p w14:paraId="18A1A2C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78A13B2">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◎日</w:t>
            </w:r>
          </w:p>
        </w:tc>
        <w:tc>
          <w:tcPr>
            <w:tcW w:w="1420" w:type="dxa"/>
            <w:shd w:val="clear" w:color="auto" w:fill="auto"/>
            <w:noWrap w:val="0"/>
            <w:vAlign w:val="center"/>
          </w:tcPr>
          <w:p w14:paraId="6713F44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37B3A5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4E3CC41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28</w:t>
            </w:r>
            <w:r>
              <w:rPr>
                <w:rFonts w:hint="default" w:ascii="Times New Roman" w:hAnsi="Times New Roman" w:eastAsia="宋体" w:cs="Times New Roman"/>
                <w:color w:val="auto"/>
                <w:kern w:val="2"/>
                <w:sz w:val="21"/>
                <w:szCs w:val="24"/>
                <w:lang w:val="pt-BR" w:eastAsia="zh-CN" w:bidi="ar-SA"/>
              </w:rPr>
              <w:t>.</w:t>
            </w:r>
            <w:r>
              <w:rPr>
                <w:rFonts w:hint="default" w:ascii="Times New Roman" w:hAnsi="Times New Roman" w:eastAsia="宋体" w:cs="Times New Roman"/>
                <w:color w:val="auto"/>
                <w:kern w:val="2"/>
                <w:sz w:val="21"/>
                <w:szCs w:val="24"/>
                <w:lang w:val="en-US" w:eastAsia="zh-CN" w:bidi="ar-SA"/>
              </w:rPr>
              <w:t>山雀科</w:t>
            </w:r>
            <w:r>
              <w:rPr>
                <w:rFonts w:hint="default" w:ascii="Times New Roman" w:hAnsi="Times New Roman" w:eastAsia="宋体" w:cs="Times New Roman"/>
                <w:color w:val="auto"/>
                <w:kern w:val="2"/>
                <w:sz w:val="21"/>
                <w:szCs w:val="24"/>
                <w:lang w:val="pt-BR" w:eastAsia="zh-CN" w:bidi="ar-SA"/>
              </w:rPr>
              <w:t>Paridae</w:t>
            </w:r>
          </w:p>
        </w:tc>
        <w:tc>
          <w:tcPr>
            <w:tcW w:w="1716" w:type="dxa"/>
            <w:tcBorders>
              <w:right w:val="single" w:color="auto" w:sz="4" w:space="0"/>
            </w:tcBorders>
            <w:shd w:val="clear" w:color="auto" w:fill="auto"/>
            <w:noWrap w:val="0"/>
            <w:vAlign w:val="center"/>
          </w:tcPr>
          <w:p w14:paraId="2D91B47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3E0B05C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DE5FE9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29F526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566EEDD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大山雀Parus major</w:t>
            </w:r>
          </w:p>
        </w:tc>
        <w:tc>
          <w:tcPr>
            <w:tcW w:w="1716" w:type="dxa"/>
            <w:tcBorders>
              <w:right w:val="single" w:color="auto" w:sz="4" w:space="0"/>
            </w:tcBorders>
            <w:shd w:val="clear" w:color="auto" w:fill="auto"/>
            <w:noWrap w:val="0"/>
            <w:vAlign w:val="center"/>
          </w:tcPr>
          <w:p w14:paraId="4DBE39B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3A2302B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1474C11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43EDF0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4F7E2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29.雀科Fringillidae</w:t>
            </w:r>
          </w:p>
        </w:tc>
        <w:tc>
          <w:tcPr>
            <w:tcW w:w="1716" w:type="dxa"/>
            <w:tcBorders>
              <w:right w:val="single" w:color="auto" w:sz="4" w:space="0"/>
            </w:tcBorders>
            <w:shd w:val="clear" w:color="auto" w:fill="auto"/>
            <w:noWrap w:val="0"/>
            <w:vAlign w:val="center"/>
          </w:tcPr>
          <w:p w14:paraId="7FECEE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4D7C75E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0CF7F7F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6EEEB3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A86245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麻雀Passer montanus saturatus</w:t>
            </w:r>
          </w:p>
        </w:tc>
        <w:tc>
          <w:tcPr>
            <w:tcW w:w="1716" w:type="dxa"/>
            <w:tcBorders>
              <w:right w:val="single" w:color="auto" w:sz="4" w:space="0"/>
            </w:tcBorders>
            <w:shd w:val="clear" w:color="auto" w:fill="auto"/>
            <w:noWrap w:val="0"/>
            <w:vAlign w:val="center"/>
          </w:tcPr>
          <w:p w14:paraId="4950C91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09BC42B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3754EE1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15E9C5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3FCE84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30.梅花雀科Estrididae</w:t>
            </w:r>
          </w:p>
        </w:tc>
        <w:tc>
          <w:tcPr>
            <w:tcW w:w="1716" w:type="dxa"/>
            <w:tcBorders>
              <w:right w:val="single" w:color="auto" w:sz="4" w:space="0"/>
            </w:tcBorders>
            <w:shd w:val="clear" w:color="auto" w:fill="auto"/>
            <w:noWrap w:val="0"/>
            <w:vAlign w:val="center"/>
          </w:tcPr>
          <w:p w14:paraId="7902CA4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4414AC5B">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355F7F3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4D77CA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61525A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白腰文鸟Lonchura striata swinhoei</w:t>
            </w:r>
          </w:p>
        </w:tc>
        <w:tc>
          <w:tcPr>
            <w:tcW w:w="1716" w:type="dxa"/>
            <w:tcBorders>
              <w:right w:val="single" w:color="auto" w:sz="4" w:space="0"/>
            </w:tcBorders>
            <w:shd w:val="clear" w:color="auto" w:fill="auto"/>
            <w:noWrap w:val="0"/>
            <w:vAlign w:val="center"/>
          </w:tcPr>
          <w:p w14:paraId="34D1DA1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50B584A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68F2468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4BE39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783848D1">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31.燕雀科Faingillidae</w:t>
            </w:r>
          </w:p>
        </w:tc>
        <w:tc>
          <w:tcPr>
            <w:tcW w:w="1716" w:type="dxa"/>
            <w:tcBorders>
              <w:right w:val="single" w:color="auto" w:sz="4" w:space="0"/>
            </w:tcBorders>
            <w:shd w:val="clear" w:color="auto" w:fill="auto"/>
            <w:noWrap w:val="0"/>
            <w:vAlign w:val="center"/>
          </w:tcPr>
          <w:p w14:paraId="60C601C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2DF79D99">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4B3B8B5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49D52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65D9D6C3">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黑尾蜡嘴雀Eophona personata</w:t>
            </w:r>
          </w:p>
        </w:tc>
        <w:tc>
          <w:tcPr>
            <w:tcW w:w="1716" w:type="dxa"/>
            <w:tcBorders>
              <w:right w:val="single" w:color="auto" w:sz="4" w:space="0"/>
            </w:tcBorders>
            <w:shd w:val="clear" w:color="auto" w:fill="auto"/>
            <w:noWrap w:val="0"/>
            <w:vAlign w:val="center"/>
          </w:tcPr>
          <w:p w14:paraId="6EACAEBD">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H</w:t>
            </w:r>
          </w:p>
        </w:tc>
        <w:tc>
          <w:tcPr>
            <w:tcW w:w="1475" w:type="dxa"/>
            <w:tcBorders>
              <w:left w:val="single" w:color="auto" w:sz="4" w:space="0"/>
            </w:tcBorders>
            <w:shd w:val="clear" w:color="auto" w:fill="auto"/>
            <w:noWrap w:val="0"/>
            <w:vAlign w:val="center"/>
          </w:tcPr>
          <w:p w14:paraId="49306A9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60110BD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07AFCE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0B0ED11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32.鹀科Emberizidae：2种</w:t>
            </w:r>
          </w:p>
        </w:tc>
        <w:tc>
          <w:tcPr>
            <w:tcW w:w="1716" w:type="dxa"/>
            <w:tcBorders>
              <w:right w:val="single" w:color="auto" w:sz="4" w:space="0"/>
            </w:tcBorders>
            <w:shd w:val="clear" w:color="auto" w:fill="auto"/>
            <w:noWrap w:val="0"/>
            <w:vAlign w:val="center"/>
          </w:tcPr>
          <w:p w14:paraId="08E84F3C">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75" w:type="dxa"/>
            <w:tcBorders>
              <w:left w:val="single" w:color="auto" w:sz="4" w:space="0"/>
            </w:tcBorders>
            <w:shd w:val="clear" w:color="auto" w:fill="auto"/>
            <w:noWrap w:val="0"/>
            <w:vAlign w:val="center"/>
          </w:tcPr>
          <w:p w14:paraId="4FD1812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c>
          <w:tcPr>
            <w:tcW w:w="1420" w:type="dxa"/>
            <w:shd w:val="clear" w:color="auto" w:fill="auto"/>
            <w:noWrap w:val="0"/>
            <w:vAlign w:val="center"/>
          </w:tcPr>
          <w:p w14:paraId="2695C66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p>
        </w:tc>
      </w:tr>
      <w:tr w14:paraId="7C098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9208B80">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小鹀Emberiza pusilla</w:t>
            </w:r>
          </w:p>
        </w:tc>
        <w:tc>
          <w:tcPr>
            <w:tcW w:w="1716" w:type="dxa"/>
            <w:tcBorders>
              <w:right w:val="single" w:color="auto" w:sz="4" w:space="0"/>
            </w:tcBorders>
            <w:shd w:val="clear" w:color="auto" w:fill="auto"/>
            <w:noWrap w:val="0"/>
            <w:vAlign w:val="center"/>
          </w:tcPr>
          <w:p w14:paraId="7A176146">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PR</w:t>
            </w:r>
          </w:p>
        </w:tc>
        <w:tc>
          <w:tcPr>
            <w:tcW w:w="1475" w:type="dxa"/>
            <w:tcBorders>
              <w:left w:val="single" w:color="auto" w:sz="4" w:space="0"/>
            </w:tcBorders>
            <w:shd w:val="clear" w:color="auto" w:fill="auto"/>
            <w:noWrap w:val="0"/>
            <w:vAlign w:val="center"/>
          </w:tcPr>
          <w:p w14:paraId="66F7056E">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00BB103F">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r>
      <w:tr w14:paraId="4FDEED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3609" w:type="dxa"/>
            <w:shd w:val="clear" w:color="auto" w:fill="auto"/>
            <w:noWrap w:val="0"/>
            <w:vAlign w:val="top"/>
          </w:tcPr>
          <w:p w14:paraId="29602C3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三道眉草鹀Emberiza aureola</w:t>
            </w:r>
          </w:p>
        </w:tc>
        <w:tc>
          <w:tcPr>
            <w:tcW w:w="1716" w:type="dxa"/>
            <w:tcBorders>
              <w:right w:val="single" w:color="auto" w:sz="4" w:space="0"/>
            </w:tcBorders>
            <w:shd w:val="clear" w:color="auto" w:fill="auto"/>
            <w:noWrap w:val="0"/>
            <w:vAlign w:val="center"/>
          </w:tcPr>
          <w:p w14:paraId="7171B56A">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PR</w:t>
            </w:r>
          </w:p>
        </w:tc>
        <w:tc>
          <w:tcPr>
            <w:tcW w:w="1475" w:type="dxa"/>
            <w:tcBorders>
              <w:left w:val="single" w:color="auto" w:sz="4" w:space="0"/>
            </w:tcBorders>
            <w:shd w:val="clear" w:color="auto" w:fill="auto"/>
            <w:noWrap w:val="0"/>
            <w:vAlign w:val="center"/>
          </w:tcPr>
          <w:p w14:paraId="597892B7">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w:t>
            </w:r>
          </w:p>
        </w:tc>
        <w:tc>
          <w:tcPr>
            <w:tcW w:w="1420" w:type="dxa"/>
            <w:shd w:val="clear" w:color="auto" w:fill="auto"/>
            <w:noWrap w:val="0"/>
            <w:vAlign w:val="center"/>
          </w:tcPr>
          <w:p w14:paraId="276627B4">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r>
      <w:tr w14:paraId="0E9EAC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trPr>
        <w:tc>
          <w:tcPr>
            <w:tcW w:w="8220" w:type="dxa"/>
            <w:gridSpan w:val="4"/>
            <w:noWrap w:val="0"/>
            <w:vAlign w:val="top"/>
          </w:tcPr>
          <w:p w14:paraId="2CEC2895">
            <w:pPr>
              <w:pStyle w:val="41"/>
              <w:keepNext w:val="0"/>
              <w:keepLines w:val="0"/>
              <w:pageBreakBefore w:val="0"/>
              <w:widowControl/>
              <w:kinsoku/>
              <w:wordWrap/>
              <w:overflowPunct/>
              <w:topLinePunct w:val="0"/>
              <w:autoSpaceDE/>
              <w:autoSpaceDN/>
              <w:bidi w:val="0"/>
              <w:adjustRightInd/>
              <w:snapToGrid/>
              <w:spacing w:line="240" w:lineRule="auto"/>
              <w:ind w:right="0" w:rightChars="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注：区系：H-广布种，OR-东洋界，PR-古北界。◎-国家公布的“三有”动物。资料来源：1：观察到或听到叫鸣声，2：以往记载；3：访问调查。</w:t>
            </w:r>
          </w:p>
        </w:tc>
      </w:tr>
    </w:tbl>
    <w:p w14:paraId="722C496F">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616" w:name="_Toc11274"/>
      <w:bookmarkStart w:id="617" w:name="_Toc26819"/>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.5.6 </w:t>
      </w:r>
      <w:r>
        <w:rPr>
          <w:rFonts w:hint="default" w:ascii="Times New Roman" w:hAnsi="Times New Roman" w:eastAsia="宋体" w:cs="Times New Roman"/>
          <w:color w:val="auto"/>
          <w:sz w:val="24"/>
          <w:szCs w:val="24"/>
          <w:u w:val="none" w:color="auto"/>
        </w:rPr>
        <w:t>水生生物调查</w:t>
      </w:r>
      <w:bookmarkEnd w:id="616"/>
      <w:bookmarkEnd w:id="617"/>
    </w:p>
    <w:p w14:paraId="691833EF">
      <w:pPr>
        <w:pageBreakBefore w:val="0"/>
        <w:kinsoku/>
        <w:wordWrap/>
        <w:overflowPunct/>
        <w:topLinePunct w:val="0"/>
        <w:bidi w:val="0"/>
        <w:spacing w:before="0" w:after="0" w:line="360" w:lineRule="auto"/>
        <w:outlineLvl w:val="9"/>
        <w:rPr>
          <w:rFonts w:hint="default" w:ascii="Times New Roman" w:hAnsi="Times New Roman" w:eastAsia="宋体" w:cs="Times New Roman"/>
          <w:color w:val="auto"/>
          <w:sz w:val="24"/>
          <w:szCs w:val="24"/>
        </w:rPr>
      </w:pPr>
      <w:bookmarkStart w:id="618" w:name="_Toc26831"/>
      <w:r>
        <w:rPr>
          <w:rFonts w:hint="default" w:ascii="Times New Roman" w:hAnsi="Times New Roman" w:eastAsia="宋体" w:cs="Times New Roman"/>
          <w:color w:val="auto"/>
          <w:sz w:val="24"/>
          <w:szCs w:val="24"/>
          <w:lang w:val="en-US" w:eastAsia="zh-CN"/>
        </w:rPr>
        <w:t>（1）鱼类</w:t>
      </w:r>
      <w:bookmarkEnd w:id="618"/>
    </w:p>
    <w:p w14:paraId="13AA8321">
      <w:pPr>
        <w:pageBreakBefore w:val="0"/>
        <w:kinsoku/>
        <w:wordWrap/>
        <w:overflowPunct/>
        <w:topLinePunct w:val="0"/>
        <w:bidi w:val="0"/>
        <w:spacing w:line="360" w:lineRule="auto"/>
        <w:ind w:firstLine="560"/>
        <w:outlineLvl w:val="9"/>
        <w:rPr>
          <w:rFonts w:hint="default" w:ascii="Times New Roman" w:hAnsi="Times New Roman" w:eastAsia="宋体" w:cs="Times New Roman"/>
          <w:b/>
          <w:bCs/>
          <w:color w:val="auto"/>
          <w:sz w:val="24"/>
          <w:szCs w:val="24"/>
          <w:u w:val="none" w:color="auto"/>
        </w:rPr>
      </w:pPr>
      <w:bookmarkStart w:id="619" w:name="_Toc23475"/>
      <w:r>
        <w:rPr>
          <w:rFonts w:hint="default" w:ascii="Times New Roman" w:hAnsi="Times New Roman" w:eastAsia="宋体" w:cs="Times New Roman"/>
          <w:b/>
          <w:bCs/>
          <w:color w:val="auto"/>
          <w:sz w:val="24"/>
          <w:szCs w:val="24"/>
          <w:u w:val="none" w:color="auto"/>
        </w:rPr>
        <w:t>1、鱼类资源状况</w:t>
      </w:r>
      <w:bookmarkEnd w:id="619"/>
    </w:p>
    <w:p w14:paraId="2199640F">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根据湖南省全省进行的鱼类资源普查在东洞庭湖共计调查到鱼类102种，隶属于8目19科，占湖南鱼类总数（183种）的55.2%。鲤科鱼类最多，为55种，占东洞庭湖鱼类总数的53.9%，其次为鲿科</w:t>
      </w:r>
      <w:r>
        <w:rPr>
          <w:rFonts w:hint="default" w:ascii="Times New Roman" w:hAnsi="Times New Roman" w:eastAsia="宋体" w:cs="Times New Roman"/>
          <w:iCs/>
          <w:color w:val="auto"/>
          <w:sz w:val="24"/>
          <w:szCs w:val="24"/>
          <w:u w:val="none" w:color="auto"/>
        </w:rPr>
        <w:t>（</w:t>
      </w:r>
      <w:r>
        <w:rPr>
          <w:rFonts w:hint="default" w:ascii="Times New Roman" w:hAnsi="Times New Roman" w:eastAsia="宋体" w:cs="Times New Roman"/>
          <w:i/>
          <w:iCs w:val="0"/>
          <w:color w:val="auto"/>
          <w:sz w:val="24"/>
          <w:szCs w:val="24"/>
          <w:u w:val="none" w:color="auto"/>
        </w:rPr>
        <w:t>Bagridae</w:t>
      </w:r>
      <w:r>
        <w:rPr>
          <w:rFonts w:hint="default" w:ascii="Times New Roman" w:hAnsi="Times New Roman" w:eastAsia="宋体" w:cs="Times New Roman"/>
          <w:iCs/>
          <w:color w:val="auto"/>
          <w:sz w:val="24"/>
          <w:szCs w:val="24"/>
          <w:u w:val="none" w:color="auto"/>
        </w:rPr>
        <w:t>）</w:t>
      </w:r>
      <w:r>
        <w:rPr>
          <w:rFonts w:hint="default" w:ascii="Times New Roman" w:hAnsi="Times New Roman" w:eastAsia="宋体" w:cs="Times New Roman"/>
          <w:color w:val="auto"/>
          <w:sz w:val="24"/>
          <w:szCs w:val="24"/>
          <w:u w:val="none" w:color="auto"/>
        </w:rPr>
        <w:t>和花鳅科</w:t>
      </w:r>
      <w:r>
        <w:rPr>
          <w:rFonts w:hint="default" w:ascii="Times New Roman" w:hAnsi="Times New Roman" w:eastAsia="宋体" w:cs="Times New Roman"/>
          <w:iCs/>
          <w:color w:val="auto"/>
          <w:sz w:val="24"/>
          <w:szCs w:val="24"/>
          <w:u w:val="none" w:color="auto"/>
        </w:rPr>
        <w:t>（</w:t>
      </w:r>
      <w:r>
        <w:rPr>
          <w:rFonts w:hint="default" w:ascii="Times New Roman" w:hAnsi="Times New Roman" w:eastAsia="宋体" w:cs="Times New Roman"/>
          <w:i/>
          <w:iCs w:val="0"/>
          <w:color w:val="auto"/>
          <w:sz w:val="24"/>
          <w:szCs w:val="24"/>
          <w:u w:val="none" w:color="auto"/>
        </w:rPr>
        <w:t>Cobitidae</w:t>
      </w:r>
      <w:r>
        <w:rPr>
          <w:rFonts w:hint="default" w:ascii="Times New Roman" w:hAnsi="Times New Roman" w:eastAsia="宋体" w:cs="Times New Roman"/>
          <w:iCs/>
          <w:color w:val="auto"/>
          <w:sz w:val="24"/>
          <w:szCs w:val="24"/>
          <w:u w:val="none" w:color="auto"/>
        </w:rPr>
        <w:t>）</w:t>
      </w:r>
      <w:r>
        <w:rPr>
          <w:rFonts w:hint="default" w:ascii="Times New Roman" w:hAnsi="Times New Roman" w:eastAsia="宋体" w:cs="Times New Roman"/>
          <w:color w:val="auto"/>
          <w:sz w:val="24"/>
          <w:szCs w:val="24"/>
          <w:u w:val="none" w:color="auto"/>
        </w:rPr>
        <w:t>，分别有10种和9种，分别占东洞庭湖鱼类总数的9.8%和8.8%；其余16科共计28种，占东洞庭湖鱼类总数的27.5%。</w:t>
      </w:r>
      <w:r>
        <w:rPr>
          <w:rFonts w:hint="default" w:ascii="Times New Roman" w:hAnsi="Times New Roman" w:eastAsia="宋体" w:cs="Times New Roman"/>
          <w:bCs/>
          <w:color w:val="auto"/>
          <w:sz w:val="24"/>
          <w:szCs w:val="24"/>
          <w:u w:val="none" w:color="auto"/>
        </w:rPr>
        <w:t>东洞庭湖鱼类组成见</w:t>
      </w:r>
      <w:r>
        <w:rPr>
          <w:rFonts w:hint="default" w:ascii="Times New Roman" w:hAnsi="Times New Roman" w:eastAsia="宋体" w:cs="Times New Roman"/>
          <w:bCs/>
          <w:color w:val="auto"/>
          <w:sz w:val="24"/>
          <w:szCs w:val="24"/>
          <w:u w:val="none" w:color="auto"/>
          <w:lang w:val="en-US" w:eastAsia="zh-CN"/>
        </w:rPr>
        <w:t>下表</w:t>
      </w:r>
      <w:r>
        <w:rPr>
          <w:rFonts w:hint="default" w:ascii="Times New Roman" w:hAnsi="Times New Roman" w:eastAsia="宋体" w:cs="Times New Roman"/>
          <w:bCs/>
          <w:color w:val="auto"/>
          <w:sz w:val="24"/>
          <w:szCs w:val="24"/>
          <w:u w:val="none" w:color="auto"/>
        </w:rPr>
        <w:t>。</w:t>
      </w:r>
    </w:p>
    <w:p w14:paraId="6260D18E">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表4.5-</w:t>
      </w:r>
      <w:r>
        <w:rPr>
          <w:rFonts w:hint="default" w:ascii="Times New Roman" w:hAnsi="Times New Roman" w:eastAsia="宋体" w:cs="Times New Roman"/>
          <w:color w:val="auto"/>
          <w:sz w:val="24"/>
          <w:szCs w:val="24"/>
          <w:u w:val="none" w:color="auto"/>
          <w:lang w:val="en-US" w:eastAsia="zh-CN"/>
        </w:rPr>
        <w:t>2</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东洞庭湖鱼类组成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946"/>
        <w:gridCol w:w="720"/>
        <w:gridCol w:w="835"/>
        <w:gridCol w:w="834"/>
        <w:gridCol w:w="833"/>
        <w:gridCol w:w="1143"/>
        <w:gridCol w:w="523"/>
        <w:gridCol w:w="835"/>
        <w:gridCol w:w="833"/>
        <w:gridCol w:w="834"/>
      </w:tblGrid>
      <w:tr w14:paraId="202714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vMerge w:val="restart"/>
            <w:noWrap w:val="0"/>
            <w:vAlign w:val="center"/>
          </w:tcPr>
          <w:p w14:paraId="5588D6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科名</w:t>
            </w:r>
          </w:p>
        </w:tc>
        <w:tc>
          <w:tcPr>
            <w:tcW w:w="1555" w:type="dxa"/>
            <w:gridSpan w:val="2"/>
            <w:noWrap w:val="0"/>
            <w:vAlign w:val="center"/>
          </w:tcPr>
          <w:p w14:paraId="540221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20世纪</w:t>
            </w:r>
          </w:p>
        </w:tc>
        <w:tc>
          <w:tcPr>
            <w:tcW w:w="1667" w:type="dxa"/>
            <w:gridSpan w:val="2"/>
            <w:vMerge w:val="restart"/>
            <w:noWrap w:val="0"/>
            <w:vAlign w:val="center"/>
          </w:tcPr>
          <w:p w14:paraId="13A1A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2008年以后</w:t>
            </w:r>
          </w:p>
        </w:tc>
        <w:tc>
          <w:tcPr>
            <w:tcW w:w="1143" w:type="dxa"/>
            <w:vMerge w:val="restart"/>
            <w:noWrap w:val="0"/>
            <w:vAlign w:val="center"/>
          </w:tcPr>
          <w:p w14:paraId="05009E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科名</w:t>
            </w:r>
          </w:p>
        </w:tc>
        <w:tc>
          <w:tcPr>
            <w:tcW w:w="1358" w:type="dxa"/>
            <w:gridSpan w:val="2"/>
            <w:noWrap w:val="0"/>
            <w:vAlign w:val="center"/>
          </w:tcPr>
          <w:p w14:paraId="64914D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20世纪</w:t>
            </w:r>
          </w:p>
        </w:tc>
        <w:tc>
          <w:tcPr>
            <w:tcW w:w="1667" w:type="dxa"/>
            <w:gridSpan w:val="2"/>
            <w:vMerge w:val="restart"/>
            <w:noWrap w:val="0"/>
            <w:vAlign w:val="center"/>
          </w:tcPr>
          <w:p w14:paraId="04D6F2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2008年以后</w:t>
            </w:r>
          </w:p>
        </w:tc>
      </w:tr>
      <w:tr w14:paraId="0079D9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vMerge w:val="continue"/>
            <w:noWrap w:val="0"/>
            <w:vAlign w:val="center"/>
          </w:tcPr>
          <w:p w14:paraId="55578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u w:val="none" w:color="auto"/>
              </w:rPr>
            </w:pPr>
          </w:p>
        </w:tc>
        <w:tc>
          <w:tcPr>
            <w:tcW w:w="1555" w:type="dxa"/>
            <w:gridSpan w:val="2"/>
            <w:noWrap w:val="0"/>
            <w:vAlign w:val="center"/>
          </w:tcPr>
          <w:p w14:paraId="4373E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70-80年代</w:t>
            </w:r>
          </w:p>
        </w:tc>
        <w:tc>
          <w:tcPr>
            <w:tcW w:w="1667" w:type="dxa"/>
            <w:gridSpan w:val="2"/>
            <w:vMerge w:val="continue"/>
            <w:noWrap w:val="0"/>
            <w:vAlign w:val="center"/>
          </w:tcPr>
          <w:p w14:paraId="090774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u w:val="none" w:color="auto"/>
              </w:rPr>
            </w:pPr>
          </w:p>
        </w:tc>
        <w:tc>
          <w:tcPr>
            <w:tcW w:w="1143" w:type="dxa"/>
            <w:vMerge w:val="continue"/>
            <w:noWrap w:val="0"/>
            <w:vAlign w:val="center"/>
          </w:tcPr>
          <w:p w14:paraId="2B3581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p>
        </w:tc>
        <w:tc>
          <w:tcPr>
            <w:tcW w:w="1358" w:type="dxa"/>
            <w:gridSpan w:val="2"/>
            <w:noWrap w:val="0"/>
            <w:vAlign w:val="center"/>
          </w:tcPr>
          <w:p w14:paraId="1A9F9B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70-80年代</w:t>
            </w:r>
          </w:p>
        </w:tc>
        <w:tc>
          <w:tcPr>
            <w:tcW w:w="1667" w:type="dxa"/>
            <w:gridSpan w:val="2"/>
            <w:vMerge w:val="continue"/>
            <w:noWrap w:val="0"/>
            <w:vAlign w:val="center"/>
          </w:tcPr>
          <w:p w14:paraId="082295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u w:val="none" w:color="auto"/>
              </w:rPr>
            </w:pPr>
          </w:p>
        </w:tc>
      </w:tr>
      <w:tr w14:paraId="5FB094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vMerge w:val="continue"/>
            <w:noWrap w:val="0"/>
            <w:vAlign w:val="center"/>
          </w:tcPr>
          <w:p w14:paraId="1EA0F4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u w:val="none" w:color="auto"/>
              </w:rPr>
            </w:pPr>
          </w:p>
        </w:tc>
        <w:tc>
          <w:tcPr>
            <w:tcW w:w="720" w:type="dxa"/>
            <w:noWrap w:val="0"/>
            <w:vAlign w:val="center"/>
          </w:tcPr>
          <w:p w14:paraId="605339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种数</w:t>
            </w:r>
          </w:p>
        </w:tc>
        <w:tc>
          <w:tcPr>
            <w:tcW w:w="835" w:type="dxa"/>
            <w:noWrap w:val="0"/>
            <w:vAlign w:val="center"/>
          </w:tcPr>
          <w:p w14:paraId="3C3CF7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百分比</w:t>
            </w:r>
          </w:p>
        </w:tc>
        <w:tc>
          <w:tcPr>
            <w:tcW w:w="834" w:type="dxa"/>
            <w:noWrap w:val="0"/>
            <w:vAlign w:val="center"/>
          </w:tcPr>
          <w:p w14:paraId="1C867E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种数</w:t>
            </w:r>
          </w:p>
        </w:tc>
        <w:tc>
          <w:tcPr>
            <w:tcW w:w="833" w:type="dxa"/>
            <w:noWrap w:val="0"/>
            <w:vAlign w:val="center"/>
          </w:tcPr>
          <w:p w14:paraId="032D12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百分比</w:t>
            </w:r>
          </w:p>
        </w:tc>
        <w:tc>
          <w:tcPr>
            <w:tcW w:w="1143" w:type="dxa"/>
            <w:vMerge w:val="continue"/>
            <w:noWrap w:val="0"/>
            <w:vAlign w:val="center"/>
          </w:tcPr>
          <w:p w14:paraId="72E5D9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523" w:type="dxa"/>
            <w:noWrap w:val="0"/>
            <w:vAlign w:val="center"/>
          </w:tcPr>
          <w:p w14:paraId="02C9A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种数</w:t>
            </w:r>
          </w:p>
        </w:tc>
        <w:tc>
          <w:tcPr>
            <w:tcW w:w="835" w:type="dxa"/>
            <w:noWrap w:val="0"/>
            <w:vAlign w:val="center"/>
          </w:tcPr>
          <w:p w14:paraId="5FD2A9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百分比</w:t>
            </w:r>
          </w:p>
        </w:tc>
        <w:tc>
          <w:tcPr>
            <w:tcW w:w="833" w:type="dxa"/>
            <w:noWrap w:val="0"/>
            <w:vAlign w:val="center"/>
          </w:tcPr>
          <w:p w14:paraId="683625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种数</w:t>
            </w:r>
          </w:p>
        </w:tc>
        <w:tc>
          <w:tcPr>
            <w:tcW w:w="834" w:type="dxa"/>
            <w:noWrap w:val="0"/>
            <w:vAlign w:val="center"/>
          </w:tcPr>
          <w:p w14:paraId="748080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百分比</w:t>
            </w:r>
          </w:p>
        </w:tc>
      </w:tr>
      <w:tr w14:paraId="47F4C93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1177FE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鲟科</w:t>
            </w:r>
          </w:p>
        </w:tc>
        <w:tc>
          <w:tcPr>
            <w:tcW w:w="720" w:type="dxa"/>
            <w:noWrap w:val="0"/>
            <w:vAlign w:val="center"/>
          </w:tcPr>
          <w:p w14:paraId="2863EC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5AE150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7B5DD4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6011F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64EB4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鲇科</w:t>
            </w:r>
          </w:p>
        </w:tc>
        <w:tc>
          <w:tcPr>
            <w:tcW w:w="523" w:type="dxa"/>
            <w:noWrap w:val="0"/>
            <w:vAlign w:val="center"/>
          </w:tcPr>
          <w:p w14:paraId="6976C9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835" w:type="dxa"/>
            <w:noWrap w:val="0"/>
            <w:vAlign w:val="center"/>
          </w:tcPr>
          <w:p w14:paraId="58F4A0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1.7</w:t>
            </w:r>
          </w:p>
        </w:tc>
        <w:tc>
          <w:tcPr>
            <w:tcW w:w="833" w:type="dxa"/>
            <w:noWrap w:val="0"/>
            <w:vAlign w:val="center"/>
          </w:tcPr>
          <w:p w14:paraId="703BF2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834" w:type="dxa"/>
            <w:noWrap w:val="0"/>
            <w:vAlign w:val="center"/>
          </w:tcPr>
          <w:p w14:paraId="048DB1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r>
      <w:tr w14:paraId="1F293F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0A119A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长吻鲟科</w:t>
            </w:r>
          </w:p>
        </w:tc>
        <w:tc>
          <w:tcPr>
            <w:tcW w:w="720" w:type="dxa"/>
            <w:noWrap w:val="0"/>
            <w:vAlign w:val="center"/>
          </w:tcPr>
          <w:p w14:paraId="5EFE85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770E84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1BE472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3" w:type="dxa"/>
            <w:noWrap w:val="0"/>
            <w:vAlign w:val="center"/>
          </w:tcPr>
          <w:p w14:paraId="52CC72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143" w:type="dxa"/>
            <w:noWrap w:val="0"/>
            <w:vAlign w:val="center"/>
          </w:tcPr>
          <w:p w14:paraId="7522F5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胡子鲇科</w:t>
            </w:r>
          </w:p>
        </w:tc>
        <w:tc>
          <w:tcPr>
            <w:tcW w:w="523" w:type="dxa"/>
            <w:noWrap w:val="0"/>
            <w:vAlign w:val="center"/>
          </w:tcPr>
          <w:p w14:paraId="4C483A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5" w:type="dxa"/>
            <w:noWrap w:val="0"/>
            <w:vAlign w:val="center"/>
          </w:tcPr>
          <w:p w14:paraId="05A7FF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3" w:type="dxa"/>
            <w:noWrap w:val="0"/>
            <w:vAlign w:val="center"/>
          </w:tcPr>
          <w:p w14:paraId="40320D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4" w:type="dxa"/>
            <w:noWrap w:val="0"/>
            <w:vAlign w:val="center"/>
          </w:tcPr>
          <w:p w14:paraId="05EBCA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r>
      <w:tr w14:paraId="454475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0B6098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鲱科</w:t>
            </w:r>
          </w:p>
        </w:tc>
        <w:tc>
          <w:tcPr>
            <w:tcW w:w="720" w:type="dxa"/>
            <w:noWrap w:val="0"/>
            <w:vAlign w:val="center"/>
          </w:tcPr>
          <w:p w14:paraId="38AA21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04B13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66B14B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3" w:type="dxa"/>
            <w:noWrap w:val="0"/>
            <w:vAlign w:val="center"/>
          </w:tcPr>
          <w:p w14:paraId="01650F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143" w:type="dxa"/>
            <w:noWrap w:val="0"/>
            <w:vAlign w:val="center"/>
          </w:tcPr>
          <w:p w14:paraId="5D39F3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鲿科</w:t>
            </w:r>
          </w:p>
        </w:tc>
        <w:tc>
          <w:tcPr>
            <w:tcW w:w="523" w:type="dxa"/>
            <w:noWrap w:val="0"/>
            <w:vAlign w:val="center"/>
          </w:tcPr>
          <w:p w14:paraId="2A4F89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w:t>
            </w:r>
          </w:p>
        </w:tc>
        <w:tc>
          <w:tcPr>
            <w:tcW w:w="835" w:type="dxa"/>
            <w:noWrap w:val="0"/>
            <w:vAlign w:val="center"/>
          </w:tcPr>
          <w:p w14:paraId="452796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7.8</w:t>
            </w:r>
          </w:p>
        </w:tc>
        <w:tc>
          <w:tcPr>
            <w:tcW w:w="833" w:type="dxa"/>
            <w:noWrap w:val="0"/>
            <w:vAlign w:val="center"/>
          </w:tcPr>
          <w:p w14:paraId="5732D1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10</w:t>
            </w:r>
          </w:p>
        </w:tc>
        <w:tc>
          <w:tcPr>
            <w:tcW w:w="834" w:type="dxa"/>
            <w:noWrap w:val="0"/>
            <w:vAlign w:val="center"/>
          </w:tcPr>
          <w:p w14:paraId="6F19DF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9.8</w:t>
            </w:r>
          </w:p>
        </w:tc>
      </w:tr>
      <w:tr w14:paraId="2C80FA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34AE77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鯷科</w:t>
            </w:r>
          </w:p>
        </w:tc>
        <w:tc>
          <w:tcPr>
            <w:tcW w:w="720" w:type="dxa"/>
            <w:noWrap w:val="0"/>
            <w:vAlign w:val="center"/>
          </w:tcPr>
          <w:p w14:paraId="27B65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1D8A3E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7AAC5E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3EB304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6A84BA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鮡科</w:t>
            </w:r>
          </w:p>
        </w:tc>
        <w:tc>
          <w:tcPr>
            <w:tcW w:w="523" w:type="dxa"/>
            <w:noWrap w:val="0"/>
            <w:vAlign w:val="center"/>
          </w:tcPr>
          <w:p w14:paraId="644234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7FB514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5226DC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4" w:type="dxa"/>
            <w:noWrap w:val="0"/>
            <w:vAlign w:val="center"/>
          </w:tcPr>
          <w:p w14:paraId="2D4B7C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r>
      <w:tr w14:paraId="00F15B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5B0A9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胡瓜鱼科</w:t>
            </w:r>
          </w:p>
        </w:tc>
        <w:tc>
          <w:tcPr>
            <w:tcW w:w="720" w:type="dxa"/>
            <w:noWrap w:val="0"/>
            <w:vAlign w:val="center"/>
          </w:tcPr>
          <w:p w14:paraId="6AF89C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5" w:type="dxa"/>
            <w:noWrap w:val="0"/>
            <w:vAlign w:val="center"/>
          </w:tcPr>
          <w:p w14:paraId="1E3C1A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3.4</w:t>
            </w:r>
          </w:p>
        </w:tc>
        <w:tc>
          <w:tcPr>
            <w:tcW w:w="834" w:type="dxa"/>
            <w:noWrap w:val="0"/>
            <w:vAlign w:val="center"/>
          </w:tcPr>
          <w:p w14:paraId="3B01FC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3" w:type="dxa"/>
            <w:noWrap w:val="0"/>
            <w:vAlign w:val="center"/>
          </w:tcPr>
          <w:p w14:paraId="2C1E6C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3.9</w:t>
            </w:r>
          </w:p>
        </w:tc>
        <w:tc>
          <w:tcPr>
            <w:tcW w:w="1143" w:type="dxa"/>
            <w:noWrap w:val="0"/>
            <w:vAlign w:val="center"/>
          </w:tcPr>
          <w:p w14:paraId="1BE525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鮨鲈科</w:t>
            </w:r>
          </w:p>
        </w:tc>
        <w:tc>
          <w:tcPr>
            <w:tcW w:w="523" w:type="dxa"/>
            <w:noWrap w:val="0"/>
            <w:vAlign w:val="center"/>
          </w:tcPr>
          <w:p w14:paraId="7495AD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5" w:type="dxa"/>
            <w:noWrap w:val="0"/>
            <w:vAlign w:val="center"/>
          </w:tcPr>
          <w:p w14:paraId="6A461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3.4</w:t>
            </w:r>
          </w:p>
        </w:tc>
        <w:tc>
          <w:tcPr>
            <w:tcW w:w="833" w:type="dxa"/>
            <w:noWrap w:val="0"/>
            <w:vAlign w:val="center"/>
          </w:tcPr>
          <w:p w14:paraId="5ECFA9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4" w:type="dxa"/>
            <w:noWrap w:val="0"/>
            <w:vAlign w:val="center"/>
          </w:tcPr>
          <w:p w14:paraId="5E3D9F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3.9</w:t>
            </w:r>
          </w:p>
        </w:tc>
      </w:tr>
      <w:tr w14:paraId="0FF0EB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669F5E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鳗鲡科</w:t>
            </w:r>
          </w:p>
        </w:tc>
        <w:tc>
          <w:tcPr>
            <w:tcW w:w="720" w:type="dxa"/>
            <w:noWrap w:val="0"/>
            <w:vAlign w:val="center"/>
          </w:tcPr>
          <w:p w14:paraId="6D7C9F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76DC4E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73E778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3" w:type="dxa"/>
            <w:noWrap w:val="0"/>
            <w:vAlign w:val="center"/>
          </w:tcPr>
          <w:p w14:paraId="66EFF2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143" w:type="dxa"/>
            <w:noWrap w:val="0"/>
            <w:vAlign w:val="center"/>
          </w:tcPr>
          <w:p w14:paraId="62C35E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沙塘鳢科</w:t>
            </w:r>
          </w:p>
        </w:tc>
        <w:tc>
          <w:tcPr>
            <w:tcW w:w="523" w:type="dxa"/>
            <w:noWrap w:val="0"/>
            <w:vAlign w:val="center"/>
          </w:tcPr>
          <w:p w14:paraId="72F033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835" w:type="dxa"/>
            <w:noWrap w:val="0"/>
            <w:vAlign w:val="center"/>
          </w:tcPr>
          <w:p w14:paraId="423A23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1.7</w:t>
            </w:r>
          </w:p>
        </w:tc>
        <w:tc>
          <w:tcPr>
            <w:tcW w:w="833" w:type="dxa"/>
            <w:noWrap w:val="0"/>
            <w:vAlign w:val="center"/>
          </w:tcPr>
          <w:p w14:paraId="44DC67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834" w:type="dxa"/>
            <w:noWrap w:val="0"/>
            <w:vAlign w:val="center"/>
          </w:tcPr>
          <w:p w14:paraId="1AF5F5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r>
      <w:tr w14:paraId="0A1457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5EE260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合鳃鱼科</w:t>
            </w:r>
          </w:p>
        </w:tc>
        <w:tc>
          <w:tcPr>
            <w:tcW w:w="720" w:type="dxa"/>
            <w:noWrap w:val="0"/>
            <w:vAlign w:val="center"/>
          </w:tcPr>
          <w:p w14:paraId="3AC56C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0604A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5950B3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5F234A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0444F2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虾虎鱼科</w:t>
            </w:r>
          </w:p>
        </w:tc>
        <w:tc>
          <w:tcPr>
            <w:tcW w:w="523" w:type="dxa"/>
            <w:noWrap w:val="0"/>
            <w:vAlign w:val="center"/>
          </w:tcPr>
          <w:p w14:paraId="5589A8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5" w:type="dxa"/>
            <w:noWrap w:val="0"/>
            <w:vAlign w:val="center"/>
          </w:tcPr>
          <w:p w14:paraId="12145A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3.4</w:t>
            </w:r>
          </w:p>
        </w:tc>
        <w:tc>
          <w:tcPr>
            <w:tcW w:w="833" w:type="dxa"/>
            <w:noWrap w:val="0"/>
            <w:vAlign w:val="center"/>
          </w:tcPr>
          <w:p w14:paraId="0F352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w:t>
            </w:r>
          </w:p>
        </w:tc>
        <w:tc>
          <w:tcPr>
            <w:tcW w:w="834" w:type="dxa"/>
            <w:noWrap w:val="0"/>
            <w:vAlign w:val="center"/>
          </w:tcPr>
          <w:p w14:paraId="483B55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3.9</w:t>
            </w:r>
          </w:p>
        </w:tc>
      </w:tr>
      <w:tr w14:paraId="424D9C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3BB9BC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刺鳅科</w:t>
            </w:r>
          </w:p>
        </w:tc>
        <w:tc>
          <w:tcPr>
            <w:tcW w:w="720" w:type="dxa"/>
            <w:noWrap w:val="0"/>
            <w:vAlign w:val="center"/>
          </w:tcPr>
          <w:p w14:paraId="578B55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21A719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074A18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54AAA8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3BD963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斗鱼科</w:t>
            </w:r>
          </w:p>
        </w:tc>
        <w:tc>
          <w:tcPr>
            <w:tcW w:w="523" w:type="dxa"/>
            <w:noWrap w:val="0"/>
            <w:vAlign w:val="center"/>
          </w:tcPr>
          <w:p w14:paraId="267A2C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20DD89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65F0AD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834" w:type="dxa"/>
            <w:noWrap w:val="0"/>
            <w:vAlign w:val="center"/>
          </w:tcPr>
          <w:p w14:paraId="1FC086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r>
      <w:tr w14:paraId="2F59BB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7FE3E9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胭脂鱼科</w:t>
            </w:r>
          </w:p>
        </w:tc>
        <w:tc>
          <w:tcPr>
            <w:tcW w:w="720" w:type="dxa"/>
            <w:noWrap w:val="0"/>
            <w:vAlign w:val="center"/>
          </w:tcPr>
          <w:p w14:paraId="4F5C6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2EFA24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21FEA8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68E5C6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3EBB72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鳢科</w:t>
            </w:r>
          </w:p>
        </w:tc>
        <w:tc>
          <w:tcPr>
            <w:tcW w:w="523" w:type="dxa"/>
            <w:noWrap w:val="0"/>
            <w:vAlign w:val="center"/>
          </w:tcPr>
          <w:p w14:paraId="468FD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3638F0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767A3C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4" w:type="dxa"/>
            <w:noWrap w:val="0"/>
            <w:vAlign w:val="center"/>
          </w:tcPr>
          <w:p w14:paraId="05B7B5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r>
      <w:tr w14:paraId="25A9A1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0BF196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鲤科</w:t>
            </w:r>
          </w:p>
        </w:tc>
        <w:tc>
          <w:tcPr>
            <w:tcW w:w="720" w:type="dxa"/>
            <w:noWrap w:val="0"/>
            <w:vAlign w:val="center"/>
          </w:tcPr>
          <w:p w14:paraId="1EB40E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66</w:t>
            </w:r>
          </w:p>
        </w:tc>
        <w:tc>
          <w:tcPr>
            <w:tcW w:w="835" w:type="dxa"/>
            <w:noWrap w:val="0"/>
            <w:vAlign w:val="center"/>
          </w:tcPr>
          <w:p w14:paraId="3510BA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56.9</w:t>
            </w:r>
          </w:p>
        </w:tc>
        <w:tc>
          <w:tcPr>
            <w:tcW w:w="834" w:type="dxa"/>
            <w:noWrap w:val="0"/>
            <w:vAlign w:val="center"/>
          </w:tcPr>
          <w:p w14:paraId="76291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55</w:t>
            </w:r>
          </w:p>
        </w:tc>
        <w:tc>
          <w:tcPr>
            <w:tcW w:w="833" w:type="dxa"/>
            <w:noWrap w:val="0"/>
            <w:vAlign w:val="center"/>
          </w:tcPr>
          <w:p w14:paraId="426AC8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53.9</w:t>
            </w:r>
          </w:p>
        </w:tc>
        <w:tc>
          <w:tcPr>
            <w:tcW w:w="1143" w:type="dxa"/>
            <w:noWrap w:val="0"/>
            <w:vAlign w:val="center"/>
          </w:tcPr>
          <w:p w14:paraId="6B357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大颌鱂科</w:t>
            </w:r>
          </w:p>
        </w:tc>
        <w:tc>
          <w:tcPr>
            <w:tcW w:w="523" w:type="dxa"/>
            <w:noWrap w:val="0"/>
            <w:vAlign w:val="center"/>
          </w:tcPr>
          <w:p w14:paraId="4CF399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4F851A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5BD07A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4" w:type="dxa"/>
            <w:noWrap w:val="0"/>
            <w:vAlign w:val="center"/>
          </w:tcPr>
          <w:p w14:paraId="55E3AC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4C1E6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08755D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花鳅科</w:t>
            </w:r>
          </w:p>
        </w:tc>
        <w:tc>
          <w:tcPr>
            <w:tcW w:w="720" w:type="dxa"/>
            <w:noWrap w:val="0"/>
            <w:vAlign w:val="center"/>
          </w:tcPr>
          <w:p w14:paraId="0EE360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10</w:t>
            </w:r>
          </w:p>
        </w:tc>
        <w:tc>
          <w:tcPr>
            <w:tcW w:w="835" w:type="dxa"/>
            <w:noWrap w:val="0"/>
            <w:vAlign w:val="center"/>
          </w:tcPr>
          <w:p w14:paraId="173F0D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8.6</w:t>
            </w:r>
          </w:p>
        </w:tc>
        <w:tc>
          <w:tcPr>
            <w:tcW w:w="834" w:type="dxa"/>
            <w:noWrap w:val="0"/>
            <w:vAlign w:val="center"/>
          </w:tcPr>
          <w:p w14:paraId="46100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w:t>
            </w:r>
          </w:p>
        </w:tc>
        <w:tc>
          <w:tcPr>
            <w:tcW w:w="833" w:type="dxa"/>
            <w:noWrap w:val="0"/>
            <w:vAlign w:val="center"/>
          </w:tcPr>
          <w:p w14:paraId="024CE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8.8</w:t>
            </w:r>
          </w:p>
        </w:tc>
        <w:tc>
          <w:tcPr>
            <w:tcW w:w="1143" w:type="dxa"/>
            <w:noWrap w:val="0"/>
            <w:vAlign w:val="center"/>
          </w:tcPr>
          <w:p w14:paraId="3783B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鱵科</w:t>
            </w:r>
          </w:p>
        </w:tc>
        <w:tc>
          <w:tcPr>
            <w:tcW w:w="523" w:type="dxa"/>
            <w:noWrap w:val="0"/>
            <w:vAlign w:val="center"/>
          </w:tcPr>
          <w:p w14:paraId="20E3BB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38586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5E4D60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4" w:type="dxa"/>
            <w:noWrap w:val="0"/>
            <w:vAlign w:val="center"/>
          </w:tcPr>
          <w:p w14:paraId="418916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r>
      <w:tr w14:paraId="21731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946" w:type="dxa"/>
            <w:noWrap w:val="0"/>
            <w:vAlign w:val="center"/>
          </w:tcPr>
          <w:p w14:paraId="4457E5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爬鳅科</w:t>
            </w:r>
          </w:p>
        </w:tc>
        <w:tc>
          <w:tcPr>
            <w:tcW w:w="720" w:type="dxa"/>
            <w:noWrap w:val="0"/>
            <w:vAlign w:val="center"/>
          </w:tcPr>
          <w:p w14:paraId="5DE24D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5E1D8B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4" w:type="dxa"/>
            <w:noWrap w:val="0"/>
            <w:vAlign w:val="center"/>
          </w:tcPr>
          <w:p w14:paraId="669B97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3" w:type="dxa"/>
            <w:noWrap w:val="0"/>
            <w:vAlign w:val="center"/>
          </w:tcPr>
          <w:p w14:paraId="3CCA85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1143" w:type="dxa"/>
            <w:noWrap w:val="0"/>
            <w:vAlign w:val="center"/>
          </w:tcPr>
          <w:p w14:paraId="3185D5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鲀科</w:t>
            </w:r>
          </w:p>
        </w:tc>
        <w:tc>
          <w:tcPr>
            <w:tcW w:w="523" w:type="dxa"/>
            <w:noWrap w:val="0"/>
            <w:vAlign w:val="center"/>
          </w:tcPr>
          <w:p w14:paraId="5806FF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835" w:type="dxa"/>
            <w:noWrap w:val="0"/>
            <w:vAlign w:val="center"/>
          </w:tcPr>
          <w:p w14:paraId="26DD2B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0.9</w:t>
            </w:r>
          </w:p>
        </w:tc>
        <w:tc>
          <w:tcPr>
            <w:tcW w:w="833" w:type="dxa"/>
            <w:noWrap w:val="0"/>
            <w:vAlign w:val="center"/>
          </w:tcPr>
          <w:p w14:paraId="68336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834" w:type="dxa"/>
            <w:noWrap w:val="0"/>
            <w:vAlign w:val="center"/>
          </w:tcPr>
          <w:p w14:paraId="64DD68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bl>
    <w:p w14:paraId="16CE449D">
      <w:pPr>
        <w:pageBreakBefore w:val="0"/>
        <w:kinsoku/>
        <w:wordWrap/>
        <w:overflowPunct/>
        <w:topLinePunct w:val="0"/>
        <w:bidi w:val="0"/>
        <w:spacing w:line="360" w:lineRule="auto"/>
        <w:ind w:firstLine="560"/>
        <w:outlineLvl w:val="9"/>
        <w:rPr>
          <w:rFonts w:hint="default" w:ascii="Times New Roman" w:hAnsi="Times New Roman" w:eastAsia="宋体" w:cs="Times New Roman"/>
          <w:b/>
          <w:bCs/>
          <w:color w:val="auto"/>
          <w:sz w:val="24"/>
          <w:szCs w:val="24"/>
          <w:u w:val="none" w:color="auto"/>
        </w:rPr>
      </w:pPr>
      <w:bookmarkStart w:id="620" w:name="_Toc19952"/>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rPr>
        <w:t>、鱼类种类组成</w:t>
      </w:r>
      <w:bookmarkEnd w:id="620"/>
    </w:p>
    <w:p w14:paraId="33E57495">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疏浚工程涉及湘江，且项目涉及东洞庭湖长江江豚自然保护区。以东洞庭湖的历史鱼类记录为基础，综合各项目生态专题近期的调查成果和访问调查结果，总结出评价区水域有鱼类9目20科122种，其中鲤形目最多，为79种，鲇形目14种，鲈形目17种，鲑形目4种，鲱形目3种，颌针鱼目2种，合鳃鱼目、鲟形目、鳗鲡目各1种。</w:t>
      </w:r>
    </w:p>
    <w:p w14:paraId="330AC0BD">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表4.5-</w:t>
      </w:r>
      <w:r>
        <w:rPr>
          <w:rFonts w:hint="default" w:ascii="Times New Roman" w:hAnsi="Times New Roman" w:eastAsia="宋体" w:cs="Times New Roman"/>
          <w:color w:val="auto"/>
          <w:sz w:val="24"/>
          <w:szCs w:val="24"/>
          <w:lang w:val="en-US" w:eastAsia="zh-CN"/>
        </w:rPr>
        <w:t xml:space="preserve">22  </w:t>
      </w:r>
      <w:r>
        <w:rPr>
          <w:rFonts w:hint="default" w:ascii="Times New Roman" w:hAnsi="Times New Roman" w:eastAsia="宋体" w:cs="Times New Roman"/>
          <w:color w:val="auto"/>
          <w:sz w:val="24"/>
          <w:szCs w:val="24"/>
        </w:rPr>
        <w:t>鱼类名录</w:t>
      </w:r>
    </w:p>
    <w:tbl>
      <w:tblPr>
        <w:tblStyle w:val="64"/>
        <w:tblW w:w="85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1719"/>
        <w:gridCol w:w="2494"/>
        <w:gridCol w:w="1308"/>
        <w:gridCol w:w="1045"/>
        <w:gridCol w:w="1059"/>
      </w:tblGrid>
      <w:tr w14:paraId="3650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0B9EE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序号</w:t>
            </w:r>
          </w:p>
        </w:tc>
        <w:tc>
          <w:tcPr>
            <w:tcW w:w="1719" w:type="dxa"/>
            <w:noWrap w:val="0"/>
            <w:vAlign w:val="center"/>
          </w:tcPr>
          <w:p w14:paraId="1E187E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中文名</w:t>
            </w:r>
          </w:p>
        </w:tc>
        <w:tc>
          <w:tcPr>
            <w:tcW w:w="2494" w:type="dxa"/>
            <w:noWrap w:val="0"/>
            <w:vAlign w:val="center"/>
          </w:tcPr>
          <w:p w14:paraId="1DF04B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拉丁名</w:t>
            </w:r>
          </w:p>
        </w:tc>
        <w:tc>
          <w:tcPr>
            <w:tcW w:w="1308" w:type="dxa"/>
            <w:noWrap w:val="0"/>
            <w:vAlign w:val="center"/>
          </w:tcPr>
          <w:p w14:paraId="4D1633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历史记</w:t>
            </w:r>
            <w:r>
              <w:rPr>
                <w:rFonts w:hint="default" w:ascii="Times New Roman" w:hAnsi="Times New Roman" w:eastAsia="宋体" w:cs="Times New Roman"/>
                <w:color w:val="auto"/>
                <w:spacing w:val="7"/>
                <w:sz w:val="21"/>
                <w:szCs w:val="21"/>
              </w:rPr>
              <w:t>录</w:t>
            </w:r>
          </w:p>
        </w:tc>
        <w:tc>
          <w:tcPr>
            <w:tcW w:w="1045" w:type="dxa"/>
            <w:noWrap w:val="0"/>
            <w:vAlign w:val="center"/>
          </w:tcPr>
          <w:p w14:paraId="184D15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近期调</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7"/>
                <w:sz w:val="21"/>
                <w:szCs w:val="21"/>
              </w:rPr>
              <w:t>查结</w:t>
            </w:r>
            <w:r>
              <w:rPr>
                <w:rFonts w:hint="default" w:ascii="Times New Roman" w:hAnsi="Times New Roman" w:eastAsia="宋体" w:cs="Times New Roman"/>
                <w:color w:val="auto"/>
                <w:spacing w:val="6"/>
                <w:sz w:val="21"/>
                <w:szCs w:val="21"/>
              </w:rPr>
              <w:t>果</w:t>
            </w:r>
          </w:p>
        </w:tc>
        <w:tc>
          <w:tcPr>
            <w:tcW w:w="1059" w:type="dxa"/>
            <w:tcBorders>
              <w:right w:val="single" w:color="000000" w:sz="10" w:space="0"/>
            </w:tcBorders>
            <w:noWrap w:val="0"/>
            <w:vAlign w:val="center"/>
          </w:tcPr>
          <w:p w14:paraId="0004D5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现场调</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7"/>
                <w:sz w:val="21"/>
                <w:szCs w:val="21"/>
              </w:rPr>
              <w:t>查结</w:t>
            </w:r>
            <w:r>
              <w:rPr>
                <w:rFonts w:hint="default" w:ascii="Times New Roman" w:hAnsi="Times New Roman" w:eastAsia="宋体" w:cs="Times New Roman"/>
                <w:color w:val="auto"/>
                <w:spacing w:val="6"/>
                <w:sz w:val="21"/>
                <w:szCs w:val="21"/>
              </w:rPr>
              <w:t>果</w:t>
            </w:r>
          </w:p>
        </w:tc>
      </w:tr>
      <w:tr w14:paraId="4B47A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E303F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9"/>
                <w:position w:val="3"/>
                <w:sz w:val="21"/>
                <w:szCs w:val="21"/>
                <w:lang w:val="en-US" w:eastAsia="zh-CN"/>
              </w:rPr>
              <w:t>一</w:t>
            </w:r>
            <w:r>
              <w:rPr>
                <w:rFonts w:hint="default" w:ascii="Times New Roman" w:hAnsi="Times New Roman" w:eastAsia="宋体" w:cs="Times New Roman"/>
                <w:b/>
                <w:bCs/>
                <w:color w:val="auto"/>
                <w:spacing w:val="48"/>
                <w:position w:val="3"/>
                <w:sz w:val="21"/>
                <w:szCs w:val="21"/>
              </w:rPr>
              <w:t>、</w:t>
            </w:r>
          </w:p>
        </w:tc>
        <w:tc>
          <w:tcPr>
            <w:tcW w:w="1719" w:type="dxa"/>
            <w:noWrap w:val="0"/>
            <w:vAlign w:val="center"/>
          </w:tcPr>
          <w:p w14:paraId="751949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鲟形目</w:t>
            </w:r>
          </w:p>
        </w:tc>
        <w:tc>
          <w:tcPr>
            <w:tcW w:w="2494" w:type="dxa"/>
            <w:noWrap w:val="0"/>
            <w:vAlign w:val="center"/>
          </w:tcPr>
          <w:p w14:paraId="0EA5D3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8"/>
                <w:position w:val="4"/>
                <w:sz w:val="21"/>
                <w:szCs w:val="21"/>
              </w:rPr>
              <w:t>Ac</w:t>
            </w:r>
            <w:r>
              <w:rPr>
                <w:rFonts w:hint="default" w:ascii="Times New Roman" w:hAnsi="Times New Roman" w:eastAsia="宋体" w:cs="Times New Roman"/>
                <w:b/>
                <w:bCs/>
                <w:color w:val="auto"/>
                <w:spacing w:val="4"/>
                <w:position w:val="4"/>
                <w:sz w:val="21"/>
                <w:szCs w:val="21"/>
              </w:rPr>
              <w:t>ipenseriformes</w:t>
            </w:r>
          </w:p>
        </w:tc>
        <w:tc>
          <w:tcPr>
            <w:tcW w:w="1308" w:type="dxa"/>
            <w:noWrap w:val="0"/>
            <w:vAlign w:val="center"/>
          </w:tcPr>
          <w:p w14:paraId="37813E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6BCCBF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29DFEA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DDB6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F66E6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3"/>
                <w:sz w:val="21"/>
                <w:szCs w:val="21"/>
              </w:rPr>
              <w:t>(一)</w:t>
            </w:r>
          </w:p>
        </w:tc>
        <w:tc>
          <w:tcPr>
            <w:tcW w:w="1719" w:type="dxa"/>
            <w:noWrap w:val="0"/>
            <w:vAlign w:val="center"/>
          </w:tcPr>
          <w:p w14:paraId="38444D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鲟科</w:t>
            </w:r>
          </w:p>
        </w:tc>
        <w:tc>
          <w:tcPr>
            <w:tcW w:w="2494" w:type="dxa"/>
            <w:noWrap w:val="0"/>
            <w:vAlign w:val="center"/>
          </w:tcPr>
          <w:p w14:paraId="7A12DE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8"/>
                <w:position w:val="4"/>
                <w:sz w:val="21"/>
                <w:szCs w:val="21"/>
              </w:rPr>
              <w:t>A</w:t>
            </w:r>
            <w:r>
              <w:rPr>
                <w:rFonts w:hint="default" w:ascii="Times New Roman" w:hAnsi="Times New Roman" w:eastAsia="宋体" w:cs="Times New Roman"/>
                <w:b/>
                <w:bCs/>
                <w:color w:val="auto"/>
                <w:spacing w:val="6"/>
                <w:position w:val="4"/>
                <w:sz w:val="21"/>
                <w:szCs w:val="21"/>
              </w:rPr>
              <w:t>c</w:t>
            </w:r>
            <w:r>
              <w:rPr>
                <w:rFonts w:hint="default" w:ascii="Times New Roman" w:hAnsi="Times New Roman" w:eastAsia="宋体" w:cs="Times New Roman"/>
                <w:b/>
                <w:bCs/>
                <w:color w:val="auto"/>
                <w:spacing w:val="4"/>
                <w:position w:val="4"/>
                <w:sz w:val="21"/>
                <w:szCs w:val="21"/>
              </w:rPr>
              <w:t>ipenseridae</w:t>
            </w:r>
          </w:p>
        </w:tc>
        <w:tc>
          <w:tcPr>
            <w:tcW w:w="1308" w:type="dxa"/>
            <w:noWrap w:val="0"/>
            <w:vAlign w:val="center"/>
          </w:tcPr>
          <w:p w14:paraId="31021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25AAE6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42ECAA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297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6EA8C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w:t>
            </w:r>
            <w:r>
              <w:rPr>
                <w:rFonts w:hint="default" w:ascii="Times New Roman" w:hAnsi="Times New Roman" w:eastAsia="宋体" w:cs="Times New Roman"/>
                <w:color w:val="auto"/>
                <w:spacing w:val="-2"/>
                <w:sz w:val="21"/>
                <w:szCs w:val="21"/>
              </w:rPr>
              <w:t>.</w:t>
            </w:r>
          </w:p>
        </w:tc>
        <w:tc>
          <w:tcPr>
            <w:tcW w:w="1719" w:type="dxa"/>
            <w:noWrap w:val="0"/>
            <w:vAlign w:val="center"/>
          </w:tcPr>
          <w:p w14:paraId="6AF6C7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中</w:t>
            </w:r>
            <w:r>
              <w:rPr>
                <w:rFonts w:hint="default" w:ascii="Times New Roman" w:hAnsi="Times New Roman" w:eastAsia="宋体" w:cs="Times New Roman"/>
                <w:color w:val="auto"/>
                <w:sz w:val="21"/>
                <w:szCs w:val="21"/>
              </w:rPr>
              <w:t>华鲟</w:t>
            </w:r>
          </w:p>
        </w:tc>
        <w:tc>
          <w:tcPr>
            <w:tcW w:w="2494" w:type="dxa"/>
            <w:noWrap w:val="0"/>
            <w:vAlign w:val="center"/>
          </w:tcPr>
          <w:p w14:paraId="1E0FE5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Acipenseridae</w:t>
            </w:r>
            <w:r>
              <w:rPr>
                <w:rFonts w:hint="default" w:ascii="Times New Roman" w:hAnsi="Times New Roman" w:eastAsia="宋体" w:cs="Times New Roman"/>
                <w:color w:val="auto"/>
                <w:spacing w:val="99"/>
                <w:position w:val="4"/>
                <w:sz w:val="21"/>
                <w:szCs w:val="21"/>
              </w:rPr>
              <w:t xml:space="preserve"> </w:t>
            </w:r>
            <w:r>
              <w:rPr>
                <w:rFonts w:hint="default" w:ascii="Times New Roman" w:hAnsi="Times New Roman" w:eastAsia="宋体" w:cs="Times New Roman"/>
                <w:i/>
                <w:iCs/>
                <w:color w:val="auto"/>
                <w:position w:val="4"/>
                <w:sz w:val="21"/>
                <w:szCs w:val="21"/>
              </w:rPr>
              <w:t>sinensis</w:t>
            </w:r>
          </w:p>
        </w:tc>
        <w:tc>
          <w:tcPr>
            <w:tcW w:w="1308" w:type="dxa"/>
            <w:noWrap w:val="0"/>
            <w:vAlign w:val="center"/>
          </w:tcPr>
          <w:p w14:paraId="487EE6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86E29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543E3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35CC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EB3CA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二</w:t>
            </w:r>
            <w:r>
              <w:rPr>
                <w:rFonts w:hint="default" w:ascii="Times New Roman" w:hAnsi="Times New Roman" w:eastAsia="宋体" w:cs="Times New Roman"/>
                <w:b/>
                <w:bCs/>
                <w:color w:val="auto"/>
                <w:spacing w:val="-1"/>
                <w:sz w:val="21"/>
                <w:szCs w:val="21"/>
              </w:rPr>
              <w:t>、</w:t>
            </w:r>
          </w:p>
        </w:tc>
        <w:tc>
          <w:tcPr>
            <w:tcW w:w="1719" w:type="dxa"/>
            <w:noWrap w:val="0"/>
            <w:vAlign w:val="center"/>
          </w:tcPr>
          <w:p w14:paraId="1E6F41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9"/>
                <w:sz w:val="21"/>
                <w:szCs w:val="21"/>
              </w:rPr>
              <w:t>鲱</w:t>
            </w:r>
            <w:r>
              <w:rPr>
                <w:rFonts w:hint="default" w:ascii="Times New Roman" w:hAnsi="Times New Roman" w:eastAsia="宋体" w:cs="Times New Roman"/>
                <w:b/>
                <w:bCs/>
                <w:color w:val="auto"/>
                <w:spacing w:val="7"/>
                <w:sz w:val="21"/>
                <w:szCs w:val="21"/>
              </w:rPr>
              <w:t>形目</w:t>
            </w:r>
          </w:p>
        </w:tc>
        <w:tc>
          <w:tcPr>
            <w:tcW w:w="2494" w:type="dxa"/>
            <w:noWrap w:val="0"/>
            <w:vAlign w:val="center"/>
          </w:tcPr>
          <w:p w14:paraId="0B633B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position w:val="4"/>
                <w:sz w:val="21"/>
                <w:szCs w:val="21"/>
              </w:rPr>
              <w:t>Clupeiforme</w:t>
            </w:r>
            <w:r>
              <w:rPr>
                <w:rFonts w:hint="default" w:ascii="Times New Roman" w:hAnsi="Times New Roman" w:eastAsia="宋体" w:cs="Times New Roman"/>
                <w:b/>
                <w:bCs/>
                <w:color w:val="auto"/>
                <w:spacing w:val="3"/>
                <w:position w:val="4"/>
                <w:sz w:val="21"/>
                <w:szCs w:val="21"/>
              </w:rPr>
              <w:t>s</w:t>
            </w:r>
          </w:p>
        </w:tc>
        <w:tc>
          <w:tcPr>
            <w:tcW w:w="1308" w:type="dxa"/>
            <w:noWrap w:val="0"/>
            <w:vAlign w:val="center"/>
          </w:tcPr>
          <w:p w14:paraId="31474E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11E0A9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2A7E8E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566B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26470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3"/>
                <w:sz w:val="21"/>
                <w:szCs w:val="21"/>
              </w:rPr>
              <w:t>(二)</w:t>
            </w:r>
          </w:p>
        </w:tc>
        <w:tc>
          <w:tcPr>
            <w:tcW w:w="1719" w:type="dxa"/>
            <w:noWrap w:val="0"/>
            <w:vAlign w:val="center"/>
          </w:tcPr>
          <w:p w14:paraId="4236A7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鳀</w:t>
            </w:r>
            <w:r>
              <w:rPr>
                <w:rFonts w:hint="default" w:ascii="Times New Roman" w:hAnsi="Times New Roman" w:eastAsia="宋体" w:cs="Times New Roman"/>
                <w:color w:val="auto"/>
                <w:spacing w:val="6"/>
                <w:sz w:val="21"/>
                <w:szCs w:val="21"/>
              </w:rPr>
              <w:t>科</w:t>
            </w:r>
          </w:p>
        </w:tc>
        <w:tc>
          <w:tcPr>
            <w:tcW w:w="2494" w:type="dxa"/>
            <w:noWrap w:val="0"/>
            <w:vAlign w:val="center"/>
          </w:tcPr>
          <w:p w14:paraId="20B5FB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position w:val="4"/>
                <w:sz w:val="21"/>
                <w:szCs w:val="21"/>
              </w:rPr>
              <w:t>E</w:t>
            </w:r>
            <w:r>
              <w:rPr>
                <w:rFonts w:hint="default" w:ascii="Times New Roman" w:hAnsi="Times New Roman" w:eastAsia="宋体" w:cs="Times New Roman"/>
                <w:b/>
                <w:bCs/>
                <w:color w:val="auto"/>
                <w:spacing w:val="4"/>
                <w:position w:val="4"/>
                <w:sz w:val="21"/>
                <w:szCs w:val="21"/>
              </w:rPr>
              <w:t>ngraulidae</w:t>
            </w:r>
          </w:p>
        </w:tc>
        <w:tc>
          <w:tcPr>
            <w:tcW w:w="1308" w:type="dxa"/>
            <w:noWrap w:val="0"/>
            <w:vAlign w:val="center"/>
          </w:tcPr>
          <w:p w14:paraId="688916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734181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B3BC6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56E52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9A37D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2.</w:t>
            </w:r>
          </w:p>
        </w:tc>
        <w:tc>
          <w:tcPr>
            <w:tcW w:w="1719" w:type="dxa"/>
            <w:noWrap w:val="0"/>
            <w:vAlign w:val="center"/>
          </w:tcPr>
          <w:p w14:paraId="1BFD0E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刀鲚</w:t>
            </w:r>
          </w:p>
        </w:tc>
        <w:tc>
          <w:tcPr>
            <w:tcW w:w="2494" w:type="dxa"/>
            <w:noWrap w:val="0"/>
            <w:vAlign w:val="center"/>
          </w:tcPr>
          <w:p w14:paraId="583112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Coilia</w:t>
            </w:r>
            <w:r>
              <w:rPr>
                <w:rFonts w:hint="default" w:ascii="Times New Roman" w:hAnsi="Times New Roman" w:eastAsia="宋体" w:cs="Times New Roman"/>
                <w:color w:val="auto"/>
                <w:spacing w:val="35"/>
                <w:position w:val="2"/>
                <w:sz w:val="21"/>
                <w:szCs w:val="21"/>
              </w:rPr>
              <w:t xml:space="preserve"> </w:t>
            </w:r>
            <w:r>
              <w:rPr>
                <w:rFonts w:hint="default" w:ascii="Times New Roman" w:hAnsi="Times New Roman" w:eastAsia="宋体" w:cs="Times New Roman"/>
                <w:i/>
                <w:iCs/>
                <w:color w:val="auto"/>
                <w:position w:val="2"/>
                <w:sz w:val="21"/>
                <w:szCs w:val="21"/>
              </w:rPr>
              <w:t>nasus</w:t>
            </w:r>
          </w:p>
        </w:tc>
        <w:tc>
          <w:tcPr>
            <w:tcW w:w="1308" w:type="dxa"/>
            <w:noWrap w:val="0"/>
            <w:vAlign w:val="center"/>
          </w:tcPr>
          <w:p w14:paraId="56DA16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AF207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594ACE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69817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DAD20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w:t>
            </w:r>
            <w:r>
              <w:rPr>
                <w:rFonts w:hint="default" w:ascii="Times New Roman" w:hAnsi="Times New Roman" w:eastAsia="宋体" w:cs="Times New Roman"/>
                <w:color w:val="auto"/>
                <w:spacing w:val="5"/>
                <w:sz w:val="21"/>
                <w:szCs w:val="21"/>
              </w:rPr>
              <w:t>.</w:t>
            </w:r>
          </w:p>
        </w:tc>
        <w:tc>
          <w:tcPr>
            <w:tcW w:w="1719" w:type="dxa"/>
            <w:noWrap w:val="0"/>
            <w:vAlign w:val="center"/>
          </w:tcPr>
          <w:p w14:paraId="0F88A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短颌鲚</w:t>
            </w:r>
          </w:p>
        </w:tc>
        <w:tc>
          <w:tcPr>
            <w:tcW w:w="2494" w:type="dxa"/>
            <w:noWrap w:val="0"/>
            <w:vAlign w:val="center"/>
          </w:tcPr>
          <w:p w14:paraId="40C318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Coilia</w:t>
            </w:r>
            <w:r>
              <w:rPr>
                <w:rFonts w:hint="default" w:ascii="Times New Roman" w:hAnsi="Times New Roman" w:eastAsia="宋体" w:cs="Times New Roman"/>
                <w:color w:val="auto"/>
                <w:spacing w:val="73"/>
                <w:position w:val="4"/>
                <w:sz w:val="21"/>
                <w:szCs w:val="21"/>
              </w:rPr>
              <w:t xml:space="preserve"> </w:t>
            </w:r>
            <w:r>
              <w:rPr>
                <w:rFonts w:hint="default" w:ascii="Times New Roman" w:hAnsi="Times New Roman" w:eastAsia="宋体" w:cs="Times New Roman"/>
                <w:i/>
                <w:iCs/>
                <w:color w:val="auto"/>
                <w:position w:val="4"/>
                <w:sz w:val="21"/>
                <w:szCs w:val="21"/>
              </w:rPr>
              <w:t>brachygnathus</w:t>
            </w:r>
          </w:p>
        </w:tc>
        <w:tc>
          <w:tcPr>
            <w:tcW w:w="1308" w:type="dxa"/>
            <w:noWrap w:val="0"/>
            <w:vAlign w:val="center"/>
          </w:tcPr>
          <w:p w14:paraId="3F5919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5F5A6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486571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433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794AB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4</w:t>
            </w:r>
            <w:r>
              <w:rPr>
                <w:rFonts w:hint="default" w:ascii="Times New Roman" w:hAnsi="Times New Roman" w:eastAsia="宋体" w:cs="Times New Roman"/>
                <w:color w:val="auto"/>
                <w:spacing w:val="8"/>
                <w:sz w:val="21"/>
                <w:szCs w:val="21"/>
              </w:rPr>
              <w:t>.</w:t>
            </w:r>
          </w:p>
        </w:tc>
        <w:tc>
          <w:tcPr>
            <w:tcW w:w="1719" w:type="dxa"/>
            <w:noWrap w:val="0"/>
            <w:vAlign w:val="center"/>
          </w:tcPr>
          <w:p w14:paraId="6DA19E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鲥</w:t>
            </w:r>
          </w:p>
        </w:tc>
        <w:tc>
          <w:tcPr>
            <w:tcW w:w="2494" w:type="dxa"/>
            <w:noWrap w:val="0"/>
            <w:vAlign w:val="center"/>
          </w:tcPr>
          <w:p w14:paraId="5902D1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Tenualosa</w:t>
            </w:r>
            <w:r>
              <w:rPr>
                <w:rFonts w:hint="default" w:ascii="Times New Roman" w:hAnsi="Times New Roman" w:eastAsia="宋体" w:cs="Times New Roman"/>
                <w:color w:val="auto"/>
                <w:spacing w:val="33"/>
                <w:position w:val="2"/>
                <w:sz w:val="21"/>
                <w:szCs w:val="21"/>
              </w:rPr>
              <w:t xml:space="preserve"> </w:t>
            </w:r>
            <w:r>
              <w:rPr>
                <w:rFonts w:hint="default" w:ascii="Times New Roman" w:hAnsi="Times New Roman" w:eastAsia="宋体" w:cs="Times New Roman"/>
                <w:i/>
                <w:iCs/>
                <w:color w:val="auto"/>
                <w:position w:val="2"/>
                <w:sz w:val="21"/>
                <w:szCs w:val="21"/>
              </w:rPr>
              <w:t>reevesii</w:t>
            </w:r>
          </w:p>
        </w:tc>
        <w:tc>
          <w:tcPr>
            <w:tcW w:w="1308" w:type="dxa"/>
            <w:noWrap w:val="0"/>
            <w:vAlign w:val="center"/>
          </w:tcPr>
          <w:p w14:paraId="164EEE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85D13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922A8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276F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C9449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position w:val="1"/>
                <w:sz w:val="21"/>
                <w:szCs w:val="21"/>
              </w:rPr>
              <w:t>三、</w:t>
            </w:r>
          </w:p>
        </w:tc>
        <w:tc>
          <w:tcPr>
            <w:tcW w:w="1719" w:type="dxa"/>
            <w:noWrap w:val="0"/>
            <w:vAlign w:val="center"/>
          </w:tcPr>
          <w:p w14:paraId="4C217C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鲑形目</w:t>
            </w:r>
          </w:p>
        </w:tc>
        <w:tc>
          <w:tcPr>
            <w:tcW w:w="2494" w:type="dxa"/>
            <w:noWrap w:val="0"/>
            <w:vAlign w:val="center"/>
          </w:tcPr>
          <w:p w14:paraId="5DC21F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position w:val="2"/>
                <w:sz w:val="21"/>
                <w:szCs w:val="21"/>
              </w:rPr>
              <w:t>S</w:t>
            </w:r>
            <w:r>
              <w:rPr>
                <w:rFonts w:hint="default" w:ascii="Times New Roman" w:hAnsi="Times New Roman" w:eastAsia="宋体" w:cs="Times New Roman"/>
                <w:b/>
                <w:bCs/>
                <w:color w:val="auto"/>
                <w:spacing w:val="4"/>
                <w:position w:val="2"/>
                <w:sz w:val="21"/>
                <w:szCs w:val="21"/>
              </w:rPr>
              <w:t>almoniformes</w:t>
            </w:r>
          </w:p>
        </w:tc>
        <w:tc>
          <w:tcPr>
            <w:tcW w:w="1308" w:type="dxa"/>
            <w:noWrap w:val="0"/>
            <w:vAlign w:val="center"/>
          </w:tcPr>
          <w:p w14:paraId="196172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569954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C4864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594DF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5E2E5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3"/>
                <w:sz w:val="21"/>
                <w:szCs w:val="21"/>
              </w:rPr>
              <w:t>(三)</w:t>
            </w:r>
          </w:p>
        </w:tc>
        <w:tc>
          <w:tcPr>
            <w:tcW w:w="1719" w:type="dxa"/>
            <w:noWrap w:val="0"/>
            <w:vAlign w:val="center"/>
          </w:tcPr>
          <w:p w14:paraId="6B7E48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银</w:t>
            </w:r>
            <w:r>
              <w:rPr>
                <w:rFonts w:hint="default" w:ascii="Times New Roman" w:hAnsi="Times New Roman" w:eastAsia="宋体" w:cs="Times New Roman"/>
                <w:color w:val="auto"/>
                <w:spacing w:val="7"/>
                <w:sz w:val="21"/>
                <w:szCs w:val="21"/>
              </w:rPr>
              <w:t>鱼科</w:t>
            </w:r>
          </w:p>
        </w:tc>
        <w:tc>
          <w:tcPr>
            <w:tcW w:w="2494" w:type="dxa"/>
            <w:noWrap w:val="0"/>
            <w:vAlign w:val="center"/>
          </w:tcPr>
          <w:p w14:paraId="6E72F6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position w:val="4"/>
                <w:sz w:val="21"/>
                <w:szCs w:val="21"/>
              </w:rPr>
              <w:t>S</w:t>
            </w:r>
            <w:r>
              <w:rPr>
                <w:rFonts w:hint="default" w:ascii="Times New Roman" w:hAnsi="Times New Roman" w:eastAsia="宋体" w:cs="Times New Roman"/>
                <w:b/>
                <w:bCs/>
                <w:color w:val="auto"/>
                <w:spacing w:val="3"/>
                <w:position w:val="4"/>
                <w:sz w:val="21"/>
                <w:szCs w:val="21"/>
              </w:rPr>
              <w:t>alangidae</w:t>
            </w:r>
          </w:p>
        </w:tc>
        <w:tc>
          <w:tcPr>
            <w:tcW w:w="1308" w:type="dxa"/>
            <w:noWrap w:val="0"/>
            <w:vAlign w:val="center"/>
          </w:tcPr>
          <w:p w14:paraId="79DEEC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5C5709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D302D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5230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BAED9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w:t>
            </w:r>
          </w:p>
        </w:tc>
        <w:tc>
          <w:tcPr>
            <w:tcW w:w="1719" w:type="dxa"/>
            <w:noWrap w:val="0"/>
            <w:vAlign w:val="center"/>
          </w:tcPr>
          <w:p w14:paraId="1A5373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短</w:t>
            </w:r>
            <w:r>
              <w:rPr>
                <w:rFonts w:hint="default" w:ascii="Times New Roman" w:hAnsi="Times New Roman" w:eastAsia="宋体" w:cs="Times New Roman"/>
                <w:color w:val="auto"/>
                <w:spacing w:val="7"/>
                <w:sz w:val="21"/>
                <w:szCs w:val="21"/>
              </w:rPr>
              <w:t>吻间银鱼</w:t>
            </w:r>
          </w:p>
        </w:tc>
        <w:tc>
          <w:tcPr>
            <w:tcW w:w="2494" w:type="dxa"/>
            <w:noWrap w:val="0"/>
            <w:vAlign w:val="center"/>
          </w:tcPr>
          <w:p w14:paraId="7E59D8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7"/>
                <w:sz w:val="21"/>
                <w:szCs w:val="21"/>
              </w:rPr>
              <w:t>H</w:t>
            </w:r>
            <w:r>
              <w:rPr>
                <w:rFonts w:hint="default" w:ascii="Times New Roman" w:hAnsi="Times New Roman" w:eastAsia="宋体" w:cs="Times New Roman"/>
                <w:i/>
                <w:iCs/>
                <w:color w:val="auto"/>
                <w:spacing w:val="5"/>
                <w:position w:val="7"/>
                <w:sz w:val="21"/>
                <w:szCs w:val="21"/>
              </w:rPr>
              <w:t>emisalanx</w:t>
            </w:r>
          </w:p>
          <w:p w14:paraId="6F9CDC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5"/>
                <w:position w:val="4"/>
                <w:sz w:val="21"/>
                <w:szCs w:val="21"/>
              </w:rPr>
              <w:t>b</w:t>
            </w:r>
            <w:r>
              <w:rPr>
                <w:rFonts w:hint="default" w:ascii="Times New Roman" w:hAnsi="Times New Roman" w:eastAsia="宋体" w:cs="Times New Roman"/>
                <w:i/>
                <w:iCs/>
                <w:color w:val="auto"/>
                <w:spacing w:val="3"/>
                <w:position w:val="4"/>
                <w:sz w:val="21"/>
                <w:szCs w:val="21"/>
              </w:rPr>
              <w:t>rachyrostralis</w:t>
            </w:r>
          </w:p>
        </w:tc>
        <w:tc>
          <w:tcPr>
            <w:tcW w:w="1308" w:type="dxa"/>
            <w:noWrap w:val="0"/>
            <w:vAlign w:val="center"/>
          </w:tcPr>
          <w:p w14:paraId="12B097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77B38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C9797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49D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FFD34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6</w:t>
            </w:r>
            <w:r>
              <w:rPr>
                <w:rFonts w:hint="default" w:ascii="Times New Roman" w:hAnsi="Times New Roman" w:eastAsia="宋体" w:cs="Times New Roman"/>
                <w:color w:val="auto"/>
                <w:spacing w:val="5"/>
                <w:sz w:val="21"/>
                <w:szCs w:val="21"/>
              </w:rPr>
              <w:t>.</w:t>
            </w:r>
          </w:p>
        </w:tc>
        <w:tc>
          <w:tcPr>
            <w:tcW w:w="1719" w:type="dxa"/>
            <w:noWrap w:val="0"/>
            <w:vAlign w:val="center"/>
          </w:tcPr>
          <w:p w14:paraId="05D5AF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寡齿短吻银</w:t>
            </w:r>
            <w:r>
              <w:rPr>
                <w:rFonts w:hint="default" w:ascii="Times New Roman" w:hAnsi="Times New Roman" w:eastAsia="宋体" w:cs="Times New Roman"/>
                <w:color w:val="auto"/>
                <w:spacing w:val="7"/>
                <w:sz w:val="21"/>
                <w:szCs w:val="21"/>
              </w:rPr>
              <w:t>鱼</w:t>
            </w:r>
          </w:p>
        </w:tc>
        <w:tc>
          <w:tcPr>
            <w:tcW w:w="2494" w:type="dxa"/>
            <w:noWrap w:val="0"/>
            <w:vAlign w:val="center"/>
          </w:tcPr>
          <w:p w14:paraId="20F25B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Neosalanx</w:t>
            </w:r>
            <w:r>
              <w:rPr>
                <w:rFonts w:hint="default" w:ascii="Times New Roman" w:hAnsi="Times New Roman" w:eastAsia="宋体" w:cs="Times New Roman"/>
                <w:color w:val="auto"/>
                <w:spacing w:val="96"/>
                <w:position w:val="4"/>
                <w:sz w:val="21"/>
                <w:szCs w:val="21"/>
              </w:rPr>
              <w:t xml:space="preserve"> </w:t>
            </w:r>
            <w:r>
              <w:rPr>
                <w:rFonts w:hint="default" w:ascii="Times New Roman" w:hAnsi="Times New Roman" w:eastAsia="宋体" w:cs="Times New Roman"/>
                <w:i/>
                <w:iCs/>
                <w:color w:val="auto"/>
                <w:position w:val="4"/>
                <w:sz w:val="21"/>
                <w:szCs w:val="21"/>
              </w:rPr>
              <w:t>Oligodontis</w:t>
            </w:r>
          </w:p>
        </w:tc>
        <w:tc>
          <w:tcPr>
            <w:tcW w:w="1308" w:type="dxa"/>
            <w:noWrap w:val="0"/>
            <w:vAlign w:val="center"/>
          </w:tcPr>
          <w:p w14:paraId="34B6B3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9342E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26A856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990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2481E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7.</w:t>
            </w:r>
          </w:p>
        </w:tc>
        <w:tc>
          <w:tcPr>
            <w:tcW w:w="1719" w:type="dxa"/>
            <w:noWrap w:val="0"/>
            <w:vAlign w:val="center"/>
          </w:tcPr>
          <w:p w14:paraId="060309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中</w:t>
            </w:r>
            <w:r>
              <w:rPr>
                <w:rFonts w:hint="default" w:ascii="Times New Roman" w:hAnsi="Times New Roman" w:eastAsia="宋体" w:cs="Times New Roman"/>
                <w:color w:val="auto"/>
                <w:spacing w:val="4"/>
                <w:sz w:val="21"/>
                <w:szCs w:val="21"/>
              </w:rPr>
              <w:t>国大银鱼</w:t>
            </w:r>
          </w:p>
        </w:tc>
        <w:tc>
          <w:tcPr>
            <w:tcW w:w="2494" w:type="dxa"/>
            <w:noWrap w:val="0"/>
            <w:vAlign w:val="center"/>
          </w:tcPr>
          <w:p w14:paraId="707F37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Protosalanx</w:t>
            </w:r>
            <w:r>
              <w:rPr>
                <w:rFonts w:hint="default" w:ascii="Times New Roman" w:hAnsi="Times New Roman" w:eastAsia="宋体" w:cs="Times New Roman"/>
                <w:color w:val="auto"/>
                <w:spacing w:val="99"/>
                <w:position w:val="4"/>
                <w:sz w:val="21"/>
                <w:szCs w:val="21"/>
              </w:rPr>
              <w:t xml:space="preserve"> </w:t>
            </w:r>
            <w:r>
              <w:rPr>
                <w:rFonts w:hint="default" w:ascii="Times New Roman" w:hAnsi="Times New Roman" w:eastAsia="宋体" w:cs="Times New Roman"/>
                <w:i/>
                <w:iCs/>
                <w:color w:val="auto"/>
                <w:position w:val="4"/>
                <w:sz w:val="21"/>
                <w:szCs w:val="21"/>
              </w:rPr>
              <w:t>hyalocranius</w:t>
            </w:r>
          </w:p>
        </w:tc>
        <w:tc>
          <w:tcPr>
            <w:tcW w:w="1308" w:type="dxa"/>
            <w:noWrap w:val="0"/>
            <w:vAlign w:val="center"/>
          </w:tcPr>
          <w:p w14:paraId="0A6591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B6612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7F5744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8A16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3800D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8</w:t>
            </w:r>
            <w:r>
              <w:rPr>
                <w:rFonts w:hint="default" w:ascii="Times New Roman" w:hAnsi="Times New Roman" w:eastAsia="宋体" w:cs="Times New Roman"/>
                <w:color w:val="auto"/>
                <w:spacing w:val="3"/>
                <w:sz w:val="21"/>
                <w:szCs w:val="21"/>
              </w:rPr>
              <w:t>.</w:t>
            </w:r>
          </w:p>
        </w:tc>
        <w:tc>
          <w:tcPr>
            <w:tcW w:w="1719" w:type="dxa"/>
            <w:noWrap w:val="0"/>
            <w:vAlign w:val="center"/>
          </w:tcPr>
          <w:p w14:paraId="3F9623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太湖新银鱼</w:t>
            </w:r>
          </w:p>
        </w:tc>
        <w:tc>
          <w:tcPr>
            <w:tcW w:w="2494" w:type="dxa"/>
            <w:noWrap w:val="0"/>
            <w:vAlign w:val="center"/>
          </w:tcPr>
          <w:p w14:paraId="4DDB96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Neosalanx</w:t>
            </w:r>
            <w:r>
              <w:rPr>
                <w:rFonts w:hint="default" w:ascii="Times New Roman" w:hAnsi="Times New Roman" w:eastAsia="宋体" w:cs="Times New Roman"/>
                <w:color w:val="auto"/>
                <w:spacing w:val="96"/>
                <w:position w:val="4"/>
                <w:sz w:val="21"/>
                <w:szCs w:val="21"/>
              </w:rPr>
              <w:t xml:space="preserve"> </w:t>
            </w:r>
            <w:r>
              <w:rPr>
                <w:rFonts w:hint="default" w:ascii="Times New Roman" w:hAnsi="Times New Roman" w:eastAsia="宋体" w:cs="Times New Roman"/>
                <w:i/>
                <w:iCs/>
                <w:color w:val="auto"/>
                <w:position w:val="4"/>
                <w:sz w:val="21"/>
                <w:szCs w:val="21"/>
              </w:rPr>
              <w:t>tangkahkeii</w:t>
            </w:r>
          </w:p>
        </w:tc>
        <w:tc>
          <w:tcPr>
            <w:tcW w:w="1308" w:type="dxa"/>
            <w:noWrap w:val="0"/>
            <w:vAlign w:val="center"/>
          </w:tcPr>
          <w:p w14:paraId="14DCAF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469EF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5832F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B9A3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6BEED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0"/>
                <w:sz w:val="21"/>
                <w:szCs w:val="21"/>
              </w:rPr>
              <w:t>四</w:t>
            </w:r>
            <w:r>
              <w:rPr>
                <w:rFonts w:hint="default" w:ascii="Times New Roman" w:hAnsi="Times New Roman" w:eastAsia="宋体" w:cs="Times New Roman"/>
                <w:b/>
                <w:bCs/>
                <w:color w:val="auto"/>
                <w:spacing w:val="-9"/>
                <w:sz w:val="21"/>
                <w:szCs w:val="21"/>
              </w:rPr>
              <w:t>、</w:t>
            </w:r>
          </w:p>
        </w:tc>
        <w:tc>
          <w:tcPr>
            <w:tcW w:w="1719" w:type="dxa"/>
            <w:noWrap w:val="0"/>
            <w:vAlign w:val="center"/>
          </w:tcPr>
          <w:p w14:paraId="11F106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鲤</w:t>
            </w:r>
            <w:r>
              <w:rPr>
                <w:rFonts w:hint="default" w:ascii="Times New Roman" w:hAnsi="Times New Roman" w:eastAsia="宋体" w:cs="Times New Roman"/>
                <w:b/>
                <w:bCs/>
                <w:color w:val="auto"/>
                <w:spacing w:val="7"/>
                <w:sz w:val="21"/>
                <w:szCs w:val="21"/>
              </w:rPr>
              <w:t>形目</w:t>
            </w:r>
          </w:p>
        </w:tc>
        <w:tc>
          <w:tcPr>
            <w:tcW w:w="2494" w:type="dxa"/>
            <w:noWrap w:val="0"/>
            <w:vAlign w:val="center"/>
          </w:tcPr>
          <w:p w14:paraId="15405E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position w:val="4"/>
                <w:sz w:val="21"/>
                <w:szCs w:val="21"/>
              </w:rPr>
              <w:t>C</w:t>
            </w:r>
            <w:r>
              <w:rPr>
                <w:rFonts w:hint="default" w:ascii="Times New Roman" w:hAnsi="Times New Roman" w:eastAsia="宋体" w:cs="Times New Roman"/>
                <w:b/>
                <w:bCs/>
                <w:color w:val="auto"/>
                <w:spacing w:val="4"/>
                <w:position w:val="4"/>
                <w:sz w:val="21"/>
                <w:szCs w:val="21"/>
              </w:rPr>
              <w:t>ypriniformes</w:t>
            </w:r>
          </w:p>
        </w:tc>
        <w:tc>
          <w:tcPr>
            <w:tcW w:w="1308" w:type="dxa"/>
            <w:noWrap w:val="0"/>
            <w:vAlign w:val="center"/>
          </w:tcPr>
          <w:p w14:paraId="1FF31D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2A0F43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24D1D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16A4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DA552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(四)</w:t>
            </w:r>
          </w:p>
        </w:tc>
        <w:tc>
          <w:tcPr>
            <w:tcW w:w="1719" w:type="dxa"/>
            <w:noWrap w:val="0"/>
            <w:vAlign w:val="center"/>
          </w:tcPr>
          <w:p w14:paraId="26CF37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胭</w:t>
            </w:r>
            <w:r>
              <w:rPr>
                <w:rFonts w:hint="default" w:ascii="Times New Roman" w:hAnsi="Times New Roman" w:eastAsia="宋体" w:cs="Times New Roman"/>
                <w:color w:val="auto"/>
                <w:spacing w:val="8"/>
                <w:sz w:val="21"/>
                <w:szCs w:val="21"/>
              </w:rPr>
              <w:t>脂鱼科</w:t>
            </w:r>
          </w:p>
        </w:tc>
        <w:tc>
          <w:tcPr>
            <w:tcW w:w="2494" w:type="dxa"/>
            <w:noWrap w:val="0"/>
            <w:vAlign w:val="center"/>
          </w:tcPr>
          <w:p w14:paraId="7315D8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position w:val="2"/>
                <w:sz w:val="21"/>
                <w:szCs w:val="21"/>
              </w:rPr>
              <w:t>Catostomidae</w:t>
            </w:r>
          </w:p>
        </w:tc>
        <w:tc>
          <w:tcPr>
            <w:tcW w:w="1308" w:type="dxa"/>
            <w:noWrap w:val="0"/>
            <w:vAlign w:val="center"/>
          </w:tcPr>
          <w:p w14:paraId="0E89C5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016F1F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E9BE7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F6F1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6E631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9.</w:t>
            </w:r>
          </w:p>
        </w:tc>
        <w:tc>
          <w:tcPr>
            <w:tcW w:w="1719" w:type="dxa"/>
            <w:noWrap w:val="0"/>
            <w:vAlign w:val="center"/>
          </w:tcPr>
          <w:p w14:paraId="3B1BDC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胭脂</w:t>
            </w:r>
            <w:r>
              <w:rPr>
                <w:rFonts w:hint="default" w:ascii="Times New Roman" w:hAnsi="Times New Roman" w:eastAsia="宋体" w:cs="Times New Roman"/>
                <w:color w:val="auto"/>
                <w:spacing w:val="6"/>
                <w:sz w:val="21"/>
                <w:szCs w:val="21"/>
              </w:rPr>
              <w:t>鱼</w:t>
            </w:r>
          </w:p>
        </w:tc>
        <w:tc>
          <w:tcPr>
            <w:tcW w:w="2494" w:type="dxa"/>
            <w:noWrap w:val="0"/>
            <w:vAlign w:val="center"/>
          </w:tcPr>
          <w:p w14:paraId="4B000A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Myxocyprinus</w:t>
            </w:r>
            <w:r>
              <w:rPr>
                <w:rFonts w:hint="default" w:ascii="Times New Roman" w:hAnsi="Times New Roman" w:eastAsia="宋体" w:cs="Times New Roman"/>
                <w:color w:val="auto"/>
                <w:spacing w:val="101"/>
                <w:position w:val="4"/>
                <w:sz w:val="21"/>
                <w:szCs w:val="21"/>
              </w:rPr>
              <w:t xml:space="preserve"> </w:t>
            </w:r>
            <w:r>
              <w:rPr>
                <w:rFonts w:hint="default" w:ascii="Times New Roman" w:hAnsi="Times New Roman" w:eastAsia="宋体" w:cs="Times New Roman"/>
                <w:i/>
                <w:iCs/>
                <w:color w:val="auto"/>
                <w:position w:val="4"/>
                <w:sz w:val="21"/>
                <w:szCs w:val="21"/>
              </w:rPr>
              <w:t>asiaticus</w:t>
            </w:r>
          </w:p>
        </w:tc>
        <w:tc>
          <w:tcPr>
            <w:tcW w:w="1308" w:type="dxa"/>
            <w:noWrap w:val="0"/>
            <w:vAlign w:val="center"/>
          </w:tcPr>
          <w:p w14:paraId="24871D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36931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7A739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1632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1DD35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3"/>
                <w:sz w:val="21"/>
                <w:szCs w:val="21"/>
              </w:rPr>
              <w:t>(五)</w:t>
            </w:r>
          </w:p>
        </w:tc>
        <w:tc>
          <w:tcPr>
            <w:tcW w:w="1719" w:type="dxa"/>
            <w:noWrap w:val="0"/>
            <w:vAlign w:val="center"/>
          </w:tcPr>
          <w:p w14:paraId="24B95B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鲤</w:t>
            </w:r>
            <w:r>
              <w:rPr>
                <w:rFonts w:hint="default" w:ascii="Times New Roman" w:hAnsi="Times New Roman" w:eastAsia="宋体" w:cs="Times New Roman"/>
                <w:color w:val="auto"/>
                <w:spacing w:val="5"/>
                <w:sz w:val="21"/>
                <w:szCs w:val="21"/>
              </w:rPr>
              <w:t>科</w:t>
            </w:r>
          </w:p>
        </w:tc>
        <w:tc>
          <w:tcPr>
            <w:tcW w:w="2494" w:type="dxa"/>
            <w:noWrap w:val="0"/>
            <w:vAlign w:val="center"/>
          </w:tcPr>
          <w:p w14:paraId="6A250A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position w:val="4"/>
                <w:sz w:val="21"/>
                <w:szCs w:val="21"/>
              </w:rPr>
              <w:t>Cyprinida</w:t>
            </w:r>
            <w:r>
              <w:rPr>
                <w:rFonts w:hint="default" w:ascii="Times New Roman" w:hAnsi="Times New Roman" w:eastAsia="宋体" w:cs="Times New Roman"/>
                <w:b/>
                <w:bCs/>
                <w:color w:val="auto"/>
                <w:spacing w:val="2"/>
                <w:position w:val="4"/>
                <w:sz w:val="21"/>
                <w:szCs w:val="21"/>
              </w:rPr>
              <w:t>e</w:t>
            </w:r>
          </w:p>
        </w:tc>
        <w:tc>
          <w:tcPr>
            <w:tcW w:w="1308" w:type="dxa"/>
            <w:noWrap w:val="0"/>
            <w:vAlign w:val="center"/>
          </w:tcPr>
          <w:p w14:paraId="4DA061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6CD5B2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66878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DB31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A19FB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0.</w:t>
            </w:r>
          </w:p>
        </w:tc>
        <w:tc>
          <w:tcPr>
            <w:tcW w:w="1719" w:type="dxa"/>
            <w:noWrap w:val="0"/>
            <w:vAlign w:val="center"/>
          </w:tcPr>
          <w:p w14:paraId="106310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宽</w:t>
            </w:r>
            <w:r>
              <w:rPr>
                <w:rFonts w:hint="default" w:ascii="Times New Roman" w:hAnsi="Times New Roman" w:eastAsia="宋体" w:cs="Times New Roman"/>
                <w:color w:val="auto"/>
                <w:spacing w:val="4"/>
                <w:sz w:val="21"/>
                <w:szCs w:val="21"/>
              </w:rPr>
              <w:t>鳍鱲</w:t>
            </w:r>
          </w:p>
        </w:tc>
        <w:tc>
          <w:tcPr>
            <w:tcW w:w="2494" w:type="dxa"/>
            <w:noWrap w:val="0"/>
            <w:vAlign w:val="center"/>
          </w:tcPr>
          <w:p w14:paraId="411B0D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Zacco</w:t>
            </w:r>
            <w:r>
              <w:rPr>
                <w:rFonts w:hint="default" w:ascii="Times New Roman" w:hAnsi="Times New Roman" w:eastAsia="宋体" w:cs="Times New Roman"/>
                <w:color w:val="auto"/>
                <w:spacing w:val="62"/>
                <w:position w:val="4"/>
                <w:sz w:val="21"/>
                <w:szCs w:val="21"/>
              </w:rPr>
              <w:t xml:space="preserve"> </w:t>
            </w:r>
            <w:r>
              <w:rPr>
                <w:rFonts w:hint="default" w:ascii="Times New Roman" w:hAnsi="Times New Roman" w:eastAsia="宋体" w:cs="Times New Roman"/>
                <w:i/>
                <w:iCs/>
                <w:color w:val="auto"/>
                <w:position w:val="4"/>
                <w:sz w:val="21"/>
                <w:szCs w:val="21"/>
              </w:rPr>
              <w:t>platypus</w:t>
            </w:r>
          </w:p>
        </w:tc>
        <w:tc>
          <w:tcPr>
            <w:tcW w:w="1308" w:type="dxa"/>
            <w:noWrap w:val="0"/>
            <w:vAlign w:val="center"/>
          </w:tcPr>
          <w:p w14:paraId="47085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BCFF3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019D8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A875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4114C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1.</w:t>
            </w:r>
          </w:p>
        </w:tc>
        <w:tc>
          <w:tcPr>
            <w:tcW w:w="1719" w:type="dxa"/>
            <w:noWrap w:val="0"/>
            <w:vAlign w:val="center"/>
          </w:tcPr>
          <w:p w14:paraId="00B088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马</w:t>
            </w:r>
            <w:r>
              <w:rPr>
                <w:rFonts w:hint="default" w:ascii="Times New Roman" w:hAnsi="Times New Roman" w:eastAsia="宋体" w:cs="Times New Roman"/>
                <w:color w:val="auto"/>
                <w:spacing w:val="4"/>
                <w:sz w:val="21"/>
                <w:szCs w:val="21"/>
              </w:rPr>
              <w:t>口鱼</w:t>
            </w:r>
          </w:p>
        </w:tc>
        <w:tc>
          <w:tcPr>
            <w:tcW w:w="2494" w:type="dxa"/>
            <w:noWrap w:val="0"/>
            <w:vAlign w:val="center"/>
          </w:tcPr>
          <w:p w14:paraId="60D73F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Opsariichthys</w:t>
            </w:r>
            <w:r>
              <w:rPr>
                <w:rFonts w:hint="default" w:ascii="Times New Roman" w:hAnsi="Times New Roman" w:eastAsia="宋体" w:cs="Times New Roman"/>
                <w:color w:val="auto"/>
                <w:spacing w:val="73"/>
                <w:position w:val="4"/>
                <w:sz w:val="21"/>
                <w:szCs w:val="21"/>
              </w:rPr>
              <w:t xml:space="preserve"> </w:t>
            </w:r>
            <w:r>
              <w:rPr>
                <w:rFonts w:hint="default" w:ascii="Times New Roman" w:hAnsi="Times New Roman" w:eastAsia="宋体" w:cs="Times New Roman"/>
                <w:i/>
                <w:iCs/>
                <w:color w:val="auto"/>
                <w:position w:val="4"/>
                <w:sz w:val="21"/>
                <w:szCs w:val="21"/>
              </w:rPr>
              <w:t>bidens</w:t>
            </w:r>
          </w:p>
        </w:tc>
        <w:tc>
          <w:tcPr>
            <w:tcW w:w="1308" w:type="dxa"/>
            <w:noWrap w:val="0"/>
            <w:vAlign w:val="center"/>
          </w:tcPr>
          <w:p w14:paraId="28C27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7AD77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7CB4D5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18654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9A978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2.</w:t>
            </w:r>
          </w:p>
        </w:tc>
        <w:tc>
          <w:tcPr>
            <w:tcW w:w="1719" w:type="dxa"/>
            <w:noWrap w:val="0"/>
            <w:vAlign w:val="center"/>
          </w:tcPr>
          <w:p w14:paraId="584780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长鳍马口</w:t>
            </w:r>
            <w:r>
              <w:rPr>
                <w:rFonts w:hint="default" w:ascii="Times New Roman" w:hAnsi="Times New Roman" w:eastAsia="宋体" w:cs="Times New Roman"/>
                <w:color w:val="auto"/>
                <w:spacing w:val="7"/>
                <w:sz w:val="21"/>
                <w:szCs w:val="21"/>
              </w:rPr>
              <w:t>鱼</w:t>
            </w:r>
          </w:p>
        </w:tc>
        <w:tc>
          <w:tcPr>
            <w:tcW w:w="2494" w:type="dxa"/>
            <w:noWrap w:val="0"/>
            <w:vAlign w:val="center"/>
          </w:tcPr>
          <w:p w14:paraId="7564F0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Opsariichthys</w:t>
            </w:r>
            <w:r>
              <w:rPr>
                <w:rFonts w:hint="default" w:ascii="Times New Roman" w:hAnsi="Times New Roman" w:eastAsia="宋体" w:cs="Times New Roman"/>
                <w:color w:val="auto"/>
                <w:spacing w:val="76"/>
                <w:position w:val="4"/>
                <w:sz w:val="21"/>
                <w:szCs w:val="21"/>
              </w:rPr>
              <w:t xml:space="preserve"> </w:t>
            </w:r>
            <w:r>
              <w:rPr>
                <w:rFonts w:hint="default" w:ascii="Times New Roman" w:hAnsi="Times New Roman" w:eastAsia="宋体" w:cs="Times New Roman"/>
                <w:i/>
                <w:iCs/>
                <w:color w:val="auto"/>
                <w:position w:val="4"/>
                <w:sz w:val="21"/>
                <w:szCs w:val="21"/>
              </w:rPr>
              <w:t>evolans</w:t>
            </w:r>
          </w:p>
        </w:tc>
        <w:tc>
          <w:tcPr>
            <w:tcW w:w="1308" w:type="dxa"/>
            <w:noWrap w:val="0"/>
            <w:vAlign w:val="center"/>
          </w:tcPr>
          <w:p w14:paraId="46FA69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F58C2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9531A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2877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9E15A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3.</w:t>
            </w:r>
          </w:p>
        </w:tc>
        <w:tc>
          <w:tcPr>
            <w:tcW w:w="1719" w:type="dxa"/>
            <w:noWrap w:val="0"/>
            <w:vAlign w:val="center"/>
          </w:tcPr>
          <w:p w14:paraId="25DD0E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青</w:t>
            </w:r>
            <w:r>
              <w:rPr>
                <w:rFonts w:hint="default" w:ascii="Times New Roman" w:hAnsi="Times New Roman" w:eastAsia="宋体" w:cs="Times New Roman"/>
                <w:color w:val="auto"/>
                <w:spacing w:val="4"/>
                <w:sz w:val="21"/>
                <w:szCs w:val="21"/>
              </w:rPr>
              <w:t>鱼</w:t>
            </w:r>
          </w:p>
        </w:tc>
        <w:tc>
          <w:tcPr>
            <w:tcW w:w="2494" w:type="dxa"/>
            <w:noWrap w:val="0"/>
            <w:vAlign w:val="center"/>
          </w:tcPr>
          <w:p w14:paraId="3ABF89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Mylopharyngodon</w:t>
            </w:r>
            <w:r>
              <w:rPr>
                <w:rFonts w:hint="default" w:ascii="Times New Roman" w:hAnsi="Times New Roman" w:eastAsia="宋体" w:cs="Times New Roman"/>
                <w:color w:val="auto"/>
                <w:spacing w:val="108"/>
                <w:position w:val="4"/>
                <w:sz w:val="21"/>
                <w:szCs w:val="21"/>
              </w:rPr>
              <w:t xml:space="preserve"> </w:t>
            </w:r>
            <w:r>
              <w:rPr>
                <w:rFonts w:hint="default" w:ascii="Times New Roman" w:hAnsi="Times New Roman" w:eastAsia="宋体" w:cs="Times New Roman"/>
                <w:i/>
                <w:iCs/>
                <w:color w:val="auto"/>
                <w:position w:val="4"/>
                <w:sz w:val="21"/>
                <w:szCs w:val="21"/>
              </w:rPr>
              <w:t>piceus</w:t>
            </w:r>
          </w:p>
        </w:tc>
        <w:tc>
          <w:tcPr>
            <w:tcW w:w="1308" w:type="dxa"/>
            <w:noWrap w:val="0"/>
            <w:vAlign w:val="center"/>
          </w:tcPr>
          <w:p w14:paraId="4AAB07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1E7A3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231109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03729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A2D6E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4.</w:t>
            </w:r>
          </w:p>
        </w:tc>
        <w:tc>
          <w:tcPr>
            <w:tcW w:w="1719" w:type="dxa"/>
            <w:noWrap w:val="0"/>
            <w:vAlign w:val="center"/>
          </w:tcPr>
          <w:p w14:paraId="794CDC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草</w:t>
            </w:r>
            <w:r>
              <w:rPr>
                <w:rFonts w:hint="default" w:ascii="Times New Roman" w:hAnsi="Times New Roman" w:eastAsia="宋体" w:cs="Times New Roman"/>
                <w:color w:val="auto"/>
                <w:spacing w:val="3"/>
                <w:sz w:val="21"/>
                <w:szCs w:val="21"/>
              </w:rPr>
              <w:t>鱼</w:t>
            </w:r>
          </w:p>
        </w:tc>
        <w:tc>
          <w:tcPr>
            <w:tcW w:w="2494" w:type="dxa"/>
            <w:noWrap w:val="0"/>
            <w:vAlign w:val="center"/>
          </w:tcPr>
          <w:p w14:paraId="04A554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Ctenopharyngodon</w:t>
            </w:r>
            <w:r>
              <w:rPr>
                <w:rFonts w:hint="default" w:ascii="Times New Roman" w:hAnsi="Times New Roman" w:eastAsia="宋体" w:cs="Times New Roman"/>
                <w:color w:val="auto"/>
                <w:spacing w:val="92"/>
                <w:position w:val="4"/>
                <w:sz w:val="21"/>
                <w:szCs w:val="21"/>
              </w:rPr>
              <w:t xml:space="preserve"> </w:t>
            </w:r>
            <w:r>
              <w:rPr>
                <w:rFonts w:hint="default" w:ascii="Times New Roman" w:hAnsi="Times New Roman" w:eastAsia="宋体" w:cs="Times New Roman"/>
                <w:i/>
                <w:iCs/>
                <w:color w:val="auto"/>
                <w:position w:val="4"/>
                <w:sz w:val="21"/>
                <w:szCs w:val="21"/>
              </w:rPr>
              <w:t>idellus</w:t>
            </w:r>
          </w:p>
        </w:tc>
        <w:tc>
          <w:tcPr>
            <w:tcW w:w="1308" w:type="dxa"/>
            <w:noWrap w:val="0"/>
            <w:vAlign w:val="center"/>
          </w:tcPr>
          <w:p w14:paraId="55A63F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2E27B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0BD337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4738D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7737A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5.</w:t>
            </w:r>
          </w:p>
        </w:tc>
        <w:tc>
          <w:tcPr>
            <w:tcW w:w="1719" w:type="dxa"/>
            <w:noWrap w:val="0"/>
            <w:vAlign w:val="center"/>
          </w:tcPr>
          <w:p w14:paraId="12859A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赤</w:t>
            </w:r>
            <w:r>
              <w:rPr>
                <w:rFonts w:hint="default" w:ascii="Times New Roman" w:hAnsi="Times New Roman" w:eastAsia="宋体" w:cs="Times New Roman"/>
                <w:color w:val="auto"/>
                <w:spacing w:val="4"/>
                <w:sz w:val="21"/>
                <w:szCs w:val="21"/>
              </w:rPr>
              <w:t>眼鳟</w:t>
            </w:r>
          </w:p>
        </w:tc>
        <w:tc>
          <w:tcPr>
            <w:tcW w:w="2494" w:type="dxa"/>
            <w:noWrap w:val="0"/>
            <w:vAlign w:val="center"/>
          </w:tcPr>
          <w:p w14:paraId="6F7C78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Squaliobarbus</w:t>
            </w:r>
            <w:r>
              <w:rPr>
                <w:rFonts w:hint="default" w:ascii="Times New Roman" w:hAnsi="Times New Roman" w:eastAsia="宋体" w:cs="Times New Roman"/>
                <w:color w:val="auto"/>
                <w:spacing w:val="100"/>
                <w:position w:val="4"/>
                <w:sz w:val="21"/>
                <w:szCs w:val="21"/>
              </w:rPr>
              <w:t xml:space="preserve"> </w:t>
            </w:r>
            <w:r>
              <w:rPr>
                <w:rFonts w:hint="default" w:ascii="Times New Roman" w:hAnsi="Times New Roman" w:eastAsia="宋体" w:cs="Times New Roman"/>
                <w:i/>
                <w:iCs/>
                <w:color w:val="auto"/>
                <w:position w:val="4"/>
                <w:sz w:val="21"/>
                <w:szCs w:val="21"/>
              </w:rPr>
              <w:t>curriculus</w:t>
            </w:r>
          </w:p>
        </w:tc>
        <w:tc>
          <w:tcPr>
            <w:tcW w:w="1308" w:type="dxa"/>
            <w:noWrap w:val="0"/>
            <w:vAlign w:val="center"/>
          </w:tcPr>
          <w:p w14:paraId="65EFFE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DB9B8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1F1E45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2D2B1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1C6E9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6.</w:t>
            </w:r>
          </w:p>
        </w:tc>
        <w:tc>
          <w:tcPr>
            <w:tcW w:w="1719" w:type="dxa"/>
            <w:noWrap w:val="0"/>
            <w:vAlign w:val="center"/>
          </w:tcPr>
          <w:p w14:paraId="5D0F71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鳡</w:t>
            </w:r>
          </w:p>
        </w:tc>
        <w:tc>
          <w:tcPr>
            <w:tcW w:w="2494" w:type="dxa"/>
            <w:noWrap w:val="0"/>
            <w:vAlign w:val="center"/>
          </w:tcPr>
          <w:p w14:paraId="7F5495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Elopichthys</w:t>
            </w:r>
            <w:r>
              <w:rPr>
                <w:rFonts w:hint="default" w:ascii="Times New Roman" w:hAnsi="Times New Roman" w:eastAsia="宋体" w:cs="Times New Roman"/>
                <w:color w:val="auto"/>
                <w:spacing w:val="89"/>
                <w:position w:val="4"/>
                <w:sz w:val="21"/>
                <w:szCs w:val="21"/>
              </w:rPr>
              <w:t xml:space="preserve"> </w:t>
            </w:r>
            <w:r>
              <w:rPr>
                <w:rFonts w:hint="default" w:ascii="Times New Roman" w:hAnsi="Times New Roman" w:eastAsia="宋体" w:cs="Times New Roman"/>
                <w:i/>
                <w:iCs/>
                <w:color w:val="auto"/>
                <w:position w:val="4"/>
                <w:sz w:val="21"/>
                <w:szCs w:val="21"/>
              </w:rPr>
              <w:t>bambusa</w:t>
            </w:r>
          </w:p>
        </w:tc>
        <w:tc>
          <w:tcPr>
            <w:tcW w:w="1308" w:type="dxa"/>
            <w:noWrap w:val="0"/>
            <w:vAlign w:val="center"/>
          </w:tcPr>
          <w:p w14:paraId="1075DB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25BDF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29E4CF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AA9E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57FDF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7.</w:t>
            </w:r>
          </w:p>
        </w:tc>
        <w:tc>
          <w:tcPr>
            <w:tcW w:w="1719" w:type="dxa"/>
            <w:noWrap w:val="0"/>
            <w:vAlign w:val="center"/>
          </w:tcPr>
          <w:p w14:paraId="47031F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鳤</w:t>
            </w:r>
          </w:p>
        </w:tc>
        <w:tc>
          <w:tcPr>
            <w:tcW w:w="2494" w:type="dxa"/>
            <w:noWrap w:val="0"/>
            <w:vAlign w:val="center"/>
          </w:tcPr>
          <w:p w14:paraId="168E03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Ochetobius</w:t>
            </w:r>
            <w:r>
              <w:rPr>
                <w:rFonts w:hint="default" w:ascii="Times New Roman" w:hAnsi="Times New Roman" w:eastAsia="宋体" w:cs="Times New Roman"/>
                <w:color w:val="auto"/>
                <w:spacing w:val="74"/>
                <w:position w:val="4"/>
                <w:sz w:val="21"/>
                <w:szCs w:val="21"/>
              </w:rPr>
              <w:t xml:space="preserve"> </w:t>
            </w:r>
            <w:r>
              <w:rPr>
                <w:rFonts w:hint="default" w:ascii="Times New Roman" w:hAnsi="Times New Roman" w:eastAsia="宋体" w:cs="Times New Roman"/>
                <w:i/>
                <w:iCs/>
                <w:color w:val="auto"/>
                <w:position w:val="4"/>
                <w:sz w:val="21"/>
                <w:szCs w:val="21"/>
              </w:rPr>
              <w:t>elongatus</w:t>
            </w:r>
          </w:p>
        </w:tc>
        <w:tc>
          <w:tcPr>
            <w:tcW w:w="1308" w:type="dxa"/>
            <w:noWrap w:val="0"/>
            <w:vAlign w:val="center"/>
          </w:tcPr>
          <w:p w14:paraId="3FB48F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440B1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4E0B0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B73A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3B1FB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8.</w:t>
            </w:r>
          </w:p>
        </w:tc>
        <w:tc>
          <w:tcPr>
            <w:tcW w:w="1719" w:type="dxa"/>
            <w:noWrap w:val="0"/>
            <w:vAlign w:val="center"/>
          </w:tcPr>
          <w:p w14:paraId="3645D1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鯮</w:t>
            </w:r>
          </w:p>
        </w:tc>
        <w:tc>
          <w:tcPr>
            <w:tcW w:w="2494" w:type="dxa"/>
            <w:noWrap w:val="0"/>
            <w:vAlign w:val="center"/>
          </w:tcPr>
          <w:p w14:paraId="5FD5E0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9"/>
                <w:position w:val="7"/>
                <w:sz w:val="21"/>
                <w:szCs w:val="21"/>
              </w:rPr>
              <w:t>L</w:t>
            </w:r>
            <w:r>
              <w:rPr>
                <w:rFonts w:hint="default" w:ascii="Times New Roman" w:hAnsi="Times New Roman" w:eastAsia="宋体" w:cs="Times New Roman"/>
                <w:i/>
                <w:iCs/>
                <w:color w:val="auto"/>
                <w:spacing w:val="5"/>
                <w:position w:val="7"/>
                <w:sz w:val="21"/>
                <w:szCs w:val="21"/>
              </w:rPr>
              <w:t>uciobrama</w:t>
            </w:r>
          </w:p>
          <w:p w14:paraId="18341C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4"/>
                <w:position w:val="4"/>
                <w:sz w:val="21"/>
                <w:szCs w:val="21"/>
              </w:rPr>
              <w:t>macrocephalu</w:t>
            </w:r>
            <w:r>
              <w:rPr>
                <w:rFonts w:hint="default" w:ascii="Times New Roman" w:hAnsi="Times New Roman" w:eastAsia="宋体" w:cs="Times New Roman"/>
                <w:i/>
                <w:iCs/>
                <w:color w:val="auto"/>
                <w:spacing w:val="2"/>
                <w:position w:val="4"/>
                <w:sz w:val="21"/>
                <w:szCs w:val="21"/>
              </w:rPr>
              <w:t>s</w:t>
            </w:r>
          </w:p>
        </w:tc>
        <w:tc>
          <w:tcPr>
            <w:tcW w:w="1308" w:type="dxa"/>
            <w:noWrap w:val="0"/>
            <w:vAlign w:val="center"/>
          </w:tcPr>
          <w:p w14:paraId="6B0231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C865B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66F1B2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56334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60947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z w:val="21"/>
                <w:szCs w:val="21"/>
              </w:rPr>
              <w:t>9.</w:t>
            </w:r>
          </w:p>
        </w:tc>
        <w:tc>
          <w:tcPr>
            <w:tcW w:w="1719" w:type="dxa"/>
            <w:noWrap w:val="0"/>
            <w:vAlign w:val="center"/>
          </w:tcPr>
          <w:p w14:paraId="025D47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银鲴</w:t>
            </w:r>
          </w:p>
        </w:tc>
        <w:tc>
          <w:tcPr>
            <w:tcW w:w="2494" w:type="dxa"/>
            <w:noWrap w:val="0"/>
            <w:vAlign w:val="center"/>
          </w:tcPr>
          <w:p w14:paraId="28C851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Xenocypris</w:t>
            </w:r>
            <w:r>
              <w:rPr>
                <w:rFonts w:hint="default" w:ascii="Times New Roman" w:hAnsi="Times New Roman" w:eastAsia="宋体" w:cs="Times New Roman"/>
                <w:color w:val="auto"/>
                <w:spacing w:val="89"/>
                <w:position w:val="4"/>
                <w:sz w:val="21"/>
                <w:szCs w:val="21"/>
              </w:rPr>
              <w:t xml:space="preserve"> </w:t>
            </w:r>
            <w:r>
              <w:rPr>
                <w:rFonts w:hint="default" w:ascii="Times New Roman" w:hAnsi="Times New Roman" w:eastAsia="宋体" w:cs="Times New Roman"/>
                <w:i/>
                <w:iCs/>
                <w:color w:val="auto"/>
                <w:position w:val="4"/>
                <w:sz w:val="21"/>
                <w:szCs w:val="21"/>
              </w:rPr>
              <w:t>argentea</w:t>
            </w:r>
          </w:p>
        </w:tc>
        <w:tc>
          <w:tcPr>
            <w:tcW w:w="1308" w:type="dxa"/>
            <w:noWrap w:val="0"/>
            <w:vAlign w:val="center"/>
          </w:tcPr>
          <w:p w14:paraId="59742F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D0A9B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C8CC9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BC77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CD8FA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20.</w:t>
            </w:r>
          </w:p>
        </w:tc>
        <w:tc>
          <w:tcPr>
            <w:tcW w:w="1719" w:type="dxa"/>
            <w:noWrap w:val="0"/>
            <w:vAlign w:val="center"/>
          </w:tcPr>
          <w:p w14:paraId="732877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黄尾鲴</w:t>
            </w:r>
          </w:p>
        </w:tc>
        <w:tc>
          <w:tcPr>
            <w:tcW w:w="2494" w:type="dxa"/>
            <w:noWrap w:val="0"/>
            <w:vAlign w:val="center"/>
          </w:tcPr>
          <w:p w14:paraId="44DDD2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Xenocypris</w:t>
            </w:r>
            <w:r>
              <w:rPr>
                <w:rFonts w:hint="default" w:ascii="Times New Roman" w:hAnsi="Times New Roman" w:eastAsia="宋体" w:cs="Times New Roman"/>
                <w:color w:val="auto"/>
                <w:spacing w:val="91"/>
                <w:position w:val="4"/>
                <w:sz w:val="21"/>
                <w:szCs w:val="21"/>
              </w:rPr>
              <w:t xml:space="preserve"> </w:t>
            </w:r>
            <w:r>
              <w:rPr>
                <w:rFonts w:hint="default" w:ascii="Times New Roman" w:hAnsi="Times New Roman" w:eastAsia="宋体" w:cs="Times New Roman"/>
                <w:i/>
                <w:iCs/>
                <w:color w:val="auto"/>
                <w:position w:val="4"/>
                <w:sz w:val="21"/>
                <w:szCs w:val="21"/>
              </w:rPr>
              <w:t>davidi</w:t>
            </w:r>
          </w:p>
        </w:tc>
        <w:tc>
          <w:tcPr>
            <w:tcW w:w="1308" w:type="dxa"/>
            <w:noWrap w:val="0"/>
            <w:vAlign w:val="center"/>
          </w:tcPr>
          <w:p w14:paraId="354FEB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77D8C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66AA21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7572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9198D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21.</w:t>
            </w:r>
          </w:p>
        </w:tc>
        <w:tc>
          <w:tcPr>
            <w:tcW w:w="1719" w:type="dxa"/>
            <w:noWrap w:val="0"/>
            <w:vAlign w:val="center"/>
          </w:tcPr>
          <w:p w14:paraId="149172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细</w:t>
            </w:r>
            <w:r>
              <w:rPr>
                <w:rFonts w:hint="default" w:ascii="Times New Roman" w:hAnsi="Times New Roman" w:eastAsia="宋体" w:cs="Times New Roman"/>
                <w:color w:val="auto"/>
                <w:spacing w:val="6"/>
                <w:sz w:val="21"/>
                <w:szCs w:val="21"/>
              </w:rPr>
              <w:t>鳞鲴</w:t>
            </w:r>
          </w:p>
        </w:tc>
        <w:tc>
          <w:tcPr>
            <w:tcW w:w="2494" w:type="dxa"/>
            <w:noWrap w:val="0"/>
            <w:vAlign w:val="center"/>
          </w:tcPr>
          <w:p w14:paraId="7EF689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Xenocypris</w:t>
            </w:r>
            <w:r>
              <w:rPr>
                <w:rFonts w:hint="default" w:ascii="Times New Roman" w:hAnsi="Times New Roman" w:eastAsia="宋体" w:cs="Times New Roman"/>
                <w:color w:val="auto"/>
                <w:spacing w:val="96"/>
                <w:position w:val="4"/>
                <w:sz w:val="21"/>
                <w:szCs w:val="21"/>
              </w:rPr>
              <w:t xml:space="preserve"> </w:t>
            </w:r>
            <w:r>
              <w:rPr>
                <w:rFonts w:hint="default" w:ascii="Times New Roman" w:hAnsi="Times New Roman" w:eastAsia="宋体" w:cs="Times New Roman"/>
                <w:i/>
                <w:iCs/>
                <w:color w:val="auto"/>
                <w:position w:val="4"/>
                <w:sz w:val="21"/>
                <w:szCs w:val="21"/>
              </w:rPr>
              <w:t>microlepis</w:t>
            </w:r>
          </w:p>
        </w:tc>
        <w:tc>
          <w:tcPr>
            <w:tcW w:w="1308" w:type="dxa"/>
            <w:noWrap w:val="0"/>
            <w:vAlign w:val="center"/>
          </w:tcPr>
          <w:p w14:paraId="274C4E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49F3A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8F981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0553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B708F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22.</w:t>
            </w:r>
          </w:p>
        </w:tc>
        <w:tc>
          <w:tcPr>
            <w:tcW w:w="1719" w:type="dxa"/>
            <w:noWrap w:val="0"/>
            <w:vAlign w:val="center"/>
          </w:tcPr>
          <w:p w14:paraId="33E818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圆吻鲴</w:t>
            </w:r>
          </w:p>
        </w:tc>
        <w:tc>
          <w:tcPr>
            <w:tcW w:w="2494" w:type="dxa"/>
            <w:noWrap w:val="0"/>
            <w:vAlign w:val="center"/>
          </w:tcPr>
          <w:p w14:paraId="1102B6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Distoechodon</w:t>
            </w:r>
            <w:r>
              <w:rPr>
                <w:rFonts w:hint="default" w:ascii="Times New Roman" w:hAnsi="Times New Roman" w:eastAsia="宋体" w:cs="Times New Roman"/>
                <w:color w:val="auto"/>
                <w:spacing w:val="97"/>
                <w:position w:val="2"/>
                <w:sz w:val="21"/>
                <w:szCs w:val="21"/>
              </w:rPr>
              <w:t xml:space="preserve"> </w:t>
            </w:r>
            <w:r>
              <w:rPr>
                <w:rFonts w:hint="default" w:ascii="Times New Roman" w:hAnsi="Times New Roman" w:eastAsia="宋体" w:cs="Times New Roman"/>
                <w:i/>
                <w:iCs/>
                <w:color w:val="auto"/>
                <w:position w:val="2"/>
                <w:sz w:val="21"/>
                <w:szCs w:val="21"/>
              </w:rPr>
              <w:t>tumirostris</w:t>
            </w:r>
          </w:p>
        </w:tc>
        <w:tc>
          <w:tcPr>
            <w:tcW w:w="1308" w:type="dxa"/>
            <w:noWrap w:val="0"/>
            <w:vAlign w:val="center"/>
          </w:tcPr>
          <w:p w14:paraId="152AAF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A1F52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40C348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13B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2BDBA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23.</w:t>
            </w:r>
          </w:p>
        </w:tc>
        <w:tc>
          <w:tcPr>
            <w:tcW w:w="1719" w:type="dxa"/>
            <w:noWrap w:val="0"/>
            <w:vAlign w:val="center"/>
          </w:tcPr>
          <w:p w14:paraId="309A93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似鳊</w:t>
            </w:r>
          </w:p>
        </w:tc>
        <w:tc>
          <w:tcPr>
            <w:tcW w:w="2494" w:type="dxa"/>
            <w:noWrap w:val="0"/>
            <w:vAlign w:val="center"/>
          </w:tcPr>
          <w:p w14:paraId="26DDAE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Pseudobrama</w:t>
            </w:r>
            <w:r>
              <w:rPr>
                <w:rFonts w:hint="default" w:ascii="Times New Roman" w:hAnsi="Times New Roman" w:eastAsia="宋体" w:cs="Times New Roman"/>
                <w:color w:val="auto"/>
                <w:spacing w:val="90"/>
                <w:position w:val="4"/>
                <w:sz w:val="21"/>
                <w:szCs w:val="21"/>
              </w:rPr>
              <w:t xml:space="preserve"> </w:t>
            </w:r>
            <w:r>
              <w:rPr>
                <w:rFonts w:hint="default" w:ascii="Times New Roman" w:hAnsi="Times New Roman" w:eastAsia="宋体" w:cs="Times New Roman"/>
                <w:i/>
                <w:iCs/>
                <w:color w:val="auto"/>
                <w:position w:val="4"/>
                <w:sz w:val="21"/>
                <w:szCs w:val="21"/>
              </w:rPr>
              <w:t>simony</w:t>
            </w:r>
          </w:p>
        </w:tc>
        <w:tc>
          <w:tcPr>
            <w:tcW w:w="1308" w:type="dxa"/>
            <w:noWrap w:val="0"/>
            <w:vAlign w:val="center"/>
          </w:tcPr>
          <w:p w14:paraId="075648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8DE17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01B8D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DC04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8CB03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24.</w:t>
            </w:r>
          </w:p>
        </w:tc>
        <w:tc>
          <w:tcPr>
            <w:tcW w:w="1719" w:type="dxa"/>
            <w:noWrap w:val="0"/>
            <w:vAlign w:val="center"/>
          </w:tcPr>
          <w:p w14:paraId="5651B8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鲢</w:t>
            </w:r>
          </w:p>
        </w:tc>
        <w:tc>
          <w:tcPr>
            <w:tcW w:w="2494" w:type="dxa"/>
            <w:noWrap w:val="0"/>
            <w:vAlign w:val="center"/>
          </w:tcPr>
          <w:p w14:paraId="6EC6C8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5"/>
                <w:position w:val="9"/>
                <w:sz w:val="21"/>
                <w:szCs w:val="21"/>
              </w:rPr>
              <w:t>Hypophthalmichthy</w:t>
            </w:r>
            <w:r>
              <w:rPr>
                <w:rFonts w:hint="default" w:ascii="Times New Roman" w:hAnsi="Times New Roman" w:eastAsia="宋体" w:cs="Times New Roman"/>
                <w:i/>
                <w:iCs/>
                <w:color w:val="auto"/>
                <w:spacing w:val="2"/>
                <w:position w:val="9"/>
                <w:sz w:val="21"/>
                <w:szCs w:val="21"/>
              </w:rPr>
              <w:t>s</w:t>
            </w:r>
          </w:p>
          <w:p w14:paraId="7DFFB8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5"/>
                <w:position w:val="2"/>
                <w:sz w:val="21"/>
                <w:szCs w:val="21"/>
              </w:rPr>
              <w:t>m</w:t>
            </w:r>
            <w:r>
              <w:rPr>
                <w:rFonts w:hint="default" w:ascii="Times New Roman" w:hAnsi="Times New Roman" w:eastAsia="宋体" w:cs="Times New Roman"/>
                <w:i/>
                <w:iCs/>
                <w:color w:val="auto"/>
                <w:spacing w:val="3"/>
                <w:position w:val="2"/>
                <w:sz w:val="21"/>
                <w:szCs w:val="21"/>
              </w:rPr>
              <w:t>olitrix</w:t>
            </w:r>
          </w:p>
        </w:tc>
        <w:tc>
          <w:tcPr>
            <w:tcW w:w="1308" w:type="dxa"/>
            <w:noWrap w:val="0"/>
            <w:vAlign w:val="center"/>
          </w:tcPr>
          <w:p w14:paraId="0DDECB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90701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049C47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41096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99E97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25.</w:t>
            </w:r>
          </w:p>
        </w:tc>
        <w:tc>
          <w:tcPr>
            <w:tcW w:w="1719" w:type="dxa"/>
            <w:noWrap w:val="0"/>
            <w:vAlign w:val="center"/>
          </w:tcPr>
          <w:p w14:paraId="6E73A5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鳙</w:t>
            </w:r>
          </w:p>
        </w:tc>
        <w:tc>
          <w:tcPr>
            <w:tcW w:w="2494" w:type="dxa"/>
            <w:noWrap w:val="0"/>
            <w:vAlign w:val="center"/>
          </w:tcPr>
          <w:p w14:paraId="39D511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Aristichthys</w:t>
            </w:r>
            <w:r>
              <w:rPr>
                <w:rFonts w:hint="default" w:ascii="Times New Roman" w:hAnsi="Times New Roman" w:eastAsia="宋体" w:cs="Times New Roman"/>
                <w:color w:val="auto"/>
                <w:spacing w:val="84"/>
                <w:position w:val="4"/>
                <w:sz w:val="21"/>
                <w:szCs w:val="21"/>
              </w:rPr>
              <w:t xml:space="preserve"> </w:t>
            </w:r>
            <w:r>
              <w:rPr>
                <w:rFonts w:hint="default" w:ascii="Times New Roman" w:hAnsi="Times New Roman" w:eastAsia="宋体" w:cs="Times New Roman"/>
                <w:i/>
                <w:iCs/>
                <w:color w:val="auto"/>
                <w:position w:val="4"/>
                <w:sz w:val="21"/>
                <w:szCs w:val="21"/>
              </w:rPr>
              <w:t>nobilis</w:t>
            </w:r>
          </w:p>
        </w:tc>
        <w:tc>
          <w:tcPr>
            <w:tcW w:w="1308" w:type="dxa"/>
            <w:noWrap w:val="0"/>
            <w:vAlign w:val="center"/>
          </w:tcPr>
          <w:p w14:paraId="728CD0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1E004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4A44A5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66239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379ED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26.</w:t>
            </w:r>
          </w:p>
        </w:tc>
        <w:tc>
          <w:tcPr>
            <w:tcW w:w="1719" w:type="dxa"/>
            <w:noWrap w:val="0"/>
            <w:vAlign w:val="center"/>
          </w:tcPr>
          <w:p w14:paraId="06E313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高体鳑</w:t>
            </w:r>
            <w:r>
              <w:rPr>
                <w:rFonts w:hint="default" w:ascii="Times New Roman" w:hAnsi="Times New Roman" w:eastAsia="宋体" w:cs="Times New Roman"/>
                <w:color w:val="auto"/>
                <w:spacing w:val="5"/>
                <w:sz w:val="21"/>
                <w:szCs w:val="21"/>
              </w:rPr>
              <w:t>鲏</w:t>
            </w:r>
          </w:p>
        </w:tc>
        <w:tc>
          <w:tcPr>
            <w:tcW w:w="2494" w:type="dxa"/>
            <w:noWrap w:val="0"/>
            <w:vAlign w:val="center"/>
          </w:tcPr>
          <w:p w14:paraId="083B05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Rhodeus</w:t>
            </w:r>
            <w:r>
              <w:rPr>
                <w:rFonts w:hint="default" w:ascii="Times New Roman" w:hAnsi="Times New Roman" w:eastAsia="宋体" w:cs="Times New Roman"/>
                <w:color w:val="auto"/>
                <w:spacing w:val="77"/>
                <w:position w:val="2"/>
                <w:sz w:val="21"/>
                <w:szCs w:val="21"/>
              </w:rPr>
              <w:t xml:space="preserve"> </w:t>
            </w:r>
            <w:r>
              <w:rPr>
                <w:rFonts w:hint="default" w:ascii="Times New Roman" w:hAnsi="Times New Roman" w:eastAsia="宋体" w:cs="Times New Roman"/>
                <w:i/>
                <w:iCs/>
                <w:color w:val="auto"/>
                <w:position w:val="2"/>
                <w:sz w:val="21"/>
                <w:szCs w:val="21"/>
              </w:rPr>
              <w:t>ocellatus</w:t>
            </w:r>
          </w:p>
        </w:tc>
        <w:tc>
          <w:tcPr>
            <w:tcW w:w="1308" w:type="dxa"/>
            <w:noWrap w:val="0"/>
            <w:vAlign w:val="center"/>
          </w:tcPr>
          <w:p w14:paraId="468A8D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C3866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9DB4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2210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5A1D6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27.</w:t>
            </w:r>
          </w:p>
        </w:tc>
        <w:tc>
          <w:tcPr>
            <w:tcW w:w="1719" w:type="dxa"/>
            <w:noWrap w:val="0"/>
            <w:vAlign w:val="center"/>
          </w:tcPr>
          <w:p w14:paraId="568FCB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中</w:t>
            </w:r>
            <w:r>
              <w:rPr>
                <w:rFonts w:hint="default" w:ascii="Times New Roman" w:hAnsi="Times New Roman" w:eastAsia="宋体" w:cs="Times New Roman"/>
                <w:color w:val="auto"/>
                <w:spacing w:val="2"/>
                <w:sz w:val="21"/>
                <w:szCs w:val="21"/>
              </w:rPr>
              <w:t>华鳑鲏</w:t>
            </w:r>
          </w:p>
        </w:tc>
        <w:tc>
          <w:tcPr>
            <w:tcW w:w="2494" w:type="dxa"/>
            <w:noWrap w:val="0"/>
            <w:vAlign w:val="center"/>
          </w:tcPr>
          <w:p w14:paraId="127472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Rhodeus</w:t>
            </w:r>
            <w:r>
              <w:rPr>
                <w:rFonts w:hint="default" w:ascii="Times New Roman" w:hAnsi="Times New Roman" w:eastAsia="宋体" w:cs="Times New Roman"/>
                <w:color w:val="auto"/>
                <w:spacing w:val="72"/>
                <w:position w:val="2"/>
                <w:sz w:val="21"/>
                <w:szCs w:val="21"/>
              </w:rPr>
              <w:t xml:space="preserve"> </w:t>
            </w:r>
            <w:r>
              <w:rPr>
                <w:rFonts w:hint="default" w:ascii="Times New Roman" w:hAnsi="Times New Roman" w:eastAsia="宋体" w:cs="Times New Roman"/>
                <w:i/>
                <w:iCs/>
                <w:color w:val="auto"/>
                <w:position w:val="2"/>
                <w:sz w:val="21"/>
                <w:szCs w:val="21"/>
              </w:rPr>
              <w:t>sinensis</w:t>
            </w:r>
          </w:p>
        </w:tc>
        <w:tc>
          <w:tcPr>
            <w:tcW w:w="1308" w:type="dxa"/>
            <w:noWrap w:val="0"/>
            <w:vAlign w:val="center"/>
          </w:tcPr>
          <w:p w14:paraId="324484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E1FC9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20F9E1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6DBA0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F00C1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28.</w:t>
            </w:r>
          </w:p>
        </w:tc>
        <w:tc>
          <w:tcPr>
            <w:tcW w:w="1719" w:type="dxa"/>
            <w:noWrap w:val="0"/>
            <w:vAlign w:val="center"/>
          </w:tcPr>
          <w:p w14:paraId="554651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大鳍鱊</w:t>
            </w:r>
          </w:p>
        </w:tc>
        <w:tc>
          <w:tcPr>
            <w:tcW w:w="2494" w:type="dxa"/>
            <w:noWrap w:val="0"/>
            <w:vAlign w:val="center"/>
          </w:tcPr>
          <w:p w14:paraId="0E71D3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A</w:t>
            </w:r>
            <w:r>
              <w:rPr>
                <w:rFonts w:hint="default" w:ascii="Times New Roman" w:hAnsi="Times New Roman" w:eastAsia="宋体" w:cs="Times New Roman"/>
                <w:i/>
                <w:iCs/>
                <w:color w:val="auto"/>
                <w:spacing w:val="5"/>
                <w:position w:val="9"/>
                <w:sz w:val="21"/>
                <w:szCs w:val="21"/>
              </w:rPr>
              <w:t>cheilognathus</w:t>
            </w:r>
          </w:p>
          <w:p w14:paraId="048B0A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5"/>
                <w:sz w:val="21"/>
                <w:szCs w:val="21"/>
              </w:rPr>
              <w:t>ma</w:t>
            </w:r>
            <w:r>
              <w:rPr>
                <w:rFonts w:hint="default" w:ascii="Times New Roman" w:hAnsi="Times New Roman" w:eastAsia="宋体" w:cs="Times New Roman"/>
                <w:i/>
                <w:iCs/>
                <w:color w:val="auto"/>
                <w:spacing w:val="5"/>
                <w:position w:val="5"/>
                <w:sz w:val="21"/>
                <w:szCs w:val="21"/>
              </w:rPr>
              <w:t>c</w:t>
            </w:r>
            <w:r>
              <w:rPr>
                <w:rFonts w:hint="default" w:ascii="Times New Roman" w:hAnsi="Times New Roman" w:eastAsia="宋体" w:cs="Times New Roman"/>
                <w:i/>
                <w:iCs/>
                <w:color w:val="auto"/>
                <w:spacing w:val="3"/>
                <w:position w:val="5"/>
                <w:sz w:val="21"/>
                <w:szCs w:val="21"/>
              </w:rPr>
              <w:t>ropterus</w:t>
            </w:r>
          </w:p>
        </w:tc>
        <w:tc>
          <w:tcPr>
            <w:tcW w:w="1308" w:type="dxa"/>
            <w:noWrap w:val="0"/>
            <w:vAlign w:val="center"/>
          </w:tcPr>
          <w:p w14:paraId="3B9656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C69EF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2009D4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F53C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75725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29.</w:t>
            </w:r>
          </w:p>
        </w:tc>
        <w:tc>
          <w:tcPr>
            <w:tcW w:w="1719" w:type="dxa"/>
            <w:noWrap w:val="0"/>
            <w:vAlign w:val="center"/>
          </w:tcPr>
          <w:p w14:paraId="2E65CE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多</w:t>
            </w:r>
            <w:r>
              <w:rPr>
                <w:rFonts w:hint="default" w:ascii="Times New Roman" w:hAnsi="Times New Roman" w:eastAsia="宋体" w:cs="Times New Roman"/>
                <w:color w:val="auto"/>
                <w:spacing w:val="3"/>
                <w:sz w:val="21"/>
                <w:szCs w:val="21"/>
              </w:rPr>
              <w:t>鳞鱊</w:t>
            </w:r>
          </w:p>
        </w:tc>
        <w:tc>
          <w:tcPr>
            <w:tcW w:w="2494" w:type="dxa"/>
            <w:noWrap w:val="0"/>
            <w:vAlign w:val="center"/>
          </w:tcPr>
          <w:p w14:paraId="7AD364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Acheilognathus</w:t>
            </w:r>
            <w:r>
              <w:rPr>
                <w:rFonts w:hint="default" w:ascii="Times New Roman" w:hAnsi="Times New Roman" w:eastAsia="宋体" w:cs="Times New Roman"/>
                <w:color w:val="auto"/>
                <w:spacing w:val="110"/>
                <w:position w:val="4"/>
                <w:sz w:val="21"/>
                <w:szCs w:val="21"/>
              </w:rPr>
              <w:t xml:space="preserve"> </w:t>
            </w:r>
            <w:r>
              <w:rPr>
                <w:rFonts w:hint="default" w:ascii="Times New Roman" w:hAnsi="Times New Roman" w:eastAsia="宋体" w:cs="Times New Roman"/>
                <w:i/>
                <w:iCs/>
                <w:color w:val="auto"/>
                <w:position w:val="4"/>
                <w:sz w:val="21"/>
                <w:szCs w:val="21"/>
              </w:rPr>
              <w:t>polylepis</w:t>
            </w:r>
          </w:p>
        </w:tc>
        <w:tc>
          <w:tcPr>
            <w:tcW w:w="1308" w:type="dxa"/>
            <w:noWrap w:val="0"/>
            <w:vAlign w:val="center"/>
          </w:tcPr>
          <w:p w14:paraId="40EBCF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CA3F6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7911F6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A154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AC376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30</w:t>
            </w:r>
            <w:r>
              <w:rPr>
                <w:rFonts w:hint="default" w:ascii="Times New Roman" w:hAnsi="Times New Roman" w:eastAsia="宋体" w:cs="Times New Roman"/>
                <w:color w:val="auto"/>
                <w:spacing w:val="5"/>
                <w:sz w:val="21"/>
                <w:szCs w:val="21"/>
              </w:rPr>
              <w:t>.</w:t>
            </w:r>
          </w:p>
        </w:tc>
        <w:tc>
          <w:tcPr>
            <w:tcW w:w="1719" w:type="dxa"/>
            <w:noWrap w:val="0"/>
            <w:vAlign w:val="center"/>
          </w:tcPr>
          <w:p w14:paraId="01EDB7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寡</w:t>
            </w:r>
            <w:r>
              <w:rPr>
                <w:rFonts w:hint="default" w:ascii="Times New Roman" w:hAnsi="Times New Roman" w:eastAsia="宋体" w:cs="Times New Roman"/>
                <w:color w:val="auto"/>
                <w:spacing w:val="6"/>
                <w:sz w:val="21"/>
                <w:szCs w:val="21"/>
              </w:rPr>
              <w:t>鳞鱊</w:t>
            </w:r>
          </w:p>
        </w:tc>
        <w:tc>
          <w:tcPr>
            <w:tcW w:w="2494" w:type="dxa"/>
            <w:noWrap w:val="0"/>
            <w:vAlign w:val="center"/>
          </w:tcPr>
          <w:p w14:paraId="011004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A</w:t>
            </w:r>
            <w:r>
              <w:rPr>
                <w:rFonts w:hint="default" w:ascii="Times New Roman" w:hAnsi="Times New Roman" w:eastAsia="宋体" w:cs="Times New Roman"/>
                <w:i/>
                <w:iCs/>
                <w:color w:val="auto"/>
                <w:spacing w:val="5"/>
                <w:position w:val="9"/>
                <w:sz w:val="21"/>
                <w:szCs w:val="21"/>
              </w:rPr>
              <w:t>cheilognathus</w:t>
            </w:r>
          </w:p>
          <w:p w14:paraId="6D8833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4"/>
                <w:position w:val="4"/>
                <w:sz w:val="21"/>
                <w:szCs w:val="21"/>
              </w:rPr>
              <w:t>hypselonotu</w:t>
            </w:r>
            <w:r>
              <w:rPr>
                <w:rFonts w:hint="default" w:ascii="Times New Roman" w:hAnsi="Times New Roman" w:eastAsia="宋体" w:cs="Times New Roman"/>
                <w:i/>
                <w:iCs/>
                <w:color w:val="auto"/>
                <w:spacing w:val="3"/>
                <w:position w:val="4"/>
                <w:sz w:val="21"/>
                <w:szCs w:val="21"/>
              </w:rPr>
              <w:t>s</w:t>
            </w:r>
          </w:p>
        </w:tc>
        <w:tc>
          <w:tcPr>
            <w:tcW w:w="1308" w:type="dxa"/>
            <w:noWrap w:val="0"/>
            <w:vAlign w:val="center"/>
          </w:tcPr>
          <w:p w14:paraId="278261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70CC0D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7F35AA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52A3A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1627F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31</w:t>
            </w:r>
            <w:r>
              <w:rPr>
                <w:rFonts w:hint="default" w:ascii="Times New Roman" w:hAnsi="Times New Roman" w:eastAsia="宋体" w:cs="Times New Roman"/>
                <w:color w:val="auto"/>
                <w:spacing w:val="5"/>
                <w:sz w:val="21"/>
                <w:szCs w:val="21"/>
              </w:rPr>
              <w:t>.</w:t>
            </w:r>
          </w:p>
        </w:tc>
        <w:tc>
          <w:tcPr>
            <w:tcW w:w="1719" w:type="dxa"/>
            <w:noWrap w:val="0"/>
            <w:vAlign w:val="center"/>
          </w:tcPr>
          <w:p w14:paraId="770EFE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无</w:t>
            </w:r>
            <w:r>
              <w:rPr>
                <w:rFonts w:hint="default" w:ascii="Times New Roman" w:hAnsi="Times New Roman" w:eastAsia="宋体" w:cs="Times New Roman"/>
                <w:color w:val="auto"/>
                <w:spacing w:val="6"/>
                <w:sz w:val="21"/>
                <w:szCs w:val="21"/>
              </w:rPr>
              <w:t>须鱊</w:t>
            </w:r>
          </w:p>
        </w:tc>
        <w:tc>
          <w:tcPr>
            <w:tcW w:w="2494" w:type="dxa"/>
            <w:noWrap w:val="0"/>
            <w:vAlign w:val="center"/>
          </w:tcPr>
          <w:p w14:paraId="2A6226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Acheilognathus</w:t>
            </w:r>
            <w:r>
              <w:rPr>
                <w:rFonts w:hint="default" w:ascii="Times New Roman" w:hAnsi="Times New Roman" w:eastAsia="宋体" w:cs="Times New Roman"/>
                <w:color w:val="auto"/>
                <w:spacing w:val="103"/>
                <w:position w:val="4"/>
                <w:sz w:val="21"/>
                <w:szCs w:val="21"/>
              </w:rPr>
              <w:t xml:space="preserve"> </w:t>
            </w:r>
            <w:r>
              <w:rPr>
                <w:rFonts w:hint="default" w:ascii="Times New Roman" w:hAnsi="Times New Roman" w:eastAsia="宋体" w:cs="Times New Roman"/>
                <w:i/>
                <w:iCs/>
                <w:color w:val="auto"/>
                <w:position w:val="4"/>
                <w:sz w:val="21"/>
                <w:szCs w:val="21"/>
              </w:rPr>
              <w:t>gracitis</w:t>
            </w:r>
          </w:p>
        </w:tc>
        <w:tc>
          <w:tcPr>
            <w:tcW w:w="1308" w:type="dxa"/>
            <w:noWrap w:val="0"/>
            <w:vAlign w:val="center"/>
          </w:tcPr>
          <w:p w14:paraId="1676F4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B00D7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7E142D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B1FF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A6538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32</w:t>
            </w:r>
            <w:r>
              <w:rPr>
                <w:rFonts w:hint="default" w:ascii="Times New Roman" w:hAnsi="Times New Roman" w:eastAsia="宋体" w:cs="Times New Roman"/>
                <w:color w:val="auto"/>
                <w:spacing w:val="5"/>
                <w:sz w:val="21"/>
                <w:szCs w:val="21"/>
              </w:rPr>
              <w:t>.</w:t>
            </w:r>
          </w:p>
        </w:tc>
        <w:tc>
          <w:tcPr>
            <w:tcW w:w="1719" w:type="dxa"/>
            <w:noWrap w:val="0"/>
            <w:vAlign w:val="center"/>
          </w:tcPr>
          <w:p w14:paraId="6532A9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兴</w:t>
            </w:r>
            <w:r>
              <w:rPr>
                <w:rFonts w:hint="default" w:ascii="Times New Roman" w:hAnsi="Times New Roman" w:eastAsia="宋体" w:cs="Times New Roman"/>
                <w:color w:val="auto"/>
                <w:spacing w:val="5"/>
                <w:sz w:val="21"/>
                <w:szCs w:val="21"/>
              </w:rPr>
              <w:t>凯鱊</w:t>
            </w:r>
          </w:p>
        </w:tc>
        <w:tc>
          <w:tcPr>
            <w:tcW w:w="2494" w:type="dxa"/>
            <w:noWrap w:val="0"/>
            <w:vAlign w:val="center"/>
          </w:tcPr>
          <w:p w14:paraId="282C5A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A</w:t>
            </w:r>
            <w:r>
              <w:rPr>
                <w:rFonts w:hint="default" w:ascii="Times New Roman" w:hAnsi="Times New Roman" w:eastAsia="宋体" w:cs="Times New Roman"/>
                <w:i/>
                <w:iCs/>
                <w:color w:val="auto"/>
                <w:spacing w:val="5"/>
                <w:position w:val="9"/>
                <w:sz w:val="21"/>
                <w:szCs w:val="21"/>
              </w:rPr>
              <w:t>cheilognathus</w:t>
            </w:r>
          </w:p>
          <w:p w14:paraId="2E41BF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4"/>
                <w:position w:val="2"/>
                <w:sz w:val="21"/>
                <w:szCs w:val="21"/>
              </w:rPr>
              <w:t>chankaensi</w:t>
            </w:r>
            <w:r>
              <w:rPr>
                <w:rFonts w:hint="default" w:ascii="Times New Roman" w:hAnsi="Times New Roman" w:eastAsia="宋体" w:cs="Times New Roman"/>
                <w:i/>
                <w:iCs/>
                <w:color w:val="auto"/>
                <w:spacing w:val="3"/>
                <w:position w:val="2"/>
                <w:sz w:val="21"/>
                <w:szCs w:val="21"/>
              </w:rPr>
              <w:t>s</w:t>
            </w:r>
          </w:p>
        </w:tc>
        <w:tc>
          <w:tcPr>
            <w:tcW w:w="1308" w:type="dxa"/>
            <w:noWrap w:val="0"/>
            <w:vAlign w:val="center"/>
          </w:tcPr>
          <w:p w14:paraId="70D1AE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3BBBC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62B7B0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DD91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12D47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33</w:t>
            </w:r>
            <w:r>
              <w:rPr>
                <w:rFonts w:hint="default" w:ascii="Times New Roman" w:hAnsi="Times New Roman" w:eastAsia="宋体" w:cs="Times New Roman"/>
                <w:color w:val="auto"/>
                <w:spacing w:val="5"/>
                <w:sz w:val="21"/>
                <w:szCs w:val="21"/>
              </w:rPr>
              <w:t>.</w:t>
            </w:r>
          </w:p>
        </w:tc>
        <w:tc>
          <w:tcPr>
            <w:tcW w:w="1719" w:type="dxa"/>
            <w:noWrap w:val="0"/>
            <w:vAlign w:val="center"/>
          </w:tcPr>
          <w:p w14:paraId="5A345F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斑条</w:t>
            </w:r>
            <w:r>
              <w:rPr>
                <w:rFonts w:hint="default" w:ascii="Times New Roman" w:hAnsi="Times New Roman" w:eastAsia="宋体" w:cs="Times New Roman"/>
                <w:color w:val="auto"/>
                <w:spacing w:val="6"/>
                <w:sz w:val="21"/>
                <w:szCs w:val="21"/>
              </w:rPr>
              <w:t>鱊</w:t>
            </w:r>
          </w:p>
        </w:tc>
        <w:tc>
          <w:tcPr>
            <w:tcW w:w="2494" w:type="dxa"/>
            <w:noWrap w:val="0"/>
            <w:vAlign w:val="center"/>
          </w:tcPr>
          <w:p w14:paraId="0E95E0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A</w:t>
            </w:r>
            <w:r>
              <w:rPr>
                <w:rFonts w:hint="default" w:ascii="Times New Roman" w:hAnsi="Times New Roman" w:eastAsia="宋体" w:cs="Times New Roman"/>
                <w:i/>
                <w:iCs/>
                <w:color w:val="auto"/>
                <w:spacing w:val="5"/>
                <w:position w:val="9"/>
                <w:sz w:val="21"/>
                <w:szCs w:val="21"/>
              </w:rPr>
              <w:t>cheilognathus</w:t>
            </w:r>
          </w:p>
          <w:p w14:paraId="629A31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5"/>
                <w:position w:val="2"/>
                <w:sz w:val="21"/>
                <w:szCs w:val="21"/>
              </w:rPr>
              <w:t>t</w:t>
            </w:r>
            <w:r>
              <w:rPr>
                <w:rFonts w:hint="default" w:ascii="Times New Roman" w:hAnsi="Times New Roman" w:eastAsia="宋体" w:cs="Times New Roman"/>
                <w:i/>
                <w:iCs/>
                <w:color w:val="auto"/>
                <w:spacing w:val="3"/>
                <w:position w:val="2"/>
                <w:sz w:val="21"/>
                <w:szCs w:val="21"/>
              </w:rPr>
              <w:t>aenianalis</w:t>
            </w:r>
          </w:p>
        </w:tc>
        <w:tc>
          <w:tcPr>
            <w:tcW w:w="1308" w:type="dxa"/>
            <w:noWrap w:val="0"/>
            <w:vAlign w:val="center"/>
          </w:tcPr>
          <w:p w14:paraId="5535A7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A7C45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643FF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6E21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6065F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34</w:t>
            </w:r>
            <w:r>
              <w:rPr>
                <w:rFonts w:hint="default" w:ascii="Times New Roman" w:hAnsi="Times New Roman" w:eastAsia="宋体" w:cs="Times New Roman"/>
                <w:color w:val="auto"/>
                <w:spacing w:val="5"/>
                <w:sz w:val="21"/>
                <w:szCs w:val="21"/>
              </w:rPr>
              <w:t>.</w:t>
            </w:r>
          </w:p>
        </w:tc>
        <w:tc>
          <w:tcPr>
            <w:tcW w:w="1719" w:type="dxa"/>
            <w:noWrap w:val="0"/>
            <w:vAlign w:val="center"/>
          </w:tcPr>
          <w:p w14:paraId="7FF586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越南鱊</w:t>
            </w:r>
          </w:p>
        </w:tc>
        <w:tc>
          <w:tcPr>
            <w:tcW w:w="2494" w:type="dxa"/>
            <w:noWrap w:val="0"/>
            <w:vAlign w:val="center"/>
          </w:tcPr>
          <w:p w14:paraId="7EA1B5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A</w:t>
            </w:r>
            <w:r>
              <w:rPr>
                <w:rFonts w:hint="default" w:ascii="Times New Roman" w:hAnsi="Times New Roman" w:eastAsia="宋体" w:cs="Times New Roman"/>
                <w:i/>
                <w:iCs/>
                <w:color w:val="auto"/>
                <w:spacing w:val="5"/>
                <w:position w:val="9"/>
                <w:sz w:val="21"/>
                <w:szCs w:val="21"/>
              </w:rPr>
              <w:t>cheilognathus</w:t>
            </w:r>
          </w:p>
          <w:p w14:paraId="7440D6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2"/>
                <w:sz w:val="21"/>
                <w:szCs w:val="21"/>
              </w:rPr>
              <w:t>t</w:t>
            </w:r>
            <w:r>
              <w:rPr>
                <w:rFonts w:hint="default" w:ascii="Times New Roman" w:hAnsi="Times New Roman" w:eastAsia="宋体" w:cs="Times New Roman"/>
                <w:i/>
                <w:iCs/>
                <w:color w:val="auto"/>
                <w:spacing w:val="3"/>
                <w:position w:val="2"/>
                <w:sz w:val="21"/>
                <w:szCs w:val="21"/>
              </w:rPr>
              <w:t>onkinensis</w:t>
            </w:r>
          </w:p>
        </w:tc>
        <w:tc>
          <w:tcPr>
            <w:tcW w:w="1308" w:type="dxa"/>
            <w:noWrap w:val="0"/>
            <w:vAlign w:val="center"/>
          </w:tcPr>
          <w:p w14:paraId="364CF4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AC612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69C82F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4078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9B848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35</w:t>
            </w:r>
            <w:r>
              <w:rPr>
                <w:rFonts w:hint="default" w:ascii="Times New Roman" w:hAnsi="Times New Roman" w:eastAsia="宋体" w:cs="Times New Roman"/>
                <w:color w:val="auto"/>
                <w:spacing w:val="5"/>
                <w:sz w:val="21"/>
                <w:szCs w:val="21"/>
              </w:rPr>
              <w:t>.</w:t>
            </w:r>
          </w:p>
        </w:tc>
        <w:tc>
          <w:tcPr>
            <w:tcW w:w="1719" w:type="dxa"/>
            <w:noWrap w:val="0"/>
            <w:vAlign w:val="center"/>
          </w:tcPr>
          <w:p w14:paraId="58FFEE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短须鱊</w:t>
            </w:r>
          </w:p>
        </w:tc>
        <w:tc>
          <w:tcPr>
            <w:tcW w:w="2494" w:type="dxa"/>
            <w:noWrap w:val="0"/>
            <w:vAlign w:val="center"/>
          </w:tcPr>
          <w:p w14:paraId="222924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Acheilognathus</w:t>
            </w:r>
            <w:r>
              <w:rPr>
                <w:rFonts w:hint="default" w:ascii="Times New Roman" w:hAnsi="Times New Roman" w:eastAsia="宋体" w:cs="Times New Roman"/>
                <w:color w:val="auto"/>
                <w:spacing w:val="112"/>
                <w:position w:val="4"/>
                <w:sz w:val="21"/>
                <w:szCs w:val="21"/>
              </w:rPr>
              <w:t xml:space="preserve"> </w:t>
            </w:r>
            <w:r>
              <w:rPr>
                <w:rFonts w:hint="default" w:ascii="Times New Roman" w:hAnsi="Times New Roman" w:eastAsia="宋体" w:cs="Times New Roman"/>
                <w:i/>
                <w:iCs/>
                <w:color w:val="auto"/>
                <w:position w:val="4"/>
                <w:sz w:val="21"/>
                <w:szCs w:val="21"/>
              </w:rPr>
              <w:t>babatulus</w:t>
            </w:r>
          </w:p>
        </w:tc>
        <w:tc>
          <w:tcPr>
            <w:tcW w:w="1308" w:type="dxa"/>
            <w:noWrap w:val="0"/>
            <w:vAlign w:val="center"/>
          </w:tcPr>
          <w:p w14:paraId="0232CA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20C67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2FC894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55B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B4252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36</w:t>
            </w:r>
            <w:r>
              <w:rPr>
                <w:rFonts w:hint="default" w:ascii="Times New Roman" w:hAnsi="Times New Roman" w:eastAsia="宋体" w:cs="Times New Roman"/>
                <w:color w:val="auto"/>
                <w:spacing w:val="5"/>
                <w:sz w:val="21"/>
                <w:szCs w:val="21"/>
              </w:rPr>
              <w:t>.</w:t>
            </w:r>
          </w:p>
        </w:tc>
        <w:tc>
          <w:tcPr>
            <w:tcW w:w="1719" w:type="dxa"/>
            <w:noWrap w:val="0"/>
            <w:vAlign w:val="center"/>
          </w:tcPr>
          <w:p w14:paraId="0F266C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中</w:t>
            </w:r>
            <w:r>
              <w:rPr>
                <w:rFonts w:hint="default" w:ascii="Times New Roman" w:hAnsi="Times New Roman" w:eastAsia="宋体" w:cs="Times New Roman"/>
                <w:color w:val="auto"/>
                <w:spacing w:val="2"/>
                <w:sz w:val="21"/>
                <w:szCs w:val="21"/>
              </w:rPr>
              <w:t>华飘鱼</w:t>
            </w:r>
          </w:p>
        </w:tc>
        <w:tc>
          <w:tcPr>
            <w:tcW w:w="2494" w:type="dxa"/>
            <w:noWrap w:val="0"/>
            <w:vAlign w:val="center"/>
          </w:tcPr>
          <w:p w14:paraId="635DC3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Pseudolaubuca</w:t>
            </w:r>
            <w:r>
              <w:rPr>
                <w:rFonts w:hint="default" w:ascii="Times New Roman" w:hAnsi="Times New Roman" w:eastAsia="宋体" w:cs="Times New Roman"/>
                <w:color w:val="auto"/>
                <w:spacing w:val="99"/>
                <w:position w:val="2"/>
                <w:sz w:val="21"/>
                <w:szCs w:val="21"/>
              </w:rPr>
              <w:t xml:space="preserve"> </w:t>
            </w:r>
            <w:r>
              <w:rPr>
                <w:rFonts w:hint="default" w:ascii="Times New Roman" w:hAnsi="Times New Roman" w:eastAsia="宋体" w:cs="Times New Roman"/>
                <w:i/>
                <w:iCs/>
                <w:color w:val="auto"/>
                <w:position w:val="2"/>
                <w:sz w:val="21"/>
                <w:szCs w:val="21"/>
              </w:rPr>
              <w:t>sinensis</w:t>
            </w:r>
          </w:p>
        </w:tc>
        <w:tc>
          <w:tcPr>
            <w:tcW w:w="1308" w:type="dxa"/>
            <w:noWrap w:val="0"/>
            <w:vAlign w:val="center"/>
          </w:tcPr>
          <w:p w14:paraId="1BB61C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892AB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EC34E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5928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A94F4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37</w:t>
            </w:r>
            <w:r>
              <w:rPr>
                <w:rFonts w:hint="default" w:ascii="Times New Roman" w:hAnsi="Times New Roman" w:eastAsia="宋体" w:cs="Times New Roman"/>
                <w:color w:val="auto"/>
                <w:spacing w:val="5"/>
                <w:sz w:val="21"/>
                <w:szCs w:val="21"/>
              </w:rPr>
              <w:t>.</w:t>
            </w:r>
          </w:p>
        </w:tc>
        <w:tc>
          <w:tcPr>
            <w:tcW w:w="1719" w:type="dxa"/>
            <w:noWrap w:val="0"/>
            <w:vAlign w:val="center"/>
          </w:tcPr>
          <w:p w14:paraId="38ACC4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寡鳞飘</w:t>
            </w:r>
            <w:r>
              <w:rPr>
                <w:rFonts w:hint="default" w:ascii="Times New Roman" w:hAnsi="Times New Roman" w:eastAsia="宋体" w:cs="Times New Roman"/>
                <w:color w:val="auto"/>
                <w:spacing w:val="6"/>
                <w:sz w:val="21"/>
                <w:szCs w:val="21"/>
              </w:rPr>
              <w:t>鱼</w:t>
            </w:r>
          </w:p>
        </w:tc>
        <w:tc>
          <w:tcPr>
            <w:tcW w:w="2494" w:type="dxa"/>
            <w:noWrap w:val="0"/>
            <w:vAlign w:val="center"/>
          </w:tcPr>
          <w:p w14:paraId="27C76A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Pseudolaubuca</w:t>
            </w:r>
            <w:r>
              <w:rPr>
                <w:rFonts w:hint="default" w:ascii="Times New Roman" w:hAnsi="Times New Roman" w:eastAsia="宋体" w:cs="Times New Roman"/>
                <w:color w:val="auto"/>
                <w:spacing w:val="104"/>
                <w:position w:val="4"/>
                <w:sz w:val="21"/>
                <w:szCs w:val="21"/>
              </w:rPr>
              <w:t xml:space="preserve"> </w:t>
            </w:r>
            <w:r>
              <w:rPr>
                <w:rFonts w:hint="default" w:ascii="Times New Roman" w:hAnsi="Times New Roman" w:eastAsia="宋体" w:cs="Times New Roman"/>
                <w:i/>
                <w:iCs/>
                <w:color w:val="auto"/>
                <w:position w:val="4"/>
                <w:sz w:val="21"/>
                <w:szCs w:val="21"/>
              </w:rPr>
              <w:t>engraulis</w:t>
            </w:r>
          </w:p>
        </w:tc>
        <w:tc>
          <w:tcPr>
            <w:tcW w:w="1308" w:type="dxa"/>
            <w:noWrap w:val="0"/>
            <w:vAlign w:val="center"/>
          </w:tcPr>
          <w:p w14:paraId="14DB62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16500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DD52F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55EEC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445D83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38</w:t>
            </w:r>
            <w:r>
              <w:rPr>
                <w:rFonts w:hint="default" w:ascii="Times New Roman" w:hAnsi="Times New Roman" w:eastAsia="宋体" w:cs="Times New Roman"/>
                <w:color w:val="auto"/>
                <w:spacing w:val="5"/>
                <w:sz w:val="21"/>
                <w:szCs w:val="21"/>
              </w:rPr>
              <w:t>.</w:t>
            </w:r>
          </w:p>
        </w:tc>
        <w:tc>
          <w:tcPr>
            <w:tcW w:w="1719" w:type="dxa"/>
            <w:noWrap w:val="0"/>
            <w:vAlign w:val="center"/>
          </w:tcPr>
          <w:p w14:paraId="74E69A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红鳍原鲌</w:t>
            </w:r>
          </w:p>
        </w:tc>
        <w:tc>
          <w:tcPr>
            <w:tcW w:w="2494" w:type="dxa"/>
            <w:noWrap w:val="0"/>
            <w:vAlign w:val="center"/>
          </w:tcPr>
          <w:p w14:paraId="1EF1F6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Cultrichthys</w:t>
            </w:r>
            <w:r>
              <w:rPr>
                <w:rFonts w:hint="default" w:ascii="Times New Roman" w:hAnsi="Times New Roman" w:eastAsia="宋体" w:cs="Times New Roman"/>
                <w:color w:val="auto"/>
                <w:spacing w:val="85"/>
                <w:position w:val="4"/>
                <w:sz w:val="21"/>
                <w:szCs w:val="21"/>
              </w:rPr>
              <w:t xml:space="preserve"> </w:t>
            </w:r>
            <w:r>
              <w:rPr>
                <w:rFonts w:hint="default" w:ascii="Times New Roman" w:hAnsi="Times New Roman" w:eastAsia="宋体" w:cs="Times New Roman"/>
                <w:i/>
                <w:iCs/>
                <w:color w:val="auto"/>
                <w:position w:val="4"/>
                <w:sz w:val="21"/>
                <w:szCs w:val="21"/>
              </w:rPr>
              <w:t>erythropterus</w:t>
            </w:r>
          </w:p>
        </w:tc>
        <w:tc>
          <w:tcPr>
            <w:tcW w:w="1308" w:type="dxa"/>
            <w:noWrap w:val="0"/>
            <w:vAlign w:val="center"/>
          </w:tcPr>
          <w:p w14:paraId="054A07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DB3E3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31C7F3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B88C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4EE06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39</w:t>
            </w:r>
            <w:r>
              <w:rPr>
                <w:rFonts w:hint="default" w:ascii="Times New Roman" w:hAnsi="Times New Roman" w:eastAsia="宋体" w:cs="Times New Roman"/>
                <w:color w:val="auto"/>
                <w:spacing w:val="5"/>
                <w:sz w:val="21"/>
                <w:szCs w:val="21"/>
              </w:rPr>
              <w:t>.</w:t>
            </w:r>
          </w:p>
        </w:tc>
        <w:tc>
          <w:tcPr>
            <w:tcW w:w="1719" w:type="dxa"/>
            <w:noWrap w:val="0"/>
            <w:vAlign w:val="center"/>
          </w:tcPr>
          <w:p w14:paraId="5A4FDD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翘嘴鲌</w:t>
            </w:r>
          </w:p>
        </w:tc>
        <w:tc>
          <w:tcPr>
            <w:tcW w:w="2494" w:type="dxa"/>
            <w:noWrap w:val="0"/>
            <w:vAlign w:val="center"/>
          </w:tcPr>
          <w:p w14:paraId="65F6E9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Culter</w:t>
            </w:r>
            <w:r>
              <w:rPr>
                <w:rFonts w:hint="default" w:ascii="Times New Roman" w:hAnsi="Times New Roman" w:eastAsia="宋体" w:cs="Times New Roman"/>
                <w:color w:val="auto"/>
                <w:spacing w:val="50"/>
                <w:position w:val="2"/>
                <w:sz w:val="21"/>
                <w:szCs w:val="21"/>
              </w:rPr>
              <w:t xml:space="preserve"> </w:t>
            </w:r>
            <w:r>
              <w:rPr>
                <w:rFonts w:hint="default" w:ascii="Times New Roman" w:hAnsi="Times New Roman" w:eastAsia="宋体" w:cs="Times New Roman"/>
                <w:i/>
                <w:iCs/>
                <w:color w:val="auto"/>
                <w:position w:val="2"/>
                <w:sz w:val="21"/>
                <w:szCs w:val="21"/>
              </w:rPr>
              <w:t>alburnus</w:t>
            </w:r>
          </w:p>
        </w:tc>
        <w:tc>
          <w:tcPr>
            <w:tcW w:w="1308" w:type="dxa"/>
            <w:noWrap w:val="0"/>
            <w:vAlign w:val="center"/>
          </w:tcPr>
          <w:p w14:paraId="16441B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4F8BD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630286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0C416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09C72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0.</w:t>
            </w:r>
          </w:p>
        </w:tc>
        <w:tc>
          <w:tcPr>
            <w:tcW w:w="1719" w:type="dxa"/>
            <w:noWrap w:val="0"/>
            <w:vAlign w:val="center"/>
          </w:tcPr>
          <w:p w14:paraId="4E8A69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蒙古鲌</w:t>
            </w:r>
          </w:p>
        </w:tc>
        <w:tc>
          <w:tcPr>
            <w:tcW w:w="2494" w:type="dxa"/>
            <w:noWrap w:val="0"/>
            <w:vAlign w:val="center"/>
          </w:tcPr>
          <w:p w14:paraId="781D5E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9"/>
                <w:sz w:val="21"/>
                <w:szCs w:val="21"/>
              </w:rPr>
              <w:t>Cul</w:t>
            </w:r>
            <w:r>
              <w:rPr>
                <w:rFonts w:hint="default" w:ascii="Times New Roman" w:hAnsi="Times New Roman" w:eastAsia="宋体" w:cs="Times New Roman"/>
                <w:i/>
                <w:iCs/>
                <w:color w:val="auto"/>
                <w:spacing w:val="3"/>
                <w:position w:val="9"/>
                <w:sz w:val="21"/>
                <w:szCs w:val="21"/>
              </w:rPr>
              <w:t>termongolicus</w:t>
            </w:r>
          </w:p>
          <w:p w14:paraId="311737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7"/>
                <w:position w:val="4"/>
                <w:sz w:val="21"/>
                <w:szCs w:val="21"/>
              </w:rPr>
              <w:t>m</w:t>
            </w:r>
            <w:r>
              <w:rPr>
                <w:rFonts w:hint="default" w:ascii="Times New Roman" w:hAnsi="Times New Roman" w:eastAsia="宋体" w:cs="Times New Roman"/>
                <w:i/>
                <w:iCs/>
                <w:color w:val="auto"/>
                <w:spacing w:val="4"/>
                <w:position w:val="4"/>
                <w:sz w:val="21"/>
                <w:szCs w:val="21"/>
              </w:rPr>
              <w:t>ongolicus</w:t>
            </w:r>
          </w:p>
        </w:tc>
        <w:tc>
          <w:tcPr>
            <w:tcW w:w="1308" w:type="dxa"/>
            <w:noWrap w:val="0"/>
            <w:vAlign w:val="center"/>
          </w:tcPr>
          <w:p w14:paraId="299AD4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5597A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144235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2DBCE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64409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1.</w:t>
            </w:r>
          </w:p>
        </w:tc>
        <w:tc>
          <w:tcPr>
            <w:tcW w:w="1719" w:type="dxa"/>
            <w:noWrap w:val="0"/>
            <w:vAlign w:val="center"/>
          </w:tcPr>
          <w:p w14:paraId="42E551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达氏鲌</w:t>
            </w:r>
          </w:p>
        </w:tc>
        <w:tc>
          <w:tcPr>
            <w:tcW w:w="2494" w:type="dxa"/>
            <w:noWrap w:val="0"/>
            <w:vAlign w:val="center"/>
          </w:tcPr>
          <w:p w14:paraId="7276CB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Culter</w:t>
            </w:r>
            <w:r>
              <w:rPr>
                <w:rFonts w:hint="default" w:ascii="Times New Roman" w:hAnsi="Times New Roman" w:eastAsia="宋体" w:cs="Times New Roman"/>
                <w:color w:val="auto"/>
                <w:spacing w:val="34"/>
                <w:position w:val="4"/>
                <w:sz w:val="21"/>
                <w:szCs w:val="21"/>
              </w:rPr>
              <w:t xml:space="preserve"> </w:t>
            </w:r>
            <w:r>
              <w:rPr>
                <w:rFonts w:hint="default" w:ascii="Times New Roman" w:hAnsi="Times New Roman" w:eastAsia="宋体" w:cs="Times New Roman"/>
                <w:i/>
                <w:iCs/>
                <w:color w:val="auto"/>
                <w:position w:val="4"/>
                <w:sz w:val="21"/>
                <w:szCs w:val="21"/>
              </w:rPr>
              <w:t>dabryi</w:t>
            </w:r>
            <w:r>
              <w:rPr>
                <w:rFonts w:hint="default" w:ascii="Times New Roman" w:hAnsi="Times New Roman" w:eastAsia="宋体" w:cs="Times New Roman"/>
                <w:color w:val="auto"/>
                <w:spacing w:val="34"/>
                <w:position w:val="4"/>
                <w:sz w:val="21"/>
                <w:szCs w:val="21"/>
              </w:rPr>
              <w:t xml:space="preserve"> </w:t>
            </w:r>
            <w:r>
              <w:rPr>
                <w:rFonts w:hint="default" w:ascii="Times New Roman" w:hAnsi="Times New Roman" w:eastAsia="宋体" w:cs="Times New Roman"/>
                <w:i/>
                <w:iCs/>
                <w:color w:val="auto"/>
                <w:position w:val="4"/>
                <w:sz w:val="21"/>
                <w:szCs w:val="21"/>
              </w:rPr>
              <w:t>dabryi</w:t>
            </w:r>
          </w:p>
        </w:tc>
        <w:tc>
          <w:tcPr>
            <w:tcW w:w="1308" w:type="dxa"/>
            <w:noWrap w:val="0"/>
            <w:vAlign w:val="center"/>
          </w:tcPr>
          <w:p w14:paraId="1105CA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AE89A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4BE218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7B66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04985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2.</w:t>
            </w:r>
          </w:p>
        </w:tc>
        <w:tc>
          <w:tcPr>
            <w:tcW w:w="1719" w:type="dxa"/>
            <w:noWrap w:val="0"/>
            <w:vAlign w:val="center"/>
          </w:tcPr>
          <w:p w14:paraId="62A2B1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拟</w:t>
            </w:r>
            <w:r>
              <w:rPr>
                <w:rFonts w:hint="default" w:ascii="Times New Roman" w:hAnsi="Times New Roman" w:eastAsia="宋体" w:cs="Times New Roman"/>
                <w:color w:val="auto"/>
                <w:spacing w:val="7"/>
                <w:sz w:val="21"/>
                <w:szCs w:val="21"/>
              </w:rPr>
              <w:t>尖头鲌</w:t>
            </w:r>
          </w:p>
        </w:tc>
        <w:tc>
          <w:tcPr>
            <w:tcW w:w="2494" w:type="dxa"/>
            <w:noWrap w:val="0"/>
            <w:vAlign w:val="center"/>
          </w:tcPr>
          <w:p w14:paraId="33CCA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Culter</w:t>
            </w:r>
            <w:r>
              <w:rPr>
                <w:rFonts w:hint="default" w:ascii="Times New Roman" w:hAnsi="Times New Roman" w:eastAsia="宋体" w:cs="Times New Roman"/>
                <w:color w:val="auto"/>
                <w:spacing w:val="75"/>
                <w:position w:val="4"/>
                <w:sz w:val="21"/>
                <w:szCs w:val="21"/>
              </w:rPr>
              <w:t xml:space="preserve"> </w:t>
            </w:r>
            <w:r>
              <w:rPr>
                <w:rFonts w:hint="default" w:ascii="Times New Roman" w:hAnsi="Times New Roman" w:eastAsia="宋体" w:cs="Times New Roman"/>
                <w:i/>
                <w:iCs/>
                <w:color w:val="auto"/>
                <w:position w:val="4"/>
                <w:sz w:val="21"/>
                <w:szCs w:val="21"/>
              </w:rPr>
              <w:t>oxycephaloides</w:t>
            </w:r>
          </w:p>
        </w:tc>
        <w:tc>
          <w:tcPr>
            <w:tcW w:w="1308" w:type="dxa"/>
            <w:noWrap w:val="0"/>
            <w:vAlign w:val="center"/>
          </w:tcPr>
          <w:p w14:paraId="396B94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91787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789166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13F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A43A9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3.</w:t>
            </w:r>
          </w:p>
        </w:tc>
        <w:tc>
          <w:tcPr>
            <w:tcW w:w="1719" w:type="dxa"/>
            <w:noWrap w:val="0"/>
            <w:vAlign w:val="center"/>
          </w:tcPr>
          <w:p w14:paraId="67CAC8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尖头鲌</w:t>
            </w:r>
          </w:p>
        </w:tc>
        <w:tc>
          <w:tcPr>
            <w:tcW w:w="2494" w:type="dxa"/>
            <w:noWrap w:val="0"/>
            <w:vAlign w:val="center"/>
          </w:tcPr>
          <w:p w14:paraId="6FBAB8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Culter</w:t>
            </w:r>
            <w:r>
              <w:rPr>
                <w:rFonts w:hint="default" w:ascii="Times New Roman" w:hAnsi="Times New Roman" w:eastAsia="宋体" w:cs="Times New Roman"/>
                <w:color w:val="auto"/>
                <w:spacing w:val="63"/>
                <w:position w:val="4"/>
                <w:sz w:val="21"/>
                <w:szCs w:val="21"/>
              </w:rPr>
              <w:t xml:space="preserve"> </w:t>
            </w:r>
            <w:r>
              <w:rPr>
                <w:rFonts w:hint="default" w:ascii="Times New Roman" w:hAnsi="Times New Roman" w:eastAsia="宋体" w:cs="Times New Roman"/>
                <w:i/>
                <w:iCs/>
                <w:color w:val="auto"/>
                <w:position w:val="4"/>
                <w:sz w:val="21"/>
                <w:szCs w:val="21"/>
              </w:rPr>
              <w:t>oxycephalus</w:t>
            </w:r>
          </w:p>
        </w:tc>
        <w:tc>
          <w:tcPr>
            <w:tcW w:w="1308" w:type="dxa"/>
            <w:noWrap w:val="0"/>
            <w:vAlign w:val="center"/>
          </w:tcPr>
          <w:p w14:paraId="44AC02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22272D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666D37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07FC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6A17D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4.</w:t>
            </w:r>
          </w:p>
        </w:tc>
        <w:tc>
          <w:tcPr>
            <w:tcW w:w="1719" w:type="dxa"/>
            <w:noWrap w:val="0"/>
            <w:vAlign w:val="center"/>
          </w:tcPr>
          <w:p w14:paraId="715562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䱗</w:t>
            </w:r>
          </w:p>
        </w:tc>
        <w:tc>
          <w:tcPr>
            <w:tcW w:w="2494" w:type="dxa"/>
            <w:noWrap w:val="0"/>
            <w:vAlign w:val="center"/>
          </w:tcPr>
          <w:p w14:paraId="6AECDB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Hemiculter</w:t>
            </w:r>
            <w:r>
              <w:rPr>
                <w:rFonts w:hint="default" w:ascii="Times New Roman" w:hAnsi="Times New Roman" w:eastAsia="宋体" w:cs="Times New Roman"/>
                <w:color w:val="auto"/>
                <w:spacing w:val="98"/>
                <w:position w:val="2"/>
                <w:sz w:val="21"/>
                <w:szCs w:val="21"/>
              </w:rPr>
              <w:t xml:space="preserve"> </w:t>
            </w:r>
            <w:r>
              <w:rPr>
                <w:rFonts w:hint="default" w:ascii="Times New Roman" w:hAnsi="Times New Roman" w:eastAsia="宋体" w:cs="Times New Roman"/>
                <w:i/>
                <w:iCs/>
                <w:color w:val="auto"/>
                <w:position w:val="2"/>
                <w:sz w:val="21"/>
                <w:szCs w:val="21"/>
              </w:rPr>
              <w:t>leucisculus</w:t>
            </w:r>
          </w:p>
        </w:tc>
        <w:tc>
          <w:tcPr>
            <w:tcW w:w="1308" w:type="dxa"/>
            <w:noWrap w:val="0"/>
            <w:vAlign w:val="center"/>
          </w:tcPr>
          <w:p w14:paraId="0FAAB8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ADCA2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39719F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151E7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955D3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5.</w:t>
            </w:r>
          </w:p>
        </w:tc>
        <w:tc>
          <w:tcPr>
            <w:tcW w:w="1719" w:type="dxa"/>
            <w:noWrap w:val="0"/>
            <w:vAlign w:val="center"/>
          </w:tcPr>
          <w:p w14:paraId="27D5BF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贝氏䱗</w:t>
            </w:r>
          </w:p>
        </w:tc>
        <w:tc>
          <w:tcPr>
            <w:tcW w:w="2494" w:type="dxa"/>
            <w:noWrap w:val="0"/>
            <w:vAlign w:val="center"/>
          </w:tcPr>
          <w:p w14:paraId="2992A0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Hemiculter</w:t>
            </w:r>
            <w:r>
              <w:rPr>
                <w:rFonts w:hint="default" w:ascii="Times New Roman" w:hAnsi="Times New Roman" w:eastAsia="宋体" w:cs="Times New Roman"/>
                <w:color w:val="auto"/>
                <w:spacing w:val="85"/>
                <w:position w:val="2"/>
                <w:sz w:val="21"/>
                <w:szCs w:val="21"/>
              </w:rPr>
              <w:t xml:space="preserve"> </w:t>
            </w:r>
            <w:r>
              <w:rPr>
                <w:rFonts w:hint="default" w:ascii="Times New Roman" w:hAnsi="Times New Roman" w:eastAsia="宋体" w:cs="Times New Roman"/>
                <w:i/>
                <w:iCs/>
                <w:color w:val="auto"/>
                <w:position w:val="2"/>
                <w:sz w:val="21"/>
                <w:szCs w:val="21"/>
              </w:rPr>
              <w:t>bleekeri</w:t>
            </w:r>
          </w:p>
        </w:tc>
        <w:tc>
          <w:tcPr>
            <w:tcW w:w="1308" w:type="dxa"/>
            <w:noWrap w:val="0"/>
            <w:vAlign w:val="center"/>
          </w:tcPr>
          <w:p w14:paraId="6F342D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51DDA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2CB653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09EE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75959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6.</w:t>
            </w:r>
          </w:p>
        </w:tc>
        <w:tc>
          <w:tcPr>
            <w:tcW w:w="1719" w:type="dxa"/>
            <w:noWrap w:val="0"/>
            <w:vAlign w:val="center"/>
          </w:tcPr>
          <w:p w14:paraId="3F6383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似鱎</w:t>
            </w:r>
          </w:p>
        </w:tc>
        <w:tc>
          <w:tcPr>
            <w:tcW w:w="2494" w:type="dxa"/>
            <w:noWrap w:val="0"/>
            <w:vAlign w:val="center"/>
          </w:tcPr>
          <w:p w14:paraId="1FFEBE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Toxabramis</w:t>
            </w:r>
            <w:r>
              <w:rPr>
                <w:rFonts w:hint="default" w:ascii="Times New Roman" w:hAnsi="Times New Roman" w:eastAsia="宋体" w:cs="Times New Roman"/>
                <w:color w:val="auto"/>
                <w:spacing w:val="55"/>
                <w:position w:val="2"/>
                <w:sz w:val="21"/>
                <w:szCs w:val="21"/>
              </w:rPr>
              <w:t xml:space="preserve"> </w:t>
            </w:r>
            <w:r>
              <w:rPr>
                <w:rFonts w:hint="default" w:ascii="Times New Roman" w:hAnsi="Times New Roman" w:eastAsia="宋体" w:cs="Times New Roman"/>
                <w:i/>
                <w:iCs/>
                <w:color w:val="auto"/>
                <w:position w:val="2"/>
                <w:sz w:val="21"/>
                <w:szCs w:val="21"/>
              </w:rPr>
              <w:t>swinhonis</w:t>
            </w:r>
          </w:p>
        </w:tc>
        <w:tc>
          <w:tcPr>
            <w:tcW w:w="1308" w:type="dxa"/>
            <w:noWrap w:val="0"/>
            <w:vAlign w:val="center"/>
          </w:tcPr>
          <w:p w14:paraId="4B56B3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35325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45ED86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3AED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52CE3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7.</w:t>
            </w:r>
          </w:p>
        </w:tc>
        <w:tc>
          <w:tcPr>
            <w:tcW w:w="1719" w:type="dxa"/>
            <w:noWrap w:val="0"/>
            <w:vAlign w:val="center"/>
          </w:tcPr>
          <w:p w14:paraId="0DA321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鳊</w:t>
            </w:r>
          </w:p>
        </w:tc>
        <w:tc>
          <w:tcPr>
            <w:tcW w:w="2494" w:type="dxa"/>
            <w:noWrap w:val="0"/>
            <w:vAlign w:val="center"/>
          </w:tcPr>
          <w:p w14:paraId="551EB4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Parabramis</w:t>
            </w:r>
            <w:r>
              <w:rPr>
                <w:rFonts w:hint="default" w:ascii="Times New Roman" w:hAnsi="Times New Roman" w:eastAsia="宋体" w:cs="Times New Roman"/>
                <w:color w:val="auto"/>
                <w:spacing w:val="95"/>
                <w:position w:val="4"/>
                <w:sz w:val="21"/>
                <w:szCs w:val="21"/>
              </w:rPr>
              <w:t xml:space="preserve"> </w:t>
            </w:r>
            <w:r>
              <w:rPr>
                <w:rFonts w:hint="default" w:ascii="Times New Roman" w:hAnsi="Times New Roman" w:eastAsia="宋体" w:cs="Times New Roman"/>
                <w:i/>
                <w:iCs/>
                <w:color w:val="auto"/>
                <w:position w:val="4"/>
                <w:sz w:val="21"/>
                <w:szCs w:val="21"/>
              </w:rPr>
              <w:t>pekinensis</w:t>
            </w:r>
          </w:p>
        </w:tc>
        <w:tc>
          <w:tcPr>
            <w:tcW w:w="1308" w:type="dxa"/>
            <w:noWrap w:val="0"/>
            <w:vAlign w:val="center"/>
          </w:tcPr>
          <w:p w14:paraId="518A9E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628D58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6DF459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095F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D830A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8.</w:t>
            </w:r>
          </w:p>
        </w:tc>
        <w:tc>
          <w:tcPr>
            <w:tcW w:w="1719" w:type="dxa"/>
            <w:noWrap w:val="0"/>
            <w:vAlign w:val="center"/>
          </w:tcPr>
          <w:p w14:paraId="12083E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伍</w:t>
            </w:r>
            <w:r>
              <w:rPr>
                <w:rFonts w:hint="default" w:ascii="Times New Roman" w:hAnsi="Times New Roman" w:eastAsia="宋体" w:cs="Times New Roman"/>
                <w:color w:val="auto"/>
                <w:spacing w:val="7"/>
                <w:sz w:val="21"/>
                <w:szCs w:val="21"/>
              </w:rPr>
              <w:t>氏华鳊</w:t>
            </w:r>
          </w:p>
        </w:tc>
        <w:tc>
          <w:tcPr>
            <w:tcW w:w="2494" w:type="dxa"/>
            <w:noWrap w:val="0"/>
            <w:vAlign w:val="center"/>
          </w:tcPr>
          <w:p w14:paraId="684CC7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Sinibrama</w:t>
            </w:r>
            <w:r>
              <w:rPr>
                <w:rFonts w:hint="default" w:ascii="Times New Roman" w:hAnsi="Times New Roman" w:eastAsia="宋体" w:cs="Times New Roman"/>
                <w:color w:val="auto"/>
                <w:spacing w:val="55"/>
                <w:position w:val="2"/>
                <w:sz w:val="21"/>
                <w:szCs w:val="21"/>
              </w:rPr>
              <w:t xml:space="preserve"> </w:t>
            </w:r>
            <w:r>
              <w:rPr>
                <w:rFonts w:hint="default" w:ascii="Times New Roman" w:hAnsi="Times New Roman" w:eastAsia="宋体" w:cs="Times New Roman"/>
                <w:i/>
                <w:iCs/>
                <w:color w:val="auto"/>
                <w:position w:val="2"/>
                <w:sz w:val="21"/>
                <w:szCs w:val="21"/>
              </w:rPr>
              <w:t>wui</w:t>
            </w:r>
          </w:p>
        </w:tc>
        <w:tc>
          <w:tcPr>
            <w:tcW w:w="1308" w:type="dxa"/>
            <w:noWrap w:val="0"/>
            <w:vAlign w:val="center"/>
          </w:tcPr>
          <w:p w14:paraId="776A35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5DCC2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5AFE54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1724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1BBAC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4</w:t>
            </w:r>
            <w:r>
              <w:rPr>
                <w:rFonts w:hint="default" w:ascii="Times New Roman" w:hAnsi="Times New Roman" w:eastAsia="宋体" w:cs="Times New Roman"/>
                <w:color w:val="auto"/>
                <w:spacing w:val="7"/>
                <w:sz w:val="21"/>
                <w:szCs w:val="21"/>
              </w:rPr>
              <w:t>9.</w:t>
            </w:r>
          </w:p>
        </w:tc>
        <w:tc>
          <w:tcPr>
            <w:tcW w:w="1719" w:type="dxa"/>
            <w:noWrap w:val="0"/>
            <w:vAlign w:val="center"/>
          </w:tcPr>
          <w:p w14:paraId="050F65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大</w:t>
            </w:r>
            <w:r>
              <w:rPr>
                <w:rFonts w:hint="default" w:ascii="Times New Roman" w:hAnsi="Times New Roman" w:eastAsia="宋体" w:cs="Times New Roman"/>
                <w:color w:val="auto"/>
                <w:spacing w:val="6"/>
                <w:sz w:val="21"/>
                <w:szCs w:val="21"/>
              </w:rPr>
              <w:t>眼华鳊</w:t>
            </w:r>
          </w:p>
        </w:tc>
        <w:tc>
          <w:tcPr>
            <w:tcW w:w="2494" w:type="dxa"/>
            <w:noWrap w:val="0"/>
            <w:vAlign w:val="center"/>
          </w:tcPr>
          <w:p w14:paraId="47E1C8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Sinibrama</w:t>
            </w:r>
            <w:r>
              <w:rPr>
                <w:rFonts w:hint="default" w:ascii="Times New Roman" w:hAnsi="Times New Roman" w:eastAsia="宋体" w:cs="Times New Roman"/>
                <w:color w:val="auto"/>
                <w:spacing w:val="69"/>
                <w:position w:val="4"/>
                <w:sz w:val="21"/>
                <w:szCs w:val="21"/>
              </w:rPr>
              <w:t xml:space="preserve"> </w:t>
            </w:r>
            <w:r>
              <w:rPr>
                <w:rFonts w:hint="default" w:ascii="Times New Roman" w:hAnsi="Times New Roman" w:eastAsia="宋体" w:cs="Times New Roman"/>
                <w:i/>
                <w:iCs/>
                <w:color w:val="auto"/>
                <w:position w:val="4"/>
                <w:sz w:val="21"/>
                <w:szCs w:val="21"/>
              </w:rPr>
              <w:t>macrops</w:t>
            </w:r>
          </w:p>
        </w:tc>
        <w:tc>
          <w:tcPr>
            <w:tcW w:w="1308" w:type="dxa"/>
            <w:noWrap w:val="0"/>
            <w:vAlign w:val="center"/>
          </w:tcPr>
          <w:p w14:paraId="40E1DA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21073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C65DA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97CA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DA83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50.</w:t>
            </w:r>
          </w:p>
        </w:tc>
        <w:tc>
          <w:tcPr>
            <w:tcW w:w="1719" w:type="dxa"/>
            <w:noWrap w:val="0"/>
            <w:vAlign w:val="center"/>
          </w:tcPr>
          <w:p w14:paraId="45B69D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鲂</w:t>
            </w:r>
          </w:p>
        </w:tc>
        <w:tc>
          <w:tcPr>
            <w:tcW w:w="2494" w:type="dxa"/>
            <w:noWrap w:val="0"/>
            <w:vAlign w:val="center"/>
          </w:tcPr>
          <w:p w14:paraId="2CFE04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Megalobrama</w:t>
            </w:r>
            <w:r>
              <w:rPr>
                <w:rFonts w:hint="default" w:ascii="Times New Roman" w:hAnsi="Times New Roman" w:eastAsia="宋体" w:cs="Times New Roman"/>
                <w:color w:val="auto"/>
                <w:spacing w:val="102"/>
                <w:position w:val="4"/>
                <w:sz w:val="21"/>
                <w:szCs w:val="21"/>
              </w:rPr>
              <w:t xml:space="preserve"> </w:t>
            </w:r>
            <w:r>
              <w:rPr>
                <w:rFonts w:hint="default" w:ascii="Times New Roman" w:hAnsi="Times New Roman" w:eastAsia="宋体" w:cs="Times New Roman"/>
                <w:i/>
                <w:iCs/>
                <w:color w:val="auto"/>
                <w:position w:val="4"/>
                <w:sz w:val="21"/>
                <w:szCs w:val="21"/>
              </w:rPr>
              <w:t>skolkovii</w:t>
            </w:r>
          </w:p>
        </w:tc>
        <w:tc>
          <w:tcPr>
            <w:tcW w:w="1308" w:type="dxa"/>
            <w:noWrap w:val="0"/>
            <w:vAlign w:val="center"/>
          </w:tcPr>
          <w:p w14:paraId="6C0E87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8E557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7F1ED5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8BD1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051FC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51.</w:t>
            </w:r>
          </w:p>
        </w:tc>
        <w:tc>
          <w:tcPr>
            <w:tcW w:w="1719" w:type="dxa"/>
            <w:noWrap w:val="0"/>
            <w:vAlign w:val="center"/>
          </w:tcPr>
          <w:p w14:paraId="282907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团头</w:t>
            </w:r>
            <w:r>
              <w:rPr>
                <w:rFonts w:hint="default" w:ascii="Times New Roman" w:hAnsi="Times New Roman" w:eastAsia="宋体" w:cs="Times New Roman"/>
                <w:color w:val="auto"/>
                <w:sz w:val="21"/>
                <w:szCs w:val="21"/>
              </w:rPr>
              <w:t>鲂</w:t>
            </w:r>
          </w:p>
        </w:tc>
        <w:tc>
          <w:tcPr>
            <w:tcW w:w="2494" w:type="dxa"/>
            <w:noWrap w:val="0"/>
            <w:vAlign w:val="center"/>
          </w:tcPr>
          <w:p w14:paraId="0206A9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10"/>
                <w:position w:val="9"/>
                <w:sz w:val="21"/>
                <w:szCs w:val="21"/>
              </w:rPr>
              <w:t>M</w:t>
            </w:r>
            <w:r>
              <w:rPr>
                <w:rFonts w:hint="default" w:ascii="Times New Roman" w:hAnsi="Times New Roman" w:eastAsia="宋体" w:cs="Times New Roman"/>
                <w:i/>
                <w:iCs/>
                <w:color w:val="auto"/>
                <w:spacing w:val="7"/>
                <w:position w:val="9"/>
                <w:sz w:val="21"/>
                <w:szCs w:val="21"/>
              </w:rPr>
              <w:t>e</w:t>
            </w:r>
            <w:r>
              <w:rPr>
                <w:rFonts w:hint="default" w:ascii="Times New Roman" w:hAnsi="Times New Roman" w:eastAsia="宋体" w:cs="Times New Roman"/>
                <w:i/>
                <w:iCs/>
                <w:color w:val="auto"/>
                <w:spacing w:val="5"/>
                <w:position w:val="9"/>
                <w:sz w:val="21"/>
                <w:szCs w:val="21"/>
              </w:rPr>
              <w:t>galobrama</w:t>
            </w:r>
          </w:p>
          <w:p w14:paraId="255D05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4"/>
                <w:sz w:val="21"/>
                <w:szCs w:val="21"/>
              </w:rPr>
              <w:t>a</w:t>
            </w:r>
            <w:r>
              <w:rPr>
                <w:rFonts w:hint="default" w:ascii="Times New Roman" w:hAnsi="Times New Roman" w:eastAsia="宋体" w:cs="Times New Roman"/>
                <w:i/>
                <w:iCs/>
                <w:color w:val="auto"/>
                <w:spacing w:val="4"/>
                <w:position w:val="4"/>
                <w:sz w:val="21"/>
                <w:szCs w:val="21"/>
              </w:rPr>
              <w:t>mblvcephaia</w:t>
            </w:r>
          </w:p>
        </w:tc>
        <w:tc>
          <w:tcPr>
            <w:tcW w:w="1308" w:type="dxa"/>
            <w:noWrap w:val="0"/>
            <w:vAlign w:val="center"/>
          </w:tcPr>
          <w:p w14:paraId="400988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7F9350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18AFEA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20C9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069377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52.</w:t>
            </w:r>
          </w:p>
        </w:tc>
        <w:tc>
          <w:tcPr>
            <w:tcW w:w="1719" w:type="dxa"/>
            <w:noWrap w:val="0"/>
            <w:vAlign w:val="center"/>
          </w:tcPr>
          <w:p w14:paraId="5C99CD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唇</w:t>
            </w:r>
            <w:r>
              <w:rPr>
                <w:rFonts w:hint="default" w:ascii="Times New Roman" w:hAnsi="Times New Roman" w:eastAsia="宋体" w:cs="Times New Roman"/>
                <w:color w:val="auto"/>
                <w:spacing w:val="3"/>
                <w:sz w:val="21"/>
                <w:szCs w:val="21"/>
              </w:rPr>
              <w:t>䱻</w:t>
            </w:r>
          </w:p>
        </w:tc>
        <w:tc>
          <w:tcPr>
            <w:tcW w:w="2494" w:type="dxa"/>
            <w:noWrap w:val="0"/>
            <w:vAlign w:val="center"/>
          </w:tcPr>
          <w:p w14:paraId="0A9F08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Hemibarbus</w:t>
            </w:r>
            <w:r>
              <w:rPr>
                <w:rFonts w:hint="default" w:ascii="Times New Roman" w:hAnsi="Times New Roman" w:eastAsia="宋体" w:cs="Times New Roman"/>
                <w:color w:val="auto"/>
                <w:spacing w:val="78"/>
                <w:position w:val="2"/>
                <w:sz w:val="21"/>
                <w:szCs w:val="21"/>
              </w:rPr>
              <w:t xml:space="preserve"> </w:t>
            </w:r>
            <w:r>
              <w:rPr>
                <w:rFonts w:hint="default" w:ascii="Times New Roman" w:hAnsi="Times New Roman" w:eastAsia="宋体" w:cs="Times New Roman"/>
                <w:i/>
                <w:iCs/>
                <w:color w:val="auto"/>
                <w:position w:val="2"/>
                <w:sz w:val="21"/>
                <w:szCs w:val="21"/>
              </w:rPr>
              <w:t>labeo</w:t>
            </w:r>
          </w:p>
        </w:tc>
        <w:tc>
          <w:tcPr>
            <w:tcW w:w="1308" w:type="dxa"/>
            <w:noWrap w:val="0"/>
            <w:vAlign w:val="center"/>
          </w:tcPr>
          <w:p w14:paraId="5C5F0B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98307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3C58B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5090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2D839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53.</w:t>
            </w:r>
          </w:p>
        </w:tc>
        <w:tc>
          <w:tcPr>
            <w:tcW w:w="1719" w:type="dxa"/>
            <w:shd w:val="clear" w:color="auto" w:fill="auto"/>
            <w:noWrap w:val="0"/>
            <w:vAlign w:val="center"/>
          </w:tcPr>
          <w:p w14:paraId="0898E2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花䱻</w:t>
            </w:r>
          </w:p>
        </w:tc>
        <w:tc>
          <w:tcPr>
            <w:tcW w:w="2494" w:type="dxa"/>
            <w:shd w:val="clear" w:color="auto" w:fill="auto"/>
            <w:noWrap w:val="0"/>
            <w:vAlign w:val="center"/>
          </w:tcPr>
          <w:p w14:paraId="365FEE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Hemibarbus</w:t>
            </w:r>
            <w:r>
              <w:rPr>
                <w:rFonts w:hint="default" w:ascii="Times New Roman" w:hAnsi="Times New Roman" w:eastAsia="宋体" w:cs="Times New Roman"/>
                <w:color w:val="auto"/>
                <w:spacing w:val="96"/>
                <w:position w:val="2"/>
                <w:sz w:val="21"/>
                <w:szCs w:val="21"/>
              </w:rPr>
              <w:t xml:space="preserve"> </w:t>
            </w:r>
            <w:r>
              <w:rPr>
                <w:rFonts w:hint="default" w:ascii="Times New Roman" w:hAnsi="Times New Roman" w:eastAsia="宋体" w:cs="Times New Roman"/>
                <w:i/>
                <w:iCs/>
                <w:color w:val="auto"/>
                <w:position w:val="2"/>
                <w:sz w:val="21"/>
                <w:szCs w:val="21"/>
              </w:rPr>
              <w:t>maculates</w:t>
            </w:r>
          </w:p>
        </w:tc>
        <w:tc>
          <w:tcPr>
            <w:tcW w:w="1308" w:type="dxa"/>
            <w:shd w:val="clear" w:color="auto" w:fill="auto"/>
            <w:noWrap w:val="0"/>
            <w:vAlign w:val="center"/>
          </w:tcPr>
          <w:p w14:paraId="742152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B201E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535036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CB79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C2A2C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54.</w:t>
            </w:r>
          </w:p>
        </w:tc>
        <w:tc>
          <w:tcPr>
            <w:tcW w:w="1719" w:type="dxa"/>
            <w:shd w:val="clear" w:color="auto" w:fill="auto"/>
            <w:noWrap w:val="0"/>
            <w:vAlign w:val="center"/>
          </w:tcPr>
          <w:p w14:paraId="5D568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似</w:t>
            </w:r>
            <w:r>
              <w:rPr>
                <w:rFonts w:hint="default" w:ascii="Times New Roman" w:hAnsi="Times New Roman" w:eastAsia="宋体" w:cs="Times New Roman"/>
                <w:color w:val="auto"/>
                <w:spacing w:val="7"/>
                <w:sz w:val="21"/>
                <w:szCs w:val="21"/>
              </w:rPr>
              <w:t>刺鳊鮈</w:t>
            </w:r>
          </w:p>
        </w:tc>
        <w:tc>
          <w:tcPr>
            <w:tcW w:w="2494" w:type="dxa"/>
            <w:shd w:val="clear" w:color="auto" w:fill="auto"/>
            <w:noWrap w:val="0"/>
            <w:vAlign w:val="center"/>
          </w:tcPr>
          <w:p w14:paraId="4074FB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7"/>
                <w:position w:val="7"/>
                <w:sz w:val="21"/>
                <w:szCs w:val="21"/>
              </w:rPr>
              <w:t>P</w:t>
            </w:r>
            <w:r>
              <w:rPr>
                <w:rFonts w:hint="default" w:ascii="Times New Roman" w:hAnsi="Times New Roman" w:eastAsia="宋体" w:cs="Times New Roman"/>
                <w:i/>
                <w:iCs/>
                <w:color w:val="auto"/>
                <w:spacing w:val="5"/>
                <w:position w:val="7"/>
                <w:sz w:val="21"/>
                <w:szCs w:val="21"/>
              </w:rPr>
              <w:t>aracanthobrama</w:t>
            </w:r>
          </w:p>
          <w:p w14:paraId="7043D7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5"/>
                <w:position w:val="4"/>
                <w:sz w:val="21"/>
                <w:szCs w:val="21"/>
              </w:rPr>
              <w:t>guichenot</w:t>
            </w:r>
            <w:r>
              <w:rPr>
                <w:rFonts w:hint="default" w:ascii="Times New Roman" w:hAnsi="Times New Roman" w:eastAsia="宋体" w:cs="Times New Roman"/>
                <w:i/>
                <w:iCs/>
                <w:color w:val="auto"/>
                <w:spacing w:val="4"/>
                <w:position w:val="4"/>
                <w:sz w:val="21"/>
                <w:szCs w:val="21"/>
              </w:rPr>
              <w:t>i</w:t>
            </w:r>
          </w:p>
        </w:tc>
        <w:tc>
          <w:tcPr>
            <w:tcW w:w="1308" w:type="dxa"/>
            <w:shd w:val="clear" w:color="auto" w:fill="auto"/>
            <w:noWrap w:val="0"/>
            <w:vAlign w:val="center"/>
          </w:tcPr>
          <w:p w14:paraId="045B55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08B476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621EB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6369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A8852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55.</w:t>
            </w:r>
          </w:p>
        </w:tc>
        <w:tc>
          <w:tcPr>
            <w:tcW w:w="1719" w:type="dxa"/>
            <w:shd w:val="clear" w:color="auto" w:fill="auto"/>
            <w:noWrap w:val="0"/>
            <w:vAlign w:val="center"/>
          </w:tcPr>
          <w:p w14:paraId="083900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麦</w:t>
            </w:r>
            <w:r>
              <w:rPr>
                <w:rFonts w:hint="default" w:ascii="Times New Roman" w:hAnsi="Times New Roman" w:eastAsia="宋体" w:cs="Times New Roman"/>
                <w:color w:val="auto"/>
                <w:spacing w:val="6"/>
                <w:sz w:val="21"/>
                <w:szCs w:val="21"/>
              </w:rPr>
              <w:t>穗鱼</w:t>
            </w:r>
          </w:p>
        </w:tc>
        <w:tc>
          <w:tcPr>
            <w:tcW w:w="2494" w:type="dxa"/>
            <w:shd w:val="clear" w:color="auto" w:fill="auto"/>
            <w:noWrap w:val="0"/>
            <w:vAlign w:val="center"/>
          </w:tcPr>
          <w:p w14:paraId="3DB065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Pseudorasbora</w:t>
            </w:r>
            <w:r>
              <w:rPr>
                <w:rFonts w:hint="default" w:ascii="Times New Roman" w:hAnsi="Times New Roman" w:eastAsia="宋体" w:cs="Times New Roman"/>
                <w:color w:val="auto"/>
                <w:spacing w:val="91"/>
                <w:position w:val="4"/>
                <w:sz w:val="21"/>
                <w:szCs w:val="21"/>
              </w:rPr>
              <w:t xml:space="preserve"> </w:t>
            </w:r>
            <w:r>
              <w:rPr>
                <w:rFonts w:hint="default" w:ascii="Times New Roman" w:hAnsi="Times New Roman" w:eastAsia="宋体" w:cs="Times New Roman"/>
                <w:i/>
                <w:iCs/>
                <w:color w:val="auto"/>
                <w:position w:val="4"/>
                <w:sz w:val="21"/>
                <w:szCs w:val="21"/>
              </w:rPr>
              <w:t>parva</w:t>
            </w:r>
          </w:p>
        </w:tc>
        <w:tc>
          <w:tcPr>
            <w:tcW w:w="1308" w:type="dxa"/>
            <w:shd w:val="clear" w:color="auto" w:fill="auto"/>
            <w:noWrap w:val="0"/>
            <w:vAlign w:val="center"/>
          </w:tcPr>
          <w:p w14:paraId="1DC9CB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39E8A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77D7CC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6C1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3AF90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56.</w:t>
            </w:r>
          </w:p>
        </w:tc>
        <w:tc>
          <w:tcPr>
            <w:tcW w:w="1719" w:type="dxa"/>
            <w:shd w:val="clear" w:color="auto" w:fill="auto"/>
            <w:noWrap w:val="0"/>
            <w:vAlign w:val="center"/>
          </w:tcPr>
          <w:p w14:paraId="4E479E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华鳈</w:t>
            </w:r>
          </w:p>
        </w:tc>
        <w:tc>
          <w:tcPr>
            <w:tcW w:w="2494" w:type="dxa"/>
            <w:shd w:val="clear" w:color="auto" w:fill="auto"/>
            <w:noWrap w:val="0"/>
            <w:vAlign w:val="center"/>
          </w:tcPr>
          <w:p w14:paraId="5E8E58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Sarcocheilichthys</w:t>
            </w:r>
            <w:r>
              <w:rPr>
                <w:rFonts w:hint="default" w:ascii="Times New Roman" w:hAnsi="Times New Roman" w:eastAsia="宋体" w:cs="Times New Roman"/>
                <w:color w:val="auto"/>
                <w:spacing w:val="96"/>
                <w:position w:val="4"/>
                <w:sz w:val="21"/>
                <w:szCs w:val="21"/>
              </w:rPr>
              <w:t xml:space="preserve"> </w:t>
            </w:r>
            <w:r>
              <w:rPr>
                <w:rFonts w:hint="default" w:ascii="Times New Roman" w:hAnsi="Times New Roman" w:eastAsia="宋体" w:cs="Times New Roman"/>
                <w:i/>
                <w:iCs/>
                <w:color w:val="auto"/>
                <w:position w:val="4"/>
                <w:sz w:val="21"/>
                <w:szCs w:val="21"/>
              </w:rPr>
              <w:t>sinensis</w:t>
            </w:r>
          </w:p>
        </w:tc>
        <w:tc>
          <w:tcPr>
            <w:tcW w:w="1308" w:type="dxa"/>
            <w:shd w:val="clear" w:color="auto" w:fill="auto"/>
            <w:noWrap w:val="0"/>
            <w:vAlign w:val="center"/>
          </w:tcPr>
          <w:p w14:paraId="411F8F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06C90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2392F0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40F9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37CFD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57.</w:t>
            </w:r>
          </w:p>
        </w:tc>
        <w:tc>
          <w:tcPr>
            <w:tcW w:w="1719" w:type="dxa"/>
            <w:shd w:val="clear" w:color="auto" w:fill="auto"/>
            <w:noWrap w:val="0"/>
            <w:vAlign w:val="center"/>
          </w:tcPr>
          <w:p w14:paraId="4A28EE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江</w:t>
            </w:r>
            <w:r>
              <w:rPr>
                <w:rFonts w:hint="default" w:ascii="Times New Roman" w:hAnsi="Times New Roman" w:eastAsia="宋体" w:cs="Times New Roman"/>
                <w:color w:val="auto"/>
                <w:spacing w:val="6"/>
                <w:sz w:val="21"/>
                <w:szCs w:val="21"/>
              </w:rPr>
              <w:t>西鳈</w:t>
            </w:r>
          </w:p>
        </w:tc>
        <w:tc>
          <w:tcPr>
            <w:tcW w:w="2494" w:type="dxa"/>
            <w:shd w:val="clear" w:color="auto" w:fill="auto"/>
            <w:noWrap w:val="0"/>
            <w:vAlign w:val="center"/>
          </w:tcPr>
          <w:p w14:paraId="095271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9"/>
                <w:sz w:val="21"/>
                <w:szCs w:val="21"/>
              </w:rPr>
              <w:t>Sar</w:t>
            </w:r>
            <w:r>
              <w:rPr>
                <w:rFonts w:hint="default" w:ascii="Times New Roman" w:hAnsi="Times New Roman" w:eastAsia="宋体" w:cs="Times New Roman"/>
                <w:i/>
                <w:iCs/>
                <w:color w:val="auto"/>
                <w:spacing w:val="4"/>
                <w:position w:val="9"/>
                <w:sz w:val="21"/>
                <w:szCs w:val="21"/>
              </w:rPr>
              <w:t>c</w:t>
            </w:r>
            <w:r>
              <w:rPr>
                <w:rFonts w:hint="default" w:ascii="Times New Roman" w:hAnsi="Times New Roman" w:eastAsia="宋体" w:cs="Times New Roman"/>
                <w:i/>
                <w:iCs/>
                <w:color w:val="auto"/>
                <w:spacing w:val="3"/>
                <w:position w:val="9"/>
                <w:sz w:val="21"/>
                <w:szCs w:val="21"/>
              </w:rPr>
              <w:t>ocheilichthys</w:t>
            </w:r>
          </w:p>
          <w:p w14:paraId="0127D6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4"/>
                <w:position w:val="4"/>
                <w:sz w:val="21"/>
                <w:szCs w:val="21"/>
              </w:rPr>
              <w:t>kiangsiensi</w:t>
            </w:r>
            <w:r>
              <w:rPr>
                <w:rFonts w:hint="default" w:ascii="Times New Roman" w:hAnsi="Times New Roman" w:eastAsia="宋体" w:cs="Times New Roman"/>
                <w:i/>
                <w:iCs/>
                <w:color w:val="auto"/>
                <w:spacing w:val="3"/>
                <w:position w:val="4"/>
                <w:sz w:val="21"/>
                <w:szCs w:val="21"/>
              </w:rPr>
              <w:t>s</w:t>
            </w:r>
          </w:p>
        </w:tc>
        <w:tc>
          <w:tcPr>
            <w:tcW w:w="1308" w:type="dxa"/>
            <w:shd w:val="clear" w:color="auto" w:fill="auto"/>
            <w:noWrap w:val="0"/>
            <w:vAlign w:val="center"/>
          </w:tcPr>
          <w:p w14:paraId="03D962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02897C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58FAA7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5AA2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0B4F0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58.</w:t>
            </w:r>
          </w:p>
        </w:tc>
        <w:tc>
          <w:tcPr>
            <w:tcW w:w="1719" w:type="dxa"/>
            <w:shd w:val="clear" w:color="auto" w:fill="auto"/>
            <w:noWrap w:val="0"/>
            <w:vAlign w:val="center"/>
          </w:tcPr>
          <w:p w14:paraId="067615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黑鳍鳈</w:t>
            </w:r>
          </w:p>
        </w:tc>
        <w:tc>
          <w:tcPr>
            <w:tcW w:w="2494" w:type="dxa"/>
            <w:shd w:val="clear" w:color="auto" w:fill="auto"/>
            <w:noWrap w:val="0"/>
            <w:vAlign w:val="center"/>
          </w:tcPr>
          <w:p w14:paraId="273A25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9"/>
                <w:sz w:val="21"/>
                <w:szCs w:val="21"/>
              </w:rPr>
              <w:t>Sar</w:t>
            </w:r>
            <w:r>
              <w:rPr>
                <w:rFonts w:hint="default" w:ascii="Times New Roman" w:hAnsi="Times New Roman" w:eastAsia="宋体" w:cs="Times New Roman"/>
                <w:i/>
                <w:iCs/>
                <w:color w:val="auto"/>
                <w:spacing w:val="4"/>
                <w:position w:val="9"/>
                <w:sz w:val="21"/>
                <w:szCs w:val="21"/>
              </w:rPr>
              <w:t>c</w:t>
            </w:r>
            <w:r>
              <w:rPr>
                <w:rFonts w:hint="default" w:ascii="Times New Roman" w:hAnsi="Times New Roman" w:eastAsia="宋体" w:cs="Times New Roman"/>
                <w:i/>
                <w:iCs/>
                <w:color w:val="auto"/>
                <w:spacing w:val="3"/>
                <w:position w:val="9"/>
                <w:sz w:val="21"/>
                <w:szCs w:val="21"/>
              </w:rPr>
              <w:t>ocheilichthys</w:t>
            </w:r>
          </w:p>
          <w:p w14:paraId="1DC97A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6"/>
                <w:position w:val="4"/>
                <w:sz w:val="21"/>
                <w:szCs w:val="21"/>
              </w:rPr>
              <w:t>ni</w:t>
            </w:r>
            <w:r>
              <w:rPr>
                <w:rFonts w:hint="default" w:ascii="Times New Roman" w:hAnsi="Times New Roman" w:eastAsia="宋体" w:cs="Times New Roman"/>
                <w:i/>
                <w:iCs/>
                <w:color w:val="auto"/>
                <w:spacing w:val="3"/>
                <w:position w:val="4"/>
                <w:sz w:val="21"/>
                <w:szCs w:val="21"/>
              </w:rPr>
              <w:t>gripinnis</w:t>
            </w:r>
          </w:p>
        </w:tc>
        <w:tc>
          <w:tcPr>
            <w:tcW w:w="1308" w:type="dxa"/>
            <w:shd w:val="clear" w:color="auto" w:fill="auto"/>
            <w:noWrap w:val="0"/>
            <w:vAlign w:val="center"/>
          </w:tcPr>
          <w:p w14:paraId="703370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9EE78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6992A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DC98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BF82D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59.</w:t>
            </w:r>
          </w:p>
        </w:tc>
        <w:tc>
          <w:tcPr>
            <w:tcW w:w="1719" w:type="dxa"/>
            <w:shd w:val="clear" w:color="auto" w:fill="auto"/>
            <w:noWrap w:val="0"/>
            <w:vAlign w:val="center"/>
          </w:tcPr>
          <w:p w14:paraId="0F0A5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小鳈</w:t>
            </w:r>
          </w:p>
        </w:tc>
        <w:tc>
          <w:tcPr>
            <w:tcW w:w="2494" w:type="dxa"/>
            <w:shd w:val="clear" w:color="auto" w:fill="auto"/>
            <w:noWrap w:val="0"/>
            <w:vAlign w:val="center"/>
          </w:tcPr>
          <w:p w14:paraId="56E2FC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Sarcocheilichthys</w:t>
            </w:r>
            <w:r>
              <w:rPr>
                <w:rFonts w:hint="default" w:ascii="Times New Roman" w:hAnsi="Times New Roman" w:eastAsia="宋体" w:cs="Times New Roman"/>
                <w:color w:val="auto"/>
                <w:spacing w:val="91"/>
                <w:position w:val="4"/>
                <w:sz w:val="21"/>
                <w:szCs w:val="21"/>
              </w:rPr>
              <w:t xml:space="preserve"> </w:t>
            </w:r>
            <w:r>
              <w:rPr>
                <w:rFonts w:hint="default" w:ascii="Times New Roman" w:hAnsi="Times New Roman" w:eastAsia="宋体" w:cs="Times New Roman"/>
                <w:i/>
                <w:iCs/>
                <w:color w:val="auto"/>
                <w:position w:val="4"/>
                <w:sz w:val="21"/>
                <w:szCs w:val="21"/>
              </w:rPr>
              <w:t>parvus</w:t>
            </w:r>
          </w:p>
        </w:tc>
        <w:tc>
          <w:tcPr>
            <w:tcW w:w="1308" w:type="dxa"/>
            <w:shd w:val="clear" w:color="auto" w:fill="auto"/>
            <w:noWrap w:val="0"/>
            <w:vAlign w:val="center"/>
          </w:tcPr>
          <w:p w14:paraId="16556E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22E3FA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33C696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9318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AE948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0.</w:t>
            </w:r>
          </w:p>
        </w:tc>
        <w:tc>
          <w:tcPr>
            <w:tcW w:w="1719" w:type="dxa"/>
            <w:shd w:val="clear" w:color="auto" w:fill="auto"/>
            <w:noWrap w:val="0"/>
            <w:vAlign w:val="center"/>
          </w:tcPr>
          <w:p w14:paraId="45B10D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银鮈</w:t>
            </w:r>
          </w:p>
        </w:tc>
        <w:tc>
          <w:tcPr>
            <w:tcW w:w="2494" w:type="dxa"/>
            <w:shd w:val="clear" w:color="auto" w:fill="auto"/>
            <w:noWrap w:val="0"/>
            <w:vAlign w:val="center"/>
          </w:tcPr>
          <w:p w14:paraId="6E8E20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Squalidus</w:t>
            </w:r>
            <w:r>
              <w:rPr>
                <w:rFonts w:hint="default" w:ascii="Times New Roman" w:hAnsi="Times New Roman" w:eastAsia="宋体" w:cs="Times New Roman"/>
                <w:color w:val="auto"/>
                <w:spacing w:val="74"/>
                <w:position w:val="4"/>
                <w:sz w:val="21"/>
                <w:szCs w:val="21"/>
              </w:rPr>
              <w:t xml:space="preserve"> </w:t>
            </w:r>
            <w:r>
              <w:rPr>
                <w:rFonts w:hint="default" w:ascii="Times New Roman" w:hAnsi="Times New Roman" w:eastAsia="宋体" w:cs="Times New Roman"/>
                <w:i/>
                <w:iCs/>
                <w:color w:val="auto"/>
                <w:position w:val="4"/>
                <w:sz w:val="21"/>
                <w:szCs w:val="21"/>
              </w:rPr>
              <w:t>argentatus</w:t>
            </w:r>
          </w:p>
        </w:tc>
        <w:tc>
          <w:tcPr>
            <w:tcW w:w="1308" w:type="dxa"/>
            <w:shd w:val="clear" w:color="auto" w:fill="auto"/>
            <w:noWrap w:val="0"/>
            <w:vAlign w:val="center"/>
          </w:tcPr>
          <w:p w14:paraId="262C87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77B5F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2E051C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51B41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944EF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1.</w:t>
            </w:r>
          </w:p>
        </w:tc>
        <w:tc>
          <w:tcPr>
            <w:tcW w:w="1719" w:type="dxa"/>
            <w:shd w:val="clear" w:color="auto" w:fill="auto"/>
            <w:noWrap w:val="0"/>
            <w:vAlign w:val="center"/>
          </w:tcPr>
          <w:p w14:paraId="544577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铜</w:t>
            </w:r>
            <w:r>
              <w:rPr>
                <w:rFonts w:hint="default" w:ascii="Times New Roman" w:hAnsi="Times New Roman" w:eastAsia="宋体" w:cs="Times New Roman"/>
                <w:color w:val="auto"/>
                <w:spacing w:val="4"/>
                <w:sz w:val="21"/>
                <w:szCs w:val="21"/>
              </w:rPr>
              <w:t>鱼</w:t>
            </w:r>
          </w:p>
        </w:tc>
        <w:tc>
          <w:tcPr>
            <w:tcW w:w="2494" w:type="dxa"/>
            <w:shd w:val="clear" w:color="auto" w:fill="auto"/>
            <w:noWrap w:val="0"/>
            <w:vAlign w:val="center"/>
          </w:tcPr>
          <w:p w14:paraId="521B0D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Coreius</w:t>
            </w:r>
            <w:r>
              <w:rPr>
                <w:rFonts w:hint="default" w:ascii="Times New Roman" w:hAnsi="Times New Roman" w:eastAsia="宋体" w:cs="Times New Roman"/>
                <w:color w:val="auto"/>
                <w:spacing w:val="45"/>
                <w:position w:val="2"/>
                <w:sz w:val="21"/>
                <w:szCs w:val="21"/>
              </w:rPr>
              <w:t xml:space="preserve"> </w:t>
            </w:r>
            <w:r>
              <w:rPr>
                <w:rFonts w:hint="default" w:ascii="Times New Roman" w:hAnsi="Times New Roman" w:eastAsia="宋体" w:cs="Times New Roman"/>
                <w:i/>
                <w:iCs/>
                <w:color w:val="auto"/>
                <w:position w:val="2"/>
                <w:sz w:val="21"/>
                <w:szCs w:val="21"/>
              </w:rPr>
              <w:t>heterodon</w:t>
            </w:r>
          </w:p>
        </w:tc>
        <w:tc>
          <w:tcPr>
            <w:tcW w:w="1308" w:type="dxa"/>
            <w:shd w:val="clear" w:color="auto" w:fill="auto"/>
            <w:noWrap w:val="0"/>
            <w:vAlign w:val="center"/>
          </w:tcPr>
          <w:p w14:paraId="21D124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543A5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4CD559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FB61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368F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2.</w:t>
            </w:r>
          </w:p>
        </w:tc>
        <w:tc>
          <w:tcPr>
            <w:tcW w:w="1719" w:type="dxa"/>
            <w:shd w:val="clear" w:color="auto" w:fill="auto"/>
            <w:noWrap w:val="0"/>
            <w:vAlign w:val="center"/>
          </w:tcPr>
          <w:p w14:paraId="168C6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rPr>
              <w:t>吻</w:t>
            </w:r>
            <w:r>
              <w:rPr>
                <w:rFonts w:hint="default" w:ascii="Times New Roman" w:hAnsi="Times New Roman" w:eastAsia="宋体" w:cs="Times New Roman"/>
                <w:color w:val="auto"/>
                <w:sz w:val="21"/>
                <w:szCs w:val="21"/>
              </w:rPr>
              <w:t>鮈</w:t>
            </w:r>
          </w:p>
        </w:tc>
        <w:tc>
          <w:tcPr>
            <w:tcW w:w="2494" w:type="dxa"/>
            <w:shd w:val="clear" w:color="auto" w:fill="auto"/>
            <w:noWrap w:val="0"/>
            <w:vAlign w:val="center"/>
          </w:tcPr>
          <w:p w14:paraId="15F4AA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Rhinogobio</w:t>
            </w:r>
            <w:r>
              <w:rPr>
                <w:rFonts w:hint="default" w:ascii="Times New Roman" w:hAnsi="Times New Roman" w:eastAsia="宋体" w:cs="Times New Roman"/>
                <w:color w:val="auto"/>
                <w:spacing w:val="21"/>
                <w:position w:val="4"/>
                <w:sz w:val="21"/>
                <w:szCs w:val="21"/>
              </w:rPr>
              <w:t xml:space="preserve">   </w:t>
            </w:r>
            <w:r>
              <w:rPr>
                <w:rFonts w:hint="default" w:ascii="Times New Roman" w:hAnsi="Times New Roman" w:eastAsia="宋体" w:cs="Times New Roman"/>
                <w:color w:val="auto"/>
                <w:spacing w:val="20"/>
                <w:position w:val="4"/>
                <w:sz w:val="21"/>
                <w:szCs w:val="21"/>
              </w:rPr>
              <w:t xml:space="preserve"> </w:t>
            </w:r>
            <w:r>
              <w:rPr>
                <w:rFonts w:hint="default" w:ascii="Times New Roman" w:hAnsi="Times New Roman" w:eastAsia="宋体" w:cs="Times New Roman"/>
                <w:i/>
                <w:iCs/>
                <w:color w:val="auto"/>
                <w:position w:val="4"/>
                <w:sz w:val="21"/>
                <w:szCs w:val="21"/>
              </w:rPr>
              <w:t>typus</w:t>
            </w:r>
          </w:p>
        </w:tc>
        <w:tc>
          <w:tcPr>
            <w:tcW w:w="1308" w:type="dxa"/>
            <w:shd w:val="clear" w:color="auto" w:fill="auto"/>
            <w:noWrap w:val="0"/>
            <w:vAlign w:val="center"/>
          </w:tcPr>
          <w:p w14:paraId="5FCE74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47624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521AAD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DB56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8827A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3.</w:t>
            </w:r>
          </w:p>
        </w:tc>
        <w:tc>
          <w:tcPr>
            <w:tcW w:w="1719" w:type="dxa"/>
            <w:shd w:val="clear" w:color="auto" w:fill="auto"/>
            <w:noWrap w:val="0"/>
            <w:vAlign w:val="center"/>
          </w:tcPr>
          <w:p w14:paraId="58BC29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圆筒吻鮈</w:t>
            </w:r>
          </w:p>
        </w:tc>
        <w:tc>
          <w:tcPr>
            <w:tcW w:w="2494" w:type="dxa"/>
            <w:shd w:val="clear" w:color="auto" w:fill="auto"/>
            <w:noWrap w:val="0"/>
            <w:vAlign w:val="center"/>
          </w:tcPr>
          <w:p w14:paraId="4CBCAD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Rhinogobio</w:t>
            </w:r>
            <w:r>
              <w:rPr>
                <w:rFonts w:hint="default" w:ascii="Times New Roman" w:hAnsi="Times New Roman" w:eastAsia="宋体" w:cs="Times New Roman"/>
                <w:color w:val="auto"/>
                <w:spacing w:val="97"/>
                <w:position w:val="4"/>
                <w:sz w:val="21"/>
                <w:szCs w:val="21"/>
              </w:rPr>
              <w:t xml:space="preserve"> </w:t>
            </w:r>
            <w:r>
              <w:rPr>
                <w:rFonts w:hint="default" w:ascii="Times New Roman" w:hAnsi="Times New Roman" w:eastAsia="宋体" w:cs="Times New Roman"/>
                <w:i/>
                <w:iCs/>
                <w:color w:val="auto"/>
                <w:position w:val="4"/>
                <w:sz w:val="21"/>
                <w:szCs w:val="21"/>
              </w:rPr>
              <w:t>cylindricus</w:t>
            </w:r>
          </w:p>
        </w:tc>
        <w:tc>
          <w:tcPr>
            <w:tcW w:w="1308" w:type="dxa"/>
            <w:shd w:val="clear" w:color="auto" w:fill="auto"/>
            <w:noWrap w:val="0"/>
            <w:vAlign w:val="center"/>
          </w:tcPr>
          <w:p w14:paraId="22F46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A7AB2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26DCAF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88F0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475BE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4.</w:t>
            </w:r>
          </w:p>
        </w:tc>
        <w:tc>
          <w:tcPr>
            <w:tcW w:w="1719" w:type="dxa"/>
            <w:shd w:val="clear" w:color="auto" w:fill="auto"/>
            <w:noWrap w:val="0"/>
            <w:vAlign w:val="center"/>
          </w:tcPr>
          <w:p w14:paraId="0F0FC9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长鳍吻鮈</w:t>
            </w:r>
          </w:p>
        </w:tc>
        <w:tc>
          <w:tcPr>
            <w:tcW w:w="2494" w:type="dxa"/>
            <w:shd w:val="clear" w:color="auto" w:fill="auto"/>
            <w:noWrap w:val="0"/>
            <w:vAlign w:val="center"/>
          </w:tcPr>
          <w:p w14:paraId="473F21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Rhinogobio</w:t>
            </w:r>
            <w:r>
              <w:rPr>
                <w:rFonts w:hint="default" w:ascii="Times New Roman" w:hAnsi="Times New Roman" w:eastAsia="宋体" w:cs="Times New Roman"/>
                <w:color w:val="auto"/>
                <w:spacing w:val="87"/>
                <w:position w:val="4"/>
                <w:sz w:val="21"/>
                <w:szCs w:val="21"/>
              </w:rPr>
              <w:t xml:space="preserve"> </w:t>
            </w:r>
            <w:r>
              <w:rPr>
                <w:rFonts w:hint="default" w:ascii="Times New Roman" w:hAnsi="Times New Roman" w:eastAsia="宋体" w:cs="Times New Roman"/>
                <w:i/>
                <w:iCs/>
                <w:color w:val="auto"/>
                <w:position w:val="4"/>
                <w:sz w:val="21"/>
                <w:szCs w:val="21"/>
              </w:rPr>
              <w:t>ventralis</w:t>
            </w:r>
          </w:p>
        </w:tc>
        <w:tc>
          <w:tcPr>
            <w:tcW w:w="1308" w:type="dxa"/>
            <w:shd w:val="clear" w:color="auto" w:fill="auto"/>
            <w:noWrap w:val="0"/>
            <w:vAlign w:val="center"/>
          </w:tcPr>
          <w:p w14:paraId="003C5C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B8128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348B0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538A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29F5A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5.</w:t>
            </w:r>
          </w:p>
        </w:tc>
        <w:tc>
          <w:tcPr>
            <w:tcW w:w="1719" w:type="dxa"/>
            <w:shd w:val="clear" w:color="auto" w:fill="auto"/>
            <w:noWrap w:val="0"/>
            <w:vAlign w:val="center"/>
          </w:tcPr>
          <w:p w14:paraId="3A3BFB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棒花</w:t>
            </w:r>
            <w:r>
              <w:rPr>
                <w:rFonts w:hint="default" w:ascii="Times New Roman" w:hAnsi="Times New Roman" w:eastAsia="宋体" w:cs="Times New Roman"/>
                <w:color w:val="auto"/>
                <w:spacing w:val="6"/>
                <w:sz w:val="21"/>
                <w:szCs w:val="21"/>
              </w:rPr>
              <w:t>鱼</w:t>
            </w:r>
          </w:p>
        </w:tc>
        <w:tc>
          <w:tcPr>
            <w:tcW w:w="2494" w:type="dxa"/>
            <w:shd w:val="clear" w:color="auto" w:fill="auto"/>
            <w:noWrap w:val="0"/>
            <w:vAlign w:val="center"/>
          </w:tcPr>
          <w:p w14:paraId="0C5277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Abbotina</w:t>
            </w:r>
            <w:r>
              <w:rPr>
                <w:rFonts w:hint="default" w:ascii="Times New Roman" w:hAnsi="Times New Roman" w:eastAsia="宋体" w:cs="Times New Roman"/>
                <w:color w:val="auto"/>
                <w:spacing w:val="83"/>
                <w:position w:val="2"/>
                <w:sz w:val="21"/>
                <w:szCs w:val="21"/>
              </w:rPr>
              <w:t xml:space="preserve"> </w:t>
            </w:r>
            <w:r>
              <w:rPr>
                <w:rFonts w:hint="default" w:ascii="Times New Roman" w:hAnsi="Times New Roman" w:eastAsia="宋体" w:cs="Times New Roman"/>
                <w:i/>
                <w:iCs/>
                <w:color w:val="auto"/>
                <w:position w:val="2"/>
                <w:sz w:val="21"/>
                <w:szCs w:val="21"/>
              </w:rPr>
              <w:t>rivularis</w:t>
            </w:r>
          </w:p>
        </w:tc>
        <w:tc>
          <w:tcPr>
            <w:tcW w:w="1308" w:type="dxa"/>
            <w:shd w:val="clear" w:color="auto" w:fill="auto"/>
            <w:noWrap w:val="0"/>
            <w:vAlign w:val="center"/>
          </w:tcPr>
          <w:p w14:paraId="2AEA49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B33D0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09FC76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2CA0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ADD05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6.</w:t>
            </w:r>
          </w:p>
        </w:tc>
        <w:tc>
          <w:tcPr>
            <w:tcW w:w="1719" w:type="dxa"/>
            <w:shd w:val="clear" w:color="auto" w:fill="auto"/>
            <w:noWrap w:val="0"/>
            <w:vAlign w:val="center"/>
          </w:tcPr>
          <w:p w14:paraId="49BE1A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蛇</w:t>
            </w:r>
            <w:r>
              <w:rPr>
                <w:rFonts w:hint="default" w:ascii="Times New Roman" w:hAnsi="Times New Roman" w:eastAsia="宋体" w:cs="Times New Roman"/>
                <w:color w:val="auto"/>
                <w:spacing w:val="4"/>
                <w:sz w:val="21"/>
                <w:szCs w:val="21"/>
              </w:rPr>
              <w:t>鮈</w:t>
            </w:r>
          </w:p>
        </w:tc>
        <w:tc>
          <w:tcPr>
            <w:tcW w:w="2494" w:type="dxa"/>
            <w:shd w:val="clear" w:color="auto" w:fill="auto"/>
            <w:noWrap w:val="0"/>
            <w:vAlign w:val="center"/>
          </w:tcPr>
          <w:p w14:paraId="5E26EF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Saurogobio</w:t>
            </w:r>
            <w:r>
              <w:rPr>
                <w:rFonts w:hint="default" w:ascii="Times New Roman" w:hAnsi="Times New Roman" w:eastAsia="宋体" w:cs="Times New Roman"/>
                <w:color w:val="auto"/>
                <w:spacing w:val="65"/>
                <w:position w:val="4"/>
                <w:sz w:val="21"/>
                <w:szCs w:val="21"/>
              </w:rPr>
              <w:t xml:space="preserve"> </w:t>
            </w:r>
            <w:r>
              <w:rPr>
                <w:rFonts w:hint="default" w:ascii="Times New Roman" w:hAnsi="Times New Roman" w:eastAsia="宋体" w:cs="Times New Roman"/>
                <w:i/>
                <w:iCs/>
                <w:color w:val="auto"/>
                <w:position w:val="4"/>
                <w:sz w:val="21"/>
                <w:szCs w:val="21"/>
              </w:rPr>
              <w:t>dabryi</w:t>
            </w:r>
          </w:p>
        </w:tc>
        <w:tc>
          <w:tcPr>
            <w:tcW w:w="1308" w:type="dxa"/>
            <w:shd w:val="clear" w:color="auto" w:fill="auto"/>
            <w:noWrap w:val="0"/>
            <w:vAlign w:val="center"/>
          </w:tcPr>
          <w:p w14:paraId="3B492E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32833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0D5560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4DB70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99925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7.</w:t>
            </w:r>
          </w:p>
        </w:tc>
        <w:tc>
          <w:tcPr>
            <w:tcW w:w="1719" w:type="dxa"/>
            <w:shd w:val="clear" w:color="auto" w:fill="auto"/>
            <w:noWrap w:val="0"/>
            <w:vAlign w:val="center"/>
          </w:tcPr>
          <w:p w14:paraId="4D92D3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洞庭小鰾</w:t>
            </w:r>
            <w:r>
              <w:rPr>
                <w:rFonts w:hint="default" w:ascii="Times New Roman" w:hAnsi="Times New Roman" w:eastAsia="宋体" w:cs="Times New Roman"/>
                <w:color w:val="auto"/>
                <w:spacing w:val="7"/>
                <w:sz w:val="21"/>
                <w:szCs w:val="21"/>
              </w:rPr>
              <w:t>鮈</w:t>
            </w:r>
          </w:p>
        </w:tc>
        <w:tc>
          <w:tcPr>
            <w:tcW w:w="2494" w:type="dxa"/>
            <w:shd w:val="clear" w:color="auto" w:fill="auto"/>
            <w:noWrap w:val="0"/>
            <w:vAlign w:val="center"/>
          </w:tcPr>
          <w:p w14:paraId="5CD85D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8"/>
                <w:position w:val="9"/>
                <w:sz w:val="21"/>
                <w:szCs w:val="21"/>
              </w:rPr>
              <w:t>Mi</w:t>
            </w:r>
            <w:r>
              <w:rPr>
                <w:rFonts w:hint="default" w:ascii="Times New Roman" w:hAnsi="Times New Roman" w:eastAsia="宋体" w:cs="Times New Roman"/>
                <w:i/>
                <w:iCs/>
                <w:color w:val="auto"/>
                <w:spacing w:val="4"/>
                <w:position w:val="9"/>
                <w:sz w:val="21"/>
                <w:szCs w:val="21"/>
              </w:rPr>
              <w:t>crophysogobio</w:t>
            </w:r>
          </w:p>
          <w:p w14:paraId="2F7A23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6"/>
                <w:position w:val="4"/>
                <w:sz w:val="21"/>
                <w:szCs w:val="21"/>
              </w:rPr>
              <w:t>tu</w:t>
            </w:r>
            <w:r>
              <w:rPr>
                <w:rFonts w:hint="default" w:ascii="Times New Roman" w:hAnsi="Times New Roman" w:eastAsia="宋体" w:cs="Times New Roman"/>
                <w:i/>
                <w:iCs/>
                <w:color w:val="auto"/>
                <w:spacing w:val="3"/>
                <w:position w:val="4"/>
                <w:sz w:val="21"/>
                <w:szCs w:val="21"/>
              </w:rPr>
              <w:t>ngtingensis</w:t>
            </w:r>
          </w:p>
        </w:tc>
        <w:tc>
          <w:tcPr>
            <w:tcW w:w="1308" w:type="dxa"/>
            <w:shd w:val="clear" w:color="auto" w:fill="auto"/>
            <w:noWrap w:val="0"/>
            <w:vAlign w:val="center"/>
          </w:tcPr>
          <w:p w14:paraId="5A9595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CC997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11D853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83A3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95DBE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8.</w:t>
            </w:r>
          </w:p>
        </w:tc>
        <w:tc>
          <w:tcPr>
            <w:tcW w:w="1719" w:type="dxa"/>
            <w:shd w:val="clear" w:color="auto" w:fill="auto"/>
            <w:noWrap w:val="0"/>
            <w:vAlign w:val="center"/>
          </w:tcPr>
          <w:p w14:paraId="1D0D03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光唇蛇</w:t>
            </w:r>
            <w:r>
              <w:rPr>
                <w:rFonts w:hint="default" w:ascii="Times New Roman" w:hAnsi="Times New Roman" w:eastAsia="宋体" w:cs="Times New Roman"/>
                <w:color w:val="auto"/>
                <w:spacing w:val="6"/>
                <w:sz w:val="21"/>
                <w:szCs w:val="21"/>
              </w:rPr>
              <w:t>鮈</w:t>
            </w:r>
          </w:p>
        </w:tc>
        <w:tc>
          <w:tcPr>
            <w:tcW w:w="2494" w:type="dxa"/>
            <w:shd w:val="clear" w:color="auto" w:fill="auto"/>
            <w:noWrap w:val="0"/>
            <w:vAlign w:val="center"/>
          </w:tcPr>
          <w:p w14:paraId="278380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Saurogobio</w:t>
            </w:r>
            <w:r>
              <w:rPr>
                <w:rFonts w:hint="default" w:ascii="Times New Roman" w:hAnsi="Times New Roman" w:eastAsia="宋体" w:cs="Times New Roman"/>
                <w:color w:val="auto"/>
                <w:spacing w:val="94"/>
                <w:position w:val="4"/>
                <w:sz w:val="21"/>
                <w:szCs w:val="21"/>
              </w:rPr>
              <w:t xml:space="preserve"> </w:t>
            </w:r>
            <w:r>
              <w:rPr>
                <w:rFonts w:hint="default" w:ascii="Times New Roman" w:hAnsi="Times New Roman" w:eastAsia="宋体" w:cs="Times New Roman"/>
                <w:i/>
                <w:iCs/>
                <w:color w:val="auto"/>
                <w:position w:val="4"/>
                <w:sz w:val="21"/>
                <w:szCs w:val="21"/>
              </w:rPr>
              <w:t>gymnocheilus</w:t>
            </w:r>
          </w:p>
        </w:tc>
        <w:tc>
          <w:tcPr>
            <w:tcW w:w="1308" w:type="dxa"/>
            <w:shd w:val="clear" w:color="auto" w:fill="auto"/>
            <w:noWrap w:val="0"/>
            <w:vAlign w:val="center"/>
          </w:tcPr>
          <w:p w14:paraId="07DDC6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B2D38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5AE7FC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03E0C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BAD7B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6</w:t>
            </w:r>
            <w:r>
              <w:rPr>
                <w:rFonts w:hint="default" w:ascii="Times New Roman" w:hAnsi="Times New Roman" w:eastAsia="宋体" w:cs="Times New Roman"/>
                <w:color w:val="auto"/>
                <w:spacing w:val="5"/>
                <w:sz w:val="21"/>
                <w:szCs w:val="21"/>
              </w:rPr>
              <w:t>9.</w:t>
            </w:r>
          </w:p>
        </w:tc>
        <w:tc>
          <w:tcPr>
            <w:tcW w:w="1719" w:type="dxa"/>
            <w:shd w:val="clear" w:color="auto" w:fill="auto"/>
            <w:noWrap w:val="0"/>
            <w:vAlign w:val="center"/>
          </w:tcPr>
          <w:p w14:paraId="1E5A40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湘</w:t>
            </w:r>
            <w:r>
              <w:rPr>
                <w:rFonts w:hint="default" w:ascii="Times New Roman" w:hAnsi="Times New Roman" w:eastAsia="宋体" w:cs="Times New Roman"/>
                <w:color w:val="auto"/>
                <w:spacing w:val="7"/>
                <w:sz w:val="21"/>
                <w:szCs w:val="21"/>
              </w:rPr>
              <w:t>江蛇鮈</w:t>
            </w:r>
          </w:p>
        </w:tc>
        <w:tc>
          <w:tcPr>
            <w:tcW w:w="2494" w:type="dxa"/>
            <w:shd w:val="clear" w:color="auto" w:fill="auto"/>
            <w:noWrap w:val="0"/>
            <w:vAlign w:val="center"/>
          </w:tcPr>
          <w:p w14:paraId="1B2B58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4"/>
                <w:position w:val="9"/>
                <w:sz w:val="21"/>
                <w:szCs w:val="21"/>
              </w:rPr>
              <w:t>Saurogobi</w:t>
            </w:r>
            <w:r>
              <w:rPr>
                <w:rFonts w:hint="default" w:ascii="Times New Roman" w:hAnsi="Times New Roman" w:eastAsia="宋体" w:cs="Times New Roman"/>
                <w:i/>
                <w:iCs/>
                <w:color w:val="auto"/>
                <w:spacing w:val="2"/>
                <w:position w:val="9"/>
                <w:sz w:val="21"/>
                <w:szCs w:val="21"/>
              </w:rPr>
              <w:t>o</w:t>
            </w:r>
          </w:p>
          <w:p w14:paraId="3BB80A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8"/>
                <w:position w:val="4"/>
                <w:sz w:val="21"/>
                <w:szCs w:val="21"/>
              </w:rPr>
              <w:t>xi</w:t>
            </w:r>
            <w:r>
              <w:rPr>
                <w:rFonts w:hint="default" w:ascii="Times New Roman" w:hAnsi="Times New Roman" w:eastAsia="宋体" w:cs="Times New Roman"/>
                <w:i/>
                <w:iCs/>
                <w:color w:val="auto"/>
                <w:spacing w:val="4"/>
                <w:position w:val="4"/>
                <w:sz w:val="21"/>
                <w:szCs w:val="21"/>
              </w:rPr>
              <w:t>angjiangensis</w:t>
            </w:r>
          </w:p>
        </w:tc>
        <w:tc>
          <w:tcPr>
            <w:tcW w:w="1308" w:type="dxa"/>
            <w:shd w:val="clear" w:color="auto" w:fill="auto"/>
            <w:noWrap w:val="0"/>
            <w:vAlign w:val="center"/>
          </w:tcPr>
          <w:p w14:paraId="6C298A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AE922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2466E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91E6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56FE5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70.</w:t>
            </w:r>
          </w:p>
        </w:tc>
        <w:tc>
          <w:tcPr>
            <w:tcW w:w="1719" w:type="dxa"/>
            <w:shd w:val="clear" w:color="auto" w:fill="auto"/>
            <w:noWrap w:val="0"/>
            <w:vAlign w:val="center"/>
          </w:tcPr>
          <w:p w14:paraId="7C15C4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宜</w:t>
            </w:r>
            <w:r>
              <w:rPr>
                <w:rFonts w:hint="default" w:ascii="Times New Roman" w:hAnsi="Times New Roman" w:eastAsia="宋体" w:cs="Times New Roman"/>
                <w:color w:val="auto"/>
                <w:spacing w:val="6"/>
                <w:sz w:val="21"/>
                <w:szCs w:val="21"/>
              </w:rPr>
              <w:t>昌鳅鮀</w:t>
            </w:r>
          </w:p>
        </w:tc>
        <w:tc>
          <w:tcPr>
            <w:tcW w:w="2494" w:type="dxa"/>
            <w:shd w:val="clear" w:color="auto" w:fill="auto"/>
            <w:noWrap w:val="0"/>
            <w:vAlign w:val="center"/>
          </w:tcPr>
          <w:p w14:paraId="077BBA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12"/>
                <w:position w:val="2"/>
                <w:sz w:val="21"/>
                <w:szCs w:val="21"/>
              </w:rPr>
              <w:t>G</w:t>
            </w:r>
            <w:r>
              <w:rPr>
                <w:rFonts w:hint="default" w:ascii="Times New Roman" w:hAnsi="Times New Roman" w:eastAsia="宋体" w:cs="Times New Roman"/>
                <w:i/>
                <w:iCs/>
                <w:color w:val="auto"/>
                <w:spacing w:val="7"/>
                <w:position w:val="2"/>
                <w:sz w:val="21"/>
                <w:szCs w:val="21"/>
              </w:rPr>
              <w:t>o</w:t>
            </w:r>
            <w:r>
              <w:rPr>
                <w:rFonts w:hint="default" w:ascii="Times New Roman" w:hAnsi="Times New Roman" w:eastAsia="宋体" w:cs="Times New Roman"/>
                <w:i/>
                <w:iCs/>
                <w:color w:val="auto"/>
                <w:spacing w:val="6"/>
                <w:position w:val="2"/>
                <w:sz w:val="21"/>
                <w:szCs w:val="21"/>
              </w:rPr>
              <w:t>biobotiafilifer</w:t>
            </w:r>
          </w:p>
        </w:tc>
        <w:tc>
          <w:tcPr>
            <w:tcW w:w="1308" w:type="dxa"/>
            <w:shd w:val="clear" w:color="auto" w:fill="auto"/>
            <w:noWrap w:val="0"/>
            <w:vAlign w:val="center"/>
          </w:tcPr>
          <w:p w14:paraId="3D2476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296E87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162103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278C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32EC4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71.</w:t>
            </w:r>
          </w:p>
        </w:tc>
        <w:tc>
          <w:tcPr>
            <w:tcW w:w="1719" w:type="dxa"/>
            <w:shd w:val="clear" w:color="auto" w:fill="auto"/>
            <w:noWrap w:val="0"/>
            <w:vAlign w:val="center"/>
          </w:tcPr>
          <w:p w14:paraId="7AA63F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南</w:t>
            </w:r>
            <w:r>
              <w:rPr>
                <w:rFonts w:hint="default" w:ascii="Times New Roman" w:hAnsi="Times New Roman" w:eastAsia="宋体" w:cs="Times New Roman"/>
                <w:color w:val="auto"/>
                <w:spacing w:val="6"/>
                <w:sz w:val="21"/>
                <w:szCs w:val="21"/>
              </w:rPr>
              <w:t>方鳅鮀</w:t>
            </w:r>
          </w:p>
        </w:tc>
        <w:tc>
          <w:tcPr>
            <w:tcW w:w="2494" w:type="dxa"/>
            <w:shd w:val="clear" w:color="auto" w:fill="auto"/>
            <w:noWrap w:val="0"/>
            <w:vAlign w:val="center"/>
          </w:tcPr>
          <w:p w14:paraId="4BE186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Gobiobotia</w:t>
            </w:r>
            <w:r>
              <w:rPr>
                <w:rFonts w:hint="default" w:ascii="Times New Roman" w:hAnsi="Times New Roman" w:eastAsia="宋体" w:cs="Times New Roman"/>
                <w:color w:val="auto"/>
                <w:spacing w:val="84"/>
                <w:position w:val="2"/>
                <w:sz w:val="21"/>
                <w:szCs w:val="21"/>
              </w:rPr>
              <w:t xml:space="preserve"> </w:t>
            </w:r>
            <w:r>
              <w:rPr>
                <w:rFonts w:hint="default" w:ascii="Times New Roman" w:hAnsi="Times New Roman" w:eastAsia="宋体" w:cs="Times New Roman"/>
                <w:i/>
                <w:iCs/>
                <w:color w:val="auto"/>
                <w:position w:val="2"/>
                <w:sz w:val="21"/>
                <w:szCs w:val="21"/>
              </w:rPr>
              <w:t>meridionalis</w:t>
            </w:r>
          </w:p>
        </w:tc>
        <w:tc>
          <w:tcPr>
            <w:tcW w:w="1308" w:type="dxa"/>
            <w:shd w:val="clear" w:color="auto" w:fill="auto"/>
            <w:noWrap w:val="0"/>
            <w:vAlign w:val="center"/>
          </w:tcPr>
          <w:p w14:paraId="5A8D4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53C0BA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5F5E15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081F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851FA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72.</w:t>
            </w:r>
          </w:p>
        </w:tc>
        <w:tc>
          <w:tcPr>
            <w:tcW w:w="1719" w:type="dxa"/>
            <w:shd w:val="clear" w:color="auto" w:fill="auto"/>
            <w:noWrap w:val="0"/>
            <w:vAlign w:val="center"/>
          </w:tcPr>
          <w:p w14:paraId="021119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刺鲃</w:t>
            </w:r>
          </w:p>
        </w:tc>
        <w:tc>
          <w:tcPr>
            <w:tcW w:w="2494" w:type="dxa"/>
            <w:shd w:val="clear" w:color="auto" w:fill="auto"/>
            <w:noWrap w:val="0"/>
            <w:vAlign w:val="center"/>
          </w:tcPr>
          <w:p w14:paraId="557E11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Spinibarbus</w:t>
            </w:r>
            <w:r>
              <w:rPr>
                <w:rFonts w:hint="default" w:ascii="Times New Roman" w:hAnsi="Times New Roman" w:eastAsia="宋体" w:cs="Times New Roman"/>
                <w:color w:val="auto"/>
                <w:spacing w:val="86"/>
                <w:position w:val="4"/>
                <w:sz w:val="21"/>
                <w:szCs w:val="21"/>
              </w:rPr>
              <w:t xml:space="preserve"> </w:t>
            </w:r>
            <w:r>
              <w:rPr>
                <w:rFonts w:hint="default" w:ascii="Times New Roman" w:hAnsi="Times New Roman" w:eastAsia="宋体" w:cs="Times New Roman"/>
                <w:i/>
                <w:iCs/>
                <w:color w:val="auto"/>
                <w:position w:val="4"/>
                <w:sz w:val="21"/>
                <w:szCs w:val="21"/>
              </w:rPr>
              <w:t>caldwelli</w:t>
            </w:r>
          </w:p>
        </w:tc>
        <w:tc>
          <w:tcPr>
            <w:tcW w:w="1308" w:type="dxa"/>
            <w:shd w:val="clear" w:color="auto" w:fill="auto"/>
            <w:noWrap w:val="0"/>
            <w:vAlign w:val="center"/>
          </w:tcPr>
          <w:p w14:paraId="301D29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EB29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2FF40D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8FE6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D7EC4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73.</w:t>
            </w:r>
          </w:p>
        </w:tc>
        <w:tc>
          <w:tcPr>
            <w:tcW w:w="1719" w:type="dxa"/>
            <w:shd w:val="clear" w:color="auto" w:fill="auto"/>
            <w:noWrap w:val="0"/>
            <w:vAlign w:val="center"/>
          </w:tcPr>
          <w:p w14:paraId="2553EE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中</w:t>
            </w:r>
            <w:r>
              <w:rPr>
                <w:rFonts w:hint="default" w:ascii="Times New Roman" w:hAnsi="Times New Roman" w:eastAsia="宋体" w:cs="Times New Roman"/>
                <w:color w:val="auto"/>
                <w:spacing w:val="4"/>
                <w:sz w:val="21"/>
                <w:szCs w:val="21"/>
              </w:rPr>
              <w:t>华倒刺鲃</w:t>
            </w:r>
          </w:p>
        </w:tc>
        <w:tc>
          <w:tcPr>
            <w:tcW w:w="2494" w:type="dxa"/>
            <w:shd w:val="clear" w:color="auto" w:fill="auto"/>
            <w:noWrap w:val="0"/>
            <w:vAlign w:val="center"/>
          </w:tcPr>
          <w:p w14:paraId="20E993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Spinibarbus</w:t>
            </w:r>
            <w:r>
              <w:rPr>
                <w:rFonts w:hint="default" w:ascii="Times New Roman" w:hAnsi="Times New Roman" w:eastAsia="宋体" w:cs="Times New Roman"/>
                <w:color w:val="auto"/>
                <w:spacing w:val="80"/>
                <w:position w:val="4"/>
                <w:sz w:val="21"/>
                <w:szCs w:val="21"/>
              </w:rPr>
              <w:t xml:space="preserve"> </w:t>
            </w:r>
            <w:r>
              <w:rPr>
                <w:rFonts w:hint="default" w:ascii="Times New Roman" w:hAnsi="Times New Roman" w:eastAsia="宋体" w:cs="Times New Roman"/>
                <w:i/>
                <w:iCs/>
                <w:color w:val="auto"/>
                <w:position w:val="4"/>
                <w:sz w:val="21"/>
                <w:szCs w:val="21"/>
              </w:rPr>
              <w:t>sinensis</w:t>
            </w:r>
          </w:p>
        </w:tc>
        <w:tc>
          <w:tcPr>
            <w:tcW w:w="1308" w:type="dxa"/>
            <w:shd w:val="clear" w:color="auto" w:fill="auto"/>
            <w:noWrap w:val="0"/>
            <w:vAlign w:val="center"/>
          </w:tcPr>
          <w:p w14:paraId="5F73D8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51D160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6FBB2D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123D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0DB0F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74.</w:t>
            </w:r>
          </w:p>
        </w:tc>
        <w:tc>
          <w:tcPr>
            <w:tcW w:w="1719" w:type="dxa"/>
            <w:shd w:val="clear" w:color="auto" w:fill="auto"/>
            <w:noWrap w:val="0"/>
            <w:vAlign w:val="center"/>
          </w:tcPr>
          <w:p w14:paraId="0227DF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鲤</w:t>
            </w:r>
          </w:p>
        </w:tc>
        <w:tc>
          <w:tcPr>
            <w:tcW w:w="2494" w:type="dxa"/>
            <w:shd w:val="clear" w:color="auto" w:fill="auto"/>
            <w:noWrap w:val="0"/>
            <w:vAlign w:val="center"/>
          </w:tcPr>
          <w:p w14:paraId="7BE083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Cyprinus</w:t>
            </w:r>
            <w:r>
              <w:rPr>
                <w:rFonts w:hint="default" w:ascii="Times New Roman" w:hAnsi="Times New Roman" w:eastAsia="宋体" w:cs="Times New Roman"/>
                <w:color w:val="auto"/>
                <w:spacing w:val="52"/>
                <w:position w:val="4"/>
                <w:sz w:val="21"/>
                <w:szCs w:val="21"/>
              </w:rPr>
              <w:t xml:space="preserve"> </w:t>
            </w:r>
            <w:r>
              <w:rPr>
                <w:rFonts w:hint="default" w:ascii="Times New Roman" w:hAnsi="Times New Roman" w:eastAsia="宋体" w:cs="Times New Roman"/>
                <w:i/>
                <w:iCs/>
                <w:color w:val="auto"/>
                <w:position w:val="4"/>
                <w:sz w:val="21"/>
                <w:szCs w:val="21"/>
              </w:rPr>
              <w:t>carpio</w:t>
            </w:r>
          </w:p>
        </w:tc>
        <w:tc>
          <w:tcPr>
            <w:tcW w:w="1308" w:type="dxa"/>
            <w:shd w:val="clear" w:color="auto" w:fill="auto"/>
            <w:noWrap w:val="0"/>
            <w:vAlign w:val="center"/>
          </w:tcPr>
          <w:p w14:paraId="1AF055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EC7F5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5FA551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25FD1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A6A09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75.</w:t>
            </w:r>
          </w:p>
        </w:tc>
        <w:tc>
          <w:tcPr>
            <w:tcW w:w="1719" w:type="dxa"/>
            <w:shd w:val="clear" w:color="auto" w:fill="auto"/>
            <w:noWrap w:val="0"/>
            <w:vAlign w:val="center"/>
          </w:tcPr>
          <w:p w14:paraId="01EABC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鲫</w:t>
            </w:r>
          </w:p>
        </w:tc>
        <w:tc>
          <w:tcPr>
            <w:tcW w:w="2494" w:type="dxa"/>
            <w:shd w:val="clear" w:color="auto" w:fill="auto"/>
            <w:noWrap w:val="0"/>
            <w:vAlign w:val="center"/>
          </w:tcPr>
          <w:p w14:paraId="07B963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Carassius</w:t>
            </w:r>
            <w:r>
              <w:rPr>
                <w:rFonts w:hint="default" w:ascii="Times New Roman" w:hAnsi="Times New Roman" w:eastAsia="宋体" w:cs="Times New Roman"/>
                <w:color w:val="auto"/>
                <w:spacing w:val="60"/>
                <w:position w:val="2"/>
                <w:sz w:val="21"/>
                <w:szCs w:val="21"/>
              </w:rPr>
              <w:t xml:space="preserve"> </w:t>
            </w:r>
            <w:r>
              <w:rPr>
                <w:rFonts w:hint="default" w:ascii="Times New Roman" w:hAnsi="Times New Roman" w:eastAsia="宋体" w:cs="Times New Roman"/>
                <w:i/>
                <w:iCs/>
                <w:color w:val="auto"/>
                <w:position w:val="2"/>
                <w:sz w:val="21"/>
                <w:szCs w:val="21"/>
              </w:rPr>
              <w:t>auratus</w:t>
            </w:r>
          </w:p>
        </w:tc>
        <w:tc>
          <w:tcPr>
            <w:tcW w:w="1308" w:type="dxa"/>
            <w:shd w:val="clear" w:color="auto" w:fill="auto"/>
            <w:noWrap w:val="0"/>
            <w:vAlign w:val="center"/>
          </w:tcPr>
          <w:p w14:paraId="18695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02130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094286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5A22A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324E9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76.</w:t>
            </w:r>
          </w:p>
        </w:tc>
        <w:tc>
          <w:tcPr>
            <w:tcW w:w="1719" w:type="dxa"/>
            <w:shd w:val="clear" w:color="auto" w:fill="auto"/>
            <w:noWrap w:val="0"/>
            <w:vAlign w:val="center"/>
          </w:tcPr>
          <w:p w14:paraId="7BDAAA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中</w:t>
            </w:r>
            <w:r>
              <w:rPr>
                <w:rFonts w:hint="default" w:ascii="Times New Roman" w:hAnsi="Times New Roman" w:eastAsia="宋体" w:cs="Times New Roman"/>
                <w:color w:val="auto"/>
                <w:spacing w:val="2"/>
                <w:sz w:val="21"/>
                <w:szCs w:val="21"/>
              </w:rPr>
              <w:t>华细鲫</w:t>
            </w:r>
          </w:p>
        </w:tc>
        <w:tc>
          <w:tcPr>
            <w:tcW w:w="2494" w:type="dxa"/>
            <w:shd w:val="clear" w:color="auto" w:fill="auto"/>
            <w:noWrap w:val="0"/>
            <w:vAlign w:val="center"/>
          </w:tcPr>
          <w:p w14:paraId="3F0565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Aphyocypris</w:t>
            </w:r>
            <w:r>
              <w:rPr>
                <w:rFonts w:hint="default" w:ascii="Times New Roman" w:hAnsi="Times New Roman" w:eastAsia="宋体" w:cs="Times New Roman"/>
                <w:color w:val="auto"/>
                <w:spacing w:val="99"/>
                <w:position w:val="4"/>
                <w:sz w:val="21"/>
                <w:szCs w:val="21"/>
              </w:rPr>
              <w:t xml:space="preserve"> </w:t>
            </w:r>
            <w:r>
              <w:rPr>
                <w:rFonts w:hint="default" w:ascii="Times New Roman" w:hAnsi="Times New Roman" w:eastAsia="宋体" w:cs="Times New Roman"/>
                <w:i/>
                <w:iCs/>
                <w:color w:val="auto"/>
                <w:position w:val="4"/>
                <w:sz w:val="21"/>
                <w:szCs w:val="21"/>
              </w:rPr>
              <w:t>chinensis</w:t>
            </w:r>
          </w:p>
        </w:tc>
        <w:tc>
          <w:tcPr>
            <w:tcW w:w="1308" w:type="dxa"/>
            <w:shd w:val="clear" w:color="auto" w:fill="auto"/>
            <w:noWrap w:val="0"/>
            <w:vAlign w:val="center"/>
          </w:tcPr>
          <w:p w14:paraId="6B720D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7BD6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3B2626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12E4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F7BF0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position w:val="2"/>
                <w:sz w:val="21"/>
                <w:szCs w:val="21"/>
              </w:rPr>
              <w:t>(六)</w:t>
            </w:r>
          </w:p>
        </w:tc>
        <w:tc>
          <w:tcPr>
            <w:tcW w:w="1719" w:type="dxa"/>
            <w:shd w:val="clear" w:color="auto" w:fill="auto"/>
            <w:noWrap w:val="0"/>
            <w:vAlign w:val="center"/>
          </w:tcPr>
          <w:p w14:paraId="27822A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平鳍鳅</w:t>
            </w:r>
            <w:r>
              <w:rPr>
                <w:rFonts w:hint="default" w:ascii="Times New Roman" w:hAnsi="Times New Roman" w:eastAsia="宋体" w:cs="Times New Roman"/>
                <w:color w:val="auto"/>
                <w:spacing w:val="8"/>
                <w:sz w:val="21"/>
                <w:szCs w:val="21"/>
              </w:rPr>
              <w:t>科</w:t>
            </w:r>
          </w:p>
        </w:tc>
        <w:tc>
          <w:tcPr>
            <w:tcW w:w="2494" w:type="dxa"/>
            <w:shd w:val="clear" w:color="auto" w:fill="auto"/>
            <w:noWrap w:val="0"/>
            <w:vAlign w:val="center"/>
          </w:tcPr>
          <w:p w14:paraId="5754DB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8"/>
                <w:position w:val="4"/>
                <w:sz w:val="21"/>
                <w:szCs w:val="21"/>
              </w:rPr>
              <w:t>H</w:t>
            </w:r>
            <w:r>
              <w:rPr>
                <w:rFonts w:hint="default" w:ascii="Times New Roman" w:hAnsi="Times New Roman" w:eastAsia="宋体" w:cs="Times New Roman"/>
                <w:b/>
                <w:bCs/>
                <w:color w:val="auto"/>
                <w:spacing w:val="6"/>
                <w:position w:val="4"/>
                <w:sz w:val="21"/>
                <w:szCs w:val="21"/>
              </w:rPr>
              <w:t>o</w:t>
            </w:r>
            <w:r>
              <w:rPr>
                <w:rFonts w:hint="default" w:ascii="Times New Roman" w:hAnsi="Times New Roman" w:eastAsia="宋体" w:cs="Times New Roman"/>
                <w:b/>
                <w:bCs/>
                <w:color w:val="auto"/>
                <w:spacing w:val="4"/>
                <w:position w:val="4"/>
                <w:sz w:val="21"/>
                <w:szCs w:val="21"/>
              </w:rPr>
              <w:t>malopteridae</w:t>
            </w:r>
          </w:p>
        </w:tc>
        <w:tc>
          <w:tcPr>
            <w:tcW w:w="1308" w:type="dxa"/>
            <w:shd w:val="clear" w:color="auto" w:fill="auto"/>
            <w:noWrap w:val="0"/>
            <w:vAlign w:val="center"/>
          </w:tcPr>
          <w:p w14:paraId="2937D7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250F3C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2AFF65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D553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F060C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77.</w:t>
            </w:r>
          </w:p>
        </w:tc>
        <w:tc>
          <w:tcPr>
            <w:tcW w:w="1719" w:type="dxa"/>
            <w:shd w:val="clear" w:color="auto" w:fill="auto"/>
            <w:noWrap w:val="0"/>
            <w:vAlign w:val="center"/>
          </w:tcPr>
          <w:p w14:paraId="3FA7FB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犁头鳅</w:t>
            </w:r>
          </w:p>
        </w:tc>
        <w:tc>
          <w:tcPr>
            <w:tcW w:w="2494" w:type="dxa"/>
            <w:shd w:val="clear" w:color="auto" w:fill="auto"/>
            <w:noWrap w:val="0"/>
            <w:vAlign w:val="center"/>
          </w:tcPr>
          <w:p w14:paraId="476620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12"/>
                <w:position w:val="4"/>
                <w:sz w:val="21"/>
                <w:szCs w:val="21"/>
              </w:rPr>
              <w:t>Le</w:t>
            </w:r>
            <w:r>
              <w:rPr>
                <w:rFonts w:hint="default" w:ascii="Times New Roman" w:hAnsi="Times New Roman" w:eastAsia="宋体" w:cs="Times New Roman"/>
                <w:i/>
                <w:iCs/>
                <w:color w:val="auto"/>
                <w:spacing w:val="10"/>
                <w:position w:val="4"/>
                <w:sz w:val="21"/>
                <w:szCs w:val="21"/>
              </w:rPr>
              <w:t>p</w:t>
            </w:r>
            <w:r>
              <w:rPr>
                <w:rFonts w:hint="default" w:ascii="Times New Roman" w:hAnsi="Times New Roman" w:eastAsia="宋体" w:cs="Times New Roman"/>
                <w:i/>
                <w:iCs/>
                <w:color w:val="auto"/>
                <w:spacing w:val="6"/>
                <w:position w:val="4"/>
                <w:sz w:val="21"/>
                <w:szCs w:val="21"/>
              </w:rPr>
              <w:t>turichthysfimbriata</w:t>
            </w:r>
          </w:p>
        </w:tc>
        <w:tc>
          <w:tcPr>
            <w:tcW w:w="1308" w:type="dxa"/>
            <w:shd w:val="clear" w:color="auto" w:fill="auto"/>
            <w:noWrap w:val="0"/>
            <w:vAlign w:val="center"/>
          </w:tcPr>
          <w:p w14:paraId="1FF8FA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51259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4AF839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CF30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1292F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position w:val="2"/>
                <w:sz w:val="21"/>
                <w:szCs w:val="21"/>
              </w:rPr>
              <w:t>(七)</w:t>
            </w:r>
          </w:p>
        </w:tc>
        <w:tc>
          <w:tcPr>
            <w:tcW w:w="1719" w:type="dxa"/>
            <w:shd w:val="clear" w:color="auto" w:fill="auto"/>
            <w:noWrap w:val="0"/>
            <w:vAlign w:val="center"/>
          </w:tcPr>
          <w:p w14:paraId="47DF7E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鳅科</w:t>
            </w:r>
          </w:p>
        </w:tc>
        <w:tc>
          <w:tcPr>
            <w:tcW w:w="2494" w:type="dxa"/>
            <w:shd w:val="clear" w:color="auto" w:fill="auto"/>
            <w:noWrap w:val="0"/>
            <w:vAlign w:val="center"/>
          </w:tcPr>
          <w:p w14:paraId="5C4543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6"/>
                <w:position w:val="2"/>
                <w:sz w:val="21"/>
                <w:szCs w:val="21"/>
              </w:rPr>
              <w:t>Co</w:t>
            </w:r>
            <w:r>
              <w:rPr>
                <w:rFonts w:hint="default" w:ascii="Times New Roman" w:hAnsi="Times New Roman" w:eastAsia="宋体" w:cs="Times New Roman"/>
                <w:b/>
                <w:bCs/>
                <w:color w:val="auto"/>
                <w:spacing w:val="3"/>
                <w:position w:val="2"/>
                <w:sz w:val="21"/>
                <w:szCs w:val="21"/>
              </w:rPr>
              <w:t>bitidae</w:t>
            </w:r>
          </w:p>
        </w:tc>
        <w:tc>
          <w:tcPr>
            <w:tcW w:w="1308" w:type="dxa"/>
            <w:shd w:val="clear" w:color="auto" w:fill="auto"/>
            <w:noWrap w:val="0"/>
            <w:vAlign w:val="center"/>
          </w:tcPr>
          <w:p w14:paraId="29EDAB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0F4117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002839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A930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91F09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78.</w:t>
            </w:r>
          </w:p>
        </w:tc>
        <w:tc>
          <w:tcPr>
            <w:tcW w:w="1719" w:type="dxa"/>
            <w:shd w:val="clear" w:color="auto" w:fill="auto"/>
            <w:noWrap w:val="0"/>
            <w:vAlign w:val="center"/>
          </w:tcPr>
          <w:p w14:paraId="5865F0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江西副沙</w:t>
            </w:r>
            <w:r>
              <w:rPr>
                <w:rFonts w:hint="default" w:ascii="Times New Roman" w:hAnsi="Times New Roman" w:eastAsia="宋体" w:cs="Times New Roman"/>
                <w:color w:val="auto"/>
                <w:spacing w:val="7"/>
                <w:sz w:val="21"/>
                <w:szCs w:val="21"/>
              </w:rPr>
              <w:t>鳅</w:t>
            </w:r>
          </w:p>
        </w:tc>
        <w:tc>
          <w:tcPr>
            <w:tcW w:w="2494" w:type="dxa"/>
            <w:shd w:val="clear" w:color="auto" w:fill="auto"/>
            <w:noWrap w:val="0"/>
            <w:vAlign w:val="center"/>
          </w:tcPr>
          <w:p w14:paraId="0972D4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Parabotia</w:t>
            </w:r>
            <w:r>
              <w:rPr>
                <w:rFonts w:hint="default" w:ascii="Times New Roman" w:hAnsi="Times New Roman" w:eastAsia="宋体" w:cs="Times New Roman"/>
                <w:color w:val="auto"/>
                <w:spacing w:val="97"/>
                <w:position w:val="4"/>
                <w:sz w:val="21"/>
                <w:szCs w:val="21"/>
              </w:rPr>
              <w:t xml:space="preserve"> </w:t>
            </w:r>
            <w:r>
              <w:rPr>
                <w:rFonts w:hint="default" w:ascii="Times New Roman" w:hAnsi="Times New Roman" w:eastAsia="宋体" w:cs="Times New Roman"/>
                <w:i/>
                <w:iCs/>
                <w:color w:val="auto"/>
                <w:position w:val="4"/>
                <w:sz w:val="21"/>
                <w:szCs w:val="21"/>
              </w:rPr>
              <w:t>kiangsiensis</w:t>
            </w:r>
          </w:p>
        </w:tc>
        <w:tc>
          <w:tcPr>
            <w:tcW w:w="1308" w:type="dxa"/>
            <w:shd w:val="clear" w:color="auto" w:fill="auto"/>
            <w:noWrap w:val="0"/>
            <w:vAlign w:val="center"/>
          </w:tcPr>
          <w:p w14:paraId="44E33D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D4902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068356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A054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2358A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79.</w:t>
            </w:r>
          </w:p>
        </w:tc>
        <w:tc>
          <w:tcPr>
            <w:tcW w:w="1719" w:type="dxa"/>
            <w:shd w:val="clear" w:color="auto" w:fill="auto"/>
            <w:noWrap w:val="0"/>
            <w:vAlign w:val="center"/>
          </w:tcPr>
          <w:p w14:paraId="488FA1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花斑副沙</w:t>
            </w:r>
            <w:r>
              <w:rPr>
                <w:rFonts w:hint="default" w:ascii="Times New Roman" w:hAnsi="Times New Roman" w:eastAsia="宋体" w:cs="Times New Roman"/>
                <w:color w:val="auto"/>
                <w:spacing w:val="7"/>
                <w:sz w:val="21"/>
                <w:szCs w:val="21"/>
              </w:rPr>
              <w:t>鳅</w:t>
            </w:r>
          </w:p>
        </w:tc>
        <w:tc>
          <w:tcPr>
            <w:tcW w:w="2494" w:type="dxa"/>
            <w:shd w:val="clear" w:color="auto" w:fill="auto"/>
            <w:noWrap w:val="0"/>
            <w:vAlign w:val="center"/>
          </w:tcPr>
          <w:p w14:paraId="69263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14"/>
                <w:position w:val="2"/>
                <w:sz w:val="21"/>
                <w:szCs w:val="21"/>
              </w:rPr>
              <w:t>P</w:t>
            </w:r>
            <w:r>
              <w:rPr>
                <w:rFonts w:hint="default" w:ascii="Times New Roman" w:hAnsi="Times New Roman" w:eastAsia="宋体" w:cs="Times New Roman"/>
                <w:i/>
                <w:iCs/>
                <w:color w:val="auto"/>
                <w:spacing w:val="10"/>
                <w:position w:val="2"/>
                <w:sz w:val="21"/>
                <w:szCs w:val="21"/>
              </w:rPr>
              <w:t>a</w:t>
            </w:r>
            <w:r>
              <w:rPr>
                <w:rFonts w:hint="default" w:ascii="Times New Roman" w:hAnsi="Times New Roman" w:eastAsia="宋体" w:cs="Times New Roman"/>
                <w:i/>
                <w:iCs/>
                <w:color w:val="auto"/>
                <w:spacing w:val="7"/>
                <w:position w:val="2"/>
                <w:sz w:val="21"/>
                <w:szCs w:val="21"/>
              </w:rPr>
              <w:t>rabotiafasciata</w:t>
            </w:r>
          </w:p>
        </w:tc>
        <w:tc>
          <w:tcPr>
            <w:tcW w:w="1308" w:type="dxa"/>
            <w:shd w:val="clear" w:color="auto" w:fill="auto"/>
            <w:noWrap w:val="0"/>
            <w:vAlign w:val="center"/>
          </w:tcPr>
          <w:p w14:paraId="3638DC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E10F3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073FEA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2D1D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995D8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0.</w:t>
            </w:r>
          </w:p>
        </w:tc>
        <w:tc>
          <w:tcPr>
            <w:tcW w:w="1719" w:type="dxa"/>
            <w:shd w:val="clear" w:color="auto" w:fill="auto"/>
            <w:noWrap w:val="0"/>
            <w:vAlign w:val="center"/>
          </w:tcPr>
          <w:p w14:paraId="42DB5C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0"/>
                <w:sz w:val="21"/>
                <w:szCs w:val="21"/>
              </w:rPr>
              <w:t>武</w:t>
            </w:r>
            <w:r>
              <w:rPr>
                <w:rFonts w:hint="default" w:ascii="Times New Roman" w:hAnsi="Times New Roman" w:eastAsia="宋体" w:cs="Times New Roman"/>
                <w:color w:val="auto"/>
                <w:spacing w:val="7"/>
                <w:sz w:val="21"/>
                <w:szCs w:val="21"/>
              </w:rPr>
              <w:t>昌副沙鳅</w:t>
            </w:r>
          </w:p>
        </w:tc>
        <w:tc>
          <w:tcPr>
            <w:tcW w:w="2494" w:type="dxa"/>
            <w:shd w:val="clear" w:color="auto" w:fill="auto"/>
            <w:noWrap w:val="0"/>
            <w:vAlign w:val="center"/>
          </w:tcPr>
          <w:p w14:paraId="006588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Parabotia</w:t>
            </w:r>
            <w:r>
              <w:rPr>
                <w:rFonts w:hint="default" w:ascii="Times New Roman" w:hAnsi="Times New Roman" w:eastAsia="宋体" w:cs="Times New Roman"/>
                <w:color w:val="auto"/>
                <w:spacing w:val="86"/>
                <w:position w:val="2"/>
                <w:sz w:val="21"/>
                <w:szCs w:val="21"/>
              </w:rPr>
              <w:t xml:space="preserve"> </w:t>
            </w:r>
            <w:r>
              <w:rPr>
                <w:rFonts w:hint="default" w:ascii="Times New Roman" w:hAnsi="Times New Roman" w:eastAsia="宋体" w:cs="Times New Roman"/>
                <w:i/>
                <w:iCs/>
                <w:color w:val="auto"/>
                <w:position w:val="2"/>
                <w:sz w:val="21"/>
                <w:szCs w:val="21"/>
              </w:rPr>
              <w:t>banarescui</w:t>
            </w:r>
          </w:p>
        </w:tc>
        <w:tc>
          <w:tcPr>
            <w:tcW w:w="1308" w:type="dxa"/>
            <w:shd w:val="clear" w:color="auto" w:fill="auto"/>
            <w:noWrap w:val="0"/>
            <w:vAlign w:val="center"/>
          </w:tcPr>
          <w:p w14:paraId="350A6A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DC8A3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7F2F39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B0EF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EEB4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1.</w:t>
            </w:r>
          </w:p>
        </w:tc>
        <w:tc>
          <w:tcPr>
            <w:tcW w:w="1719" w:type="dxa"/>
            <w:shd w:val="clear" w:color="auto" w:fill="auto"/>
            <w:noWrap w:val="0"/>
            <w:vAlign w:val="center"/>
          </w:tcPr>
          <w:p w14:paraId="5F4F71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洞庭副沙</w:t>
            </w:r>
            <w:r>
              <w:rPr>
                <w:rFonts w:hint="default" w:ascii="Times New Roman" w:hAnsi="Times New Roman" w:eastAsia="宋体" w:cs="Times New Roman"/>
                <w:color w:val="auto"/>
                <w:spacing w:val="7"/>
                <w:sz w:val="21"/>
                <w:szCs w:val="21"/>
              </w:rPr>
              <w:t>鳅</w:t>
            </w:r>
          </w:p>
        </w:tc>
        <w:tc>
          <w:tcPr>
            <w:tcW w:w="2494" w:type="dxa"/>
            <w:shd w:val="clear" w:color="auto" w:fill="auto"/>
            <w:noWrap w:val="0"/>
            <w:vAlign w:val="center"/>
          </w:tcPr>
          <w:p w14:paraId="60DBE1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Parabotia</w:t>
            </w:r>
            <w:r>
              <w:rPr>
                <w:rFonts w:hint="default" w:ascii="Times New Roman" w:hAnsi="Times New Roman" w:eastAsia="宋体" w:cs="Times New Roman"/>
                <w:color w:val="auto"/>
                <w:spacing w:val="38"/>
                <w:position w:val="4"/>
                <w:sz w:val="21"/>
                <w:szCs w:val="21"/>
              </w:rPr>
              <w:t xml:space="preserve"> </w:t>
            </w:r>
            <w:r>
              <w:rPr>
                <w:rFonts w:hint="default" w:ascii="Times New Roman" w:hAnsi="Times New Roman" w:eastAsia="宋体" w:cs="Times New Roman"/>
                <w:i/>
                <w:iCs/>
                <w:color w:val="auto"/>
                <w:position w:val="4"/>
                <w:sz w:val="21"/>
                <w:szCs w:val="21"/>
              </w:rPr>
              <w:t>sp</w:t>
            </w:r>
            <w:r>
              <w:rPr>
                <w:rFonts w:hint="default" w:ascii="Times New Roman" w:hAnsi="Times New Roman" w:eastAsia="宋体" w:cs="Times New Roman"/>
                <w:i/>
                <w:iCs/>
                <w:color w:val="auto"/>
                <w:spacing w:val="37"/>
                <w:position w:val="4"/>
                <w:sz w:val="21"/>
                <w:szCs w:val="21"/>
              </w:rPr>
              <w:t>.</w:t>
            </w:r>
            <w:r>
              <w:rPr>
                <w:rFonts w:hint="default" w:ascii="Times New Roman" w:hAnsi="Times New Roman" w:eastAsia="宋体" w:cs="Times New Roman"/>
                <w:i/>
                <w:iCs/>
                <w:color w:val="auto"/>
                <w:position w:val="4"/>
                <w:sz w:val="21"/>
                <w:szCs w:val="21"/>
              </w:rPr>
              <w:t>nov</w:t>
            </w:r>
          </w:p>
        </w:tc>
        <w:tc>
          <w:tcPr>
            <w:tcW w:w="1308" w:type="dxa"/>
            <w:shd w:val="clear" w:color="auto" w:fill="auto"/>
            <w:noWrap w:val="0"/>
            <w:vAlign w:val="center"/>
          </w:tcPr>
          <w:p w14:paraId="6589A8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5F6EF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366CB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079B6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633A5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6.</w:t>
            </w:r>
          </w:p>
        </w:tc>
        <w:tc>
          <w:tcPr>
            <w:tcW w:w="1719" w:type="dxa"/>
            <w:noWrap w:val="0"/>
            <w:vAlign w:val="center"/>
          </w:tcPr>
          <w:p w14:paraId="35ED92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泥</w:t>
            </w:r>
            <w:r>
              <w:rPr>
                <w:rFonts w:hint="default" w:ascii="Times New Roman" w:hAnsi="Times New Roman" w:eastAsia="宋体" w:cs="Times New Roman"/>
                <w:color w:val="auto"/>
                <w:spacing w:val="3"/>
                <w:sz w:val="21"/>
                <w:szCs w:val="21"/>
              </w:rPr>
              <w:t>鳅</w:t>
            </w:r>
          </w:p>
        </w:tc>
        <w:tc>
          <w:tcPr>
            <w:tcW w:w="2494" w:type="dxa"/>
            <w:noWrap w:val="0"/>
            <w:vAlign w:val="center"/>
          </w:tcPr>
          <w:p w14:paraId="446E0F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10"/>
                <w:position w:val="9"/>
                <w:sz w:val="21"/>
                <w:szCs w:val="21"/>
              </w:rPr>
              <w:t>M</w:t>
            </w:r>
            <w:r>
              <w:rPr>
                <w:rFonts w:hint="default" w:ascii="Times New Roman" w:hAnsi="Times New Roman" w:eastAsia="宋体" w:cs="Times New Roman"/>
                <w:i/>
                <w:iCs/>
                <w:color w:val="auto"/>
                <w:spacing w:val="5"/>
                <w:position w:val="9"/>
                <w:sz w:val="21"/>
                <w:szCs w:val="21"/>
              </w:rPr>
              <w:t>isgurnus</w:t>
            </w:r>
          </w:p>
          <w:p w14:paraId="01021C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r>
              <w:rPr>
                <w:rFonts w:hint="default" w:ascii="Times New Roman" w:hAnsi="Times New Roman" w:eastAsia="宋体" w:cs="Times New Roman"/>
                <w:i/>
                <w:iCs/>
                <w:color w:val="auto"/>
                <w:spacing w:val="4"/>
                <w:position w:val="4"/>
                <w:sz w:val="21"/>
                <w:szCs w:val="21"/>
              </w:rPr>
              <w:t>anguillicaudatu</w:t>
            </w:r>
            <w:r>
              <w:rPr>
                <w:rFonts w:hint="default" w:ascii="Times New Roman" w:hAnsi="Times New Roman" w:eastAsia="宋体" w:cs="Times New Roman"/>
                <w:i/>
                <w:iCs/>
                <w:color w:val="auto"/>
                <w:spacing w:val="3"/>
                <w:position w:val="4"/>
                <w:sz w:val="21"/>
                <w:szCs w:val="21"/>
              </w:rPr>
              <w:t>s</w:t>
            </w:r>
          </w:p>
        </w:tc>
        <w:tc>
          <w:tcPr>
            <w:tcW w:w="1308" w:type="dxa"/>
            <w:noWrap w:val="0"/>
            <w:vAlign w:val="center"/>
          </w:tcPr>
          <w:p w14:paraId="061BE2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782F2A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6E5BE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587D2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C70D2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7.</w:t>
            </w:r>
          </w:p>
        </w:tc>
        <w:tc>
          <w:tcPr>
            <w:tcW w:w="1719" w:type="dxa"/>
            <w:noWrap w:val="0"/>
            <w:vAlign w:val="center"/>
          </w:tcPr>
          <w:p w14:paraId="3C503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10"/>
                <w:sz w:val="21"/>
                <w:szCs w:val="21"/>
              </w:rPr>
              <w:t>大</w:t>
            </w:r>
            <w:r>
              <w:rPr>
                <w:rFonts w:hint="default" w:ascii="Times New Roman" w:hAnsi="Times New Roman" w:eastAsia="宋体" w:cs="Times New Roman"/>
                <w:color w:val="auto"/>
                <w:spacing w:val="7"/>
                <w:sz w:val="21"/>
                <w:szCs w:val="21"/>
              </w:rPr>
              <w:t>鳞副泥鳅</w:t>
            </w:r>
          </w:p>
        </w:tc>
        <w:tc>
          <w:tcPr>
            <w:tcW w:w="2494" w:type="dxa"/>
            <w:noWrap w:val="0"/>
            <w:vAlign w:val="center"/>
          </w:tcPr>
          <w:p w14:paraId="0B3EF6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r>
              <w:rPr>
                <w:rFonts w:hint="default" w:ascii="Times New Roman" w:hAnsi="Times New Roman" w:eastAsia="宋体" w:cs="Times New Roman"/>
                <w:i/>
                <w:iCs/>
                <w:color w:val="auto"/>
                <w:position w:val="4"/>
                <w:sz w:val="21"/>
                <w:szCs w:val="21"/>
              </w:rPr>
              <w:t>Paramisgurnus</w:t>
            </w:r>
            <w:r>
              <w:rPr>
                <w:rFonts w:hint="default" w:ascii="Times New Roman" w:hAnsi="Times New Roman" w:eastAsia="宋体" w:cs="Times New Roman"/>
                <w:color w:val="auto"/>
                <w:spacing w:val="110"/>
                <w:position w:val="4"/>
                <w:sz w:val="21"/>
                <w:szCs w:val="21"/>
              </w:rPr>
              <w:t xml:space="preserve"> </w:t>
            </w:r>
            <w:r>
              <w:rPr>
                <w:rFonts w:hint="default" w:ascii="Times New Roman" w:hAnsi="Times New Roman" w:eastAsia="宋体" w:cs="Times New Roman"/>
                <w:i/>
                <w:iCs/>
                <w:color w:val="auto"/>
                <w:position w:val="4"/>
                <w:sz w:val="21"/>
                <w:szCs w:val="21"/>
              </w:rPr>
              <w:t>dabryanus</w:t>
            </w:r>
          </w:p>
        </w:tc>
        <w:tc>
          <w:tcPr>
            <w:tcW w:w="1308" w:type="dxa"/>
            <w:noWrap w:val="0"/>
            <w:vAlign w:val="center"/>
          </w:tcPr>
          <w:p w14:paraId="16BD52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2A972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48DF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14:paraId="6ADD9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5F374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b/>
                <w:bCs/>
                <w:color w:val="auto"/>
                <w:spacing w:val="-2"/>
                <w:sz w:val="21"/>
                <w:szCs w:val="21"/>
              </w:rPr>
              <w:t>五</w:t>
            </w:r>
            <w:r>
              <w:rPr>
                <w:rFonts w:hint="default" w:ascii="Times New Roman" w:hAnsi="Times New Roman" w:eastAsia="宋体" w:cs="Times New Roman"/>
                <w:b/>
                <w:bCs/>
                <w:color w:val="auto"/>
                <w:spacing w:val="-1"/>
                <w:sz w:val="21"/>
                <w:szCs w:val="21"/>
              </w:rPr>
              <w:t>、</w:t>
            </w:r>
          </w:p>
        </w:tc>
        <w:tc>
          <w:tcPr>
            <w:tcW w:w="1719" w:type="dxa"/>
            <w:noWrap w:val="0"/>
            <w:vAlign w:val="center"/>
          </w:tcPr>
          <w:p w14:paraId="7FCC36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b/>
                <w:bCs/>
                <w:color w:val="auto"/>
                <w:spacing w:val="8"/>
                <w:sz w:val="21"/>
                <w:szCs w:val="21"/>
              </w:rPr>
              <w:t>鲇</w:t>
            </w:r>
            <w:r>
              <w:rPr>
                <w:rFonts w:hint="default" w:ascii="Times New Roman" w:hAnsi="Times New Roman" w:eastAsia="宋体" w:cs="Times New Roman"/>
                <w:b/>
                <w:bCs/>
                <w:color w:val="auto"/>
                <w:spacing w:val="7"/>
                <w:sz w:val="21"/>
                <w:szCs w:val="21"/>
              </w:rPr>
              <w:t>形目</w:t>
            </w:r>
          </w:p>
        </w:tc>
        <w:tc>
          <w:tcPr>
            <w:tcW w:w="2494" w:type="dxa"/>
            <w:noWrap w:val="0"/>
            <w:vAlign w:val="center"/>
          </w:tcPr>
          <w:p w14:paraId="0110F0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r>
              <w:rPr>
                <w:rFonts w:hint="default" w:ascii="Times New Roman" w:hAnsi="Times New Roman" w:eastAsia="宋体" w:cs="Times New Roman"/>
                <w:b/>
                <w:bCs/>
                <w:color w:val="auto"/>
                <w:spacing w:val="6"/>
                <w:position w:val="2"/>
                <w:sz w:val="21"/>
                <w:szCs w:val="21"/>
              </w:rPr>
              <w:t>S</w:t>
            </w:r>
            <w:r>
              <w:rPr>
                <w:rFonts w:hint="default" w:ascii="Times New Roman" w:hAnsi="Times New Roman" w:eastAsia="宋体" w:cs="Times New Roman"/>
                <w:b/>
                <w:bCs/>
                <w:color w:val="auto"/>
                <w:spacing w:val="4"/>
                <w:position w:val="2"/>
                <w:sz w:val="21"/>
                <w:szCs w:val="21"/>
              </w:rPr>
              <w:t>i</w:t>
            </w:r>
            <w:r>
              <w:rPr>
                <w:rFonts w:hint="default" w:ascii="Times New Roman" w:hAnsi="Times New Roman" w:eastAsia="宋体" w:cs="Times New Roman"/>
                <w:b/>
                <w:bCs/>
                <w:color w:val="auto"/>
                <w:spacing w:val="3"/>
                <w:position w:val="2"/>
                <w:sz w:val="21"/>
                <w:szCs w:val="21"/>
              </w:rPr>
              <w:t>luriformes</w:t>
            </w:r>
          </w:p>
        </w:tc>
        <w:tc>
          <w:tcPr>
            <w:tcW w:w="1308" w:type="dxa"/>
            <w:noWrap w:val="0"/>
            <w:vAlign w:val="center"/>
          </w:tcPr>
          <w:p w14:paraId="51B75A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p>
        </w:tc>
        <w:tc>
          <w:tcPr>
            <w:tcW w:w="1045" w:type="dxa"/>
            <w:noWrap w:val="0"/>
            <w:vAlign w:val="center"/>
          </w:tcPr>
          <w:p w14:paraId="58EB89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64F809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14:paraId="4ECF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4E780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2"/>
                <w:position w:val="2"/>
                <w:sz w:val="21"/>
                <w:szCs w:val="21"/>
              </w:rPr>
              <w:t>(八)</w:t>
            </w:r>
          </w:p>
        </w:tc>
        <w:tc>
          <w:tcPr>
            <w:tcW w:w="1719" w:type="dxa"/>
            <w:noWrap w:val="0"/>
            <w:vAlign w:val="center"/>
          </w:tcPr>
          <w:p w14:paraId="31AE6F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6"/>
                <w:sz w:val="21"/>
                <w:szCs w:val="21"/>
              </w:rPr>
              <w:t>鲿科</w:t>
            </w:r>
          </w:p>
        </w:tc>
        <w:tc>
          <w:tcPr>
            <w:tcW w:w="2494" w:type="dxa"/>
            <w:noWrap w:val="0"/>
            <w:vAlign w:val="center"/>
          </w:tcPr>
          <w:p w14:paraId="450306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r>
              <w:rPr>
                <w:rFonts w:hint="default" w:ascii="Times New Roman" w:hAnsi="Times New Roman" w:eastAsia="宋体" w:cs="Times New Roman"/>
                <w:b/>
                <w:bCs/>
                <w:color w:val="auto"/>
                <w:spacing w:val="4"/>
                <w:position w:val="4"/>
                <w:sz w:val="21"/>
                <w:szCs w:val="21"/>
              </w:rPr>
              <w:t>Bagridae</w:t>
            </w:r>
          </w:p>
        </w:tc>
        <w:tc>
          <w:tcPr>
            <w:tcW w:w="1308" w:type="dxa"/>
            <w:noWrap w:val="0"/>
            <w:vAlign w:val="center"/>
          </w:tcPr>
          <w:p w14:paraId="75A2D8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p>
        </w:tc>
        <w:tc>
          <w:tcPr>
            <w:tcW w:w="1045" w:type="dxa"/>
            <w:noWrap w:val="0"/>
            <w:vAlign w:val="center"/>
          </w:tcPr>
          <w:p w14:paraId="177FC7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3028B3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14:paraId="2324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2411F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8.</w:t>
            </w:r>
          </w:p>
        </w:tc>
        <w:tc>
          <w:tcPr>
            <w:tcW w:w="1719" w:type="dxa"/>
            <w:noWrap w:val="0"/>
            <w:vAlign w:val="center"/>
          </w:tcPr>
          <w:p w14:paraId="1374A3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7"/>
                <w:sz w:val="21"/>
                <w:szCs w:val="21"/>
              </w:rPr>
              <w:t>黄颡鱼</w:t>
            </w:r>
          </w:p>
        </w:tc>
        <w:tc>
          <w:tcPr>
            <w:tcW w:w="2494" w:type="dxa"/>
            <w:noWrap w:val="0"/>
            <w:vAlign w:val="center"/>
          </w:tcPr>
          <w:p w14:paraId="03C2F3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r>
              <w:rPr>
                <w:rFonts w:hint="default" w:ascii="Times New Roman" w:hAnsi="Times New Roman" w:eastAsia="宋体" w:cs="Times New Roman"/>
                <w:i/>
                <w:iCs/>
                <w:color w:val="auto"/>
                <w:spacing w:val="7"/>
                <w:position w:val="4"/>
                <w:sz w:val="21"/>
                <w:szCs w:val="21"/>
              </w:rPr>
              <w:t>Pelteobagrusfulvidrac</w:t>
            </w:r>
            <w:r>
              <w:rPr>
                <w:rFonts w:hint="default" w:ascii="Times New Roman" w:hAnsi="Times New Roman" w:eastAsia="宋体" w:cs="Times New Roman"/>
                <w:i/>
                <w:iCs/>
                <w:color w:val="auto"/>
                <w:spacing w:val="3"/>
                <w:position w:val="4"/>
                <w:sz w:val="21"/>
                <w:szCs w:val="21"/>
              </w:rPr>
              <w:t>o</w:t>
            </w:r>
          </w:p>
        </w:tc>
        <w:tc>
          <w:tcPr>
            <w:tcW w:w="1308" w:type="dxa"/>
            <w:noWrap w:val="0"/>
            <w:vAlign w:val="center"/>
          </w:tcPr>
          <w:p w14:paraId="07B43C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BF7C6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9" w:type="dxa"/>
            <w:tcBorders>
              <w:right w:val="single" w:color="000000" w:sz="10" w:space="0"/>
            </w:tcBorders>
            <w:noWrap w:val="0"/>
            <w:vAlign w:val="center"/>
          </w:tcPr>
          <w:p w14:paraId="682471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4820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9E8F3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8</w:t>
            </w:r>
            <w:r>
              <w:rPr>
                <w:rFonts w:hint="default" w:ascii="Times New Roman" w:hAnsi="Times New Roman" w:eastAsia="宋体" w:cs="Times New Roman"/>
                <w:color w:val="auto"/>
                <w:spacing w:val="4"/>
                <w:sz w:val="21"/>
                <w:szCs w:val="21"/>
              </w:rPr>
              <w:t>9.</w:t>
            </w:r>
          </w:p>
        </w:tc>
        <w:tc>
          <w:tcPr>
            <w:tcW w:w="1719" w:type="dxa"/>
            <w:shd w:val="clear" w:color="auto" w:fill="auto"/>
            <w:noWrap w:val="0"/>
            <w:vAlign w:val="center"/>
          </w:tcPr>
          <w:p w14:paraId="38F22B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瓦</w:t>
            </w:r>
            <w:r>
              <w:rPr>
                <w:rFonts w:hint="default" w:ascii="Times New Roman" w:hAnsi="Times New Roman" w:eastAsia="宋体" w:cs="Times New Roman"/>
                <w:color w:val="auto"/>
                <w:spacing w:val="6"/>
                <w:sz w:val="21"/>
                <w:szCs w:val="21"/>
              </w:rPr>
              <w:t>氏黄颡鱼</w:t>
            </w:r>
          </w:p>
        </w:tc>
        <w:tc>
          <w:tcPr>
            <w:tcW w:w="2494" w:type="dxa"/>
            <w:shd w:val="clear" w:color="auto" w:fill="auto"/>
            <w:noWrap w:val="0"/>
            <w:vAlign w:val="center"/>
          </w:tcPr>
          <w:p w14:paraId="3290F2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Pelteobagrus</w:t>
            </w:r>
            <w:r>
              <w:rPr>
                <w:rFonts w:hint="default" w:ascii="Times New Roman" w:hAnsi="Times New Roman" w:eastAsia="宋体" w:cs="Times New Roman"/>
                <w:color w:val="auto"/>
                <w:spacing w:val="93"/>
                <w:position w:val="4"/>
                <w:sz w:val="21"/>
                <w:szCs w:val="21"/>
              </w:rPr>
              <w:t xml:space="preserve"> </w:t>
            </w:r>
            <w:r>
              <w:rPr>
                <w:rFonts w:hint="default" w:ascii="Times New Roman" w:hAnsi="Times New Roman" w:eastAsia="宋体" w:cs="Times New Roman"/>
                <w:i/>
                <w:iCs/>
                <w:color w:val="auto"/>
                <w:position w:val="4"/>
                <w:sz w:val="21"/>
                <w:szCs w:val="21"/>
              </w:rPr>
              <w:t>vachelli</w:t>
            </w:r>
          </w:p>
        </w:tc>
        <w:tc>
          <w:tcPr>
            <w:tcW w:w="1308" w:type="dxa"/>
            <w:shd w:val="clear" w:color="auto" w:fill="auto"/>
            <w:noWrap w:val="0"/>
            <w:vAlign w:val="center"/>
          </w:tcPr>
          <w:p w14:paraId="70299F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0B2CEB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5DC7DE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E1A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B5BCE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90</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6A8D3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光泽黄颡</w:t>
            </w:r>
            <w:r>
              <w:rPr>
                <w:rFonts w:hint="default" w:ascii="Times New Roman" w:hAnsi="Times New Roman" w:eastAsia="宋体" w:cs="Times New Roman"/>
                <w:color w:val="auto"/>
                <w:spacing w:val="7"/>
                <w:sz w:val="21"/>
                <w:szCs w:val="21"/>
              </w:rPr>
              <w:t>鱼</w:t>
            </w:r>
          </w:p>
        </w:tc>
        <w:tc>
          <w:tcPr>
            <w:tcW w:w="2494" w:type="dxa"/>
            <w:shd w:val="clear" w:color="auto" w:fill="auto"/>
            <w:noWrap w:val="0"/>
            <w:vAlign w:val="center"/>
          </w:tcPr>
          <w:p w14:paraId="771644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Pelteobagrus</w:t>
            </w:r>
            <w:r>
              <w:rPr>
                <w:rFonts w:hint="default" w:ascii="Times New Roman" w:hAnsi="Times New Roman" w:eastAsia="宋体" w:cs="Times New Roman"/>
                <w:color w:val="auto"/>
                <w:spacing w:val="85"/>
                <w:position w:val="4"/>
                <w:sz w:val="21"/>
                <w:szCs w:val="21"/>
              </w:rPr>
              <w:t xml:space="preserve"> </w:t>
            </w:r>
            <w:r>
              <w:rPr>
                <w:rFonts w:hint="default" w:ascii="Times New Roman" w:hAnsi="Times New Roman" w:eastAsia="宋体" w:cs="Times New Roman"/>
                <w:i/>
                <w:iCs/>
                <w:color w:val="auto"/>
                <w:position w:val="4"/>
                <w:sz w:val="21"/>
                <w:szCs w:val="21"/>
              </w:rPr>
              <w:t>nitidus</w:t>
            </w:r>
          </w:p>
        </w:tc>
        <w:tc>
          <w:tcPr>
            <w:tcW w:w="1308" w:type="dxa"/>
            <w:shd w:val="clear" w:color="auto" w:fill="auto"/>
            <w:noWrap w:val="0"/>
            <w:vAlign w:val="center"/>
          </w:tcPr>
          <w:p w14:paraId="7D08E7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D1883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6CEF7D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0A280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124A4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91</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279D9F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长须黄颡</w:t>
            </w:r>
            <w:r>
              <w:rPr>
                <w:rFonts w:hint="default" w:ascii="Times New Roman" w:hAnsi="Times New Roman" w:eastAsia="宋体" w:cs="Times New Roman"/>
                <w:color w:val="auto"/>
                <w:spacing w:val="7"/>
                <w:sz w:val="21"/>
                <w:szCs w:val="21"/>
              </w:rPr>
              <w:t>鱼</w:t>
            </w:r>
          </w:p>
        </w:tc>
        <w:tc>
          <w:tcPr>
            <w:tcW w:w="2494" w:type="dxa"/>
            <w:shd w:val="clear" w:color="auto" w:fill="auto"/>
            <w:noWrap w:val="0"/>
            <w:vAlign w:val="center"/>
          </w:tcPr>
          <w:p w14:paraId="46E270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Pelteobagrus</w:t>
            </w:r>
            <w:r>
              <w:rPr>
                <w:rFonts w:hint="default" w:ascii="Times New Roman" w:hAnsi="Times New Roman" w:eastAsia="宋体" w:cs="Times New Roman"/>
                <w:color w:val="auto"/>
                <w:spacing w:val="94"/>
                <w:position w:val="4"/>
                <w:sz w:val="21"/>
                <w:szCs w:val="21"/>
              </w:rPr>
              <w:t xml:space="preserve"> </w:t>
            </w:r>
            <w:r>
              <w:rPr>
                <w:rFonts w:hint="default" w:ascii="Times New Roman" w:hAnsi="Times New Roman" w:eastAsia="宋体" w:cs="Times New Roman"/>
                <w:i/>
                <w:iCs/>
                <w:color w:val="auto"/>
                <w:position w:val="4"/>
                <w:sz w:val="21"/>
                <w:szCs w:val="21"/>
              </w:rPr>
              <w:t>eupogon</w:t>
            </w:r>
          </w:p>
        </w:tc>
        <w:tc>
          <w:tcPr>
            <w:tcW w:w="1308" w:type="dxa"/>
            <w:shd w:val="clear" w:color="auto" w:fill="auto"/>
            <w:noWrap w:val="0"/>
            <w:vAlign w:val="center"/>
          </w:tcPr>
          <w:p w14:paraId="777193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029294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52C5C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48D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194F5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92</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2C6783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长</w:t>
            </w:r>
            <w:r>
              <w:rPr>
                <w:rFonts w:hint="default" w:ascii="Times New Roman" w:hAnsi="Times New Roman" w:eastAsia="宋体" w:cs="Times New Roman"/>
                <w:color w:val="auto"/>
                <w:spacing w:val="6"/>
                <w:sz w:val="21"/>
                <w:szCs w:val="21"/>
              </w:rPr>
              <w:t>吻鮠</w:t>
            </w:r>
          </w:p>
        </w:tc>
        <w:tc>
          <w:tcPr>
            <w:tcW w:w="2494" w:type="dxa"/>
            <w:shd w:val="clear" w:color="auto" w:fill="auto"/>
            <w:noWrap w:val="0"/>
            <w:vAlign w:val="center"/>
          </w:tcPr>
          <w:p w14:paraId="05FAA7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Leiocassis</w:t>
            </w:r>
            <w:r>
              <w:rPr>
                <w:rFonts w:hint="default" w:ascii="Times New Roman" w:hAnsi="Times New Roman" w:eastAsia="宋体" w:cs="Times New Roman"/>
                <w:color w:val="auto"/>
                <w:spacing w:val="87"/>
                <w:position w:val="4"/>
                <w:sz w:val="21"/>
                <w:szCs w:val="21"/>
              </w:rPr>
              <w:t xml:space="preserve"> </w:t>
            </w:r>
            <w:r>
              <w:rPr>
                <w:rFonts w:hint="default" w:ascii="Times New Roman" w:hAnsi="Times New Roman" w:eastAsia="宋体" w:cs="Times New Roman"/>
                <w:i/>
                <w:iCs/>
                <w:color w:val="auto"/>
                <w:position w:val="4"/>
                <w:sz w:val="21"/>
                <w:szCs w:val="21"/>
              </w:rPr>
              <w:t>longirostris</w:t>
            </w:r>
          </w:p>
        </w:tc>
        <w:tc>
          <w:tcPr>
            <w:tcW w:w="1308" w:type="dxa"/>
            <w:shd w:val="clear" w:color="auto" w:fill="auto"/>
            <w:noWrap w:val="0"/>
            <w:vAlign w:val="center"/>
          </w:tcPr>
          <w:p w14:paraId="51FFD2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596B4D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0146E6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287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F36C6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6"/>
                <w:sz w:val="21"/>
                <w:szCs w:val="21"/>
              </w:rPr>
              <w:t>93</w:t>
            </w:r>
            <w:r>
              <w:rPr>
                <w:rFonts w:hint="default" w:ascii="Times New Roman" w:hAnsi="Times New Roman" w:eastAsia="宋体" w:cs="Times New Roman"/>
                <w:color w:val="auto"/>
                <w:spacing w:val="5"/>
                <w:sz w:val="21"/>
                <w:szCs w:val="21"/>
              </w:rPr>
              <w:t>.</w:t>
            </w:r>
          </w:p>
        </w:tc>
        <w:tc>
          <w:tcPr>
            <w:tcW w:w="1719" w:type="dxa"/>
            <w:noWrap w:val="0"/>
            <w:vAlign w:val="center"/>
          </w:tcPr>
          <w:p w14:paraId="02849A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粗唇</w:t>
            </w:r>
            <w:r>
              <w:rPr>
                <w:rFonts w:hint="default" w:ascii="Times New Roman" w:hAnsi="Times New Roman" w:eastAsia="宋体" w:cs="Times New Roman"/>
                <w:color w:val="auto"/>
                <w:spacing w:val="6"/>
                <w:sz w:val="21"/>
                <w:szCs w:val="21"/>
              </w:rPr>
              <w:t>鮠</w:t>
            </w:r>
          </w:p>
        </w:tc>
        <w:tc>
          <w:tcPr>
            <w:tcW w:w="2494" w:type="dxa"/>
            <w:noWrap w:val="0"/>
            <w:vAlign w:val="center"/>
          </w:tcPr>
          <w:p w14:paraId="364A8C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7"/>
                <w:position w:val="4"/>
                <w:sz w:val="21"/>
                <w:szCs w:val="21"/>
              </w:rPr>
            </w:pPr>
            <w:r>
              <w:rPr>
                <w:rFonts w:hint="default" w:ascii="Times New Roman" w:hAnsi="Times New Roman" w:eastAsia="宋体" w:cs="Times New Roman"/>
                <w:i/>
                <w:iCs/>
                <w:color w:val="auto"/>
                <w:position w:val="2"/>
                <w:sz w:val="21"/>
                <w:szCs w:val="21"/>
              </w:rPr>
              <w:t>Leiocassis</w:t>
            </w:r>
            <w:r>
              <w:rPr>
                <w:rFonts w:hint="default" w:ascii="Times New Roman" w:hAnsi="Times New Roman" w:eastAsia="宋体" w:cs="Times New Roman"/>
                <w:color w:val="auto"/>
                <w:spacing w:val="95"/>
                <w:position w:val="2"/>
                <w:sz w:val="21"/>
                <w:szCs w:val="21"/>
              </w:rPr>
              <w:t xml:space="preserve"> </w:t>
            </w:r>
            <w:r>
              <w:rPr>
                <w:rFonts w:hint="default" w:ascii="Times New Roman" w:hAnsi="Times New Roman" w:eastAsia="宋体" w:cs="Times New Roman"/>
                <w:i/>
                <w:iCs/>
                <w:color w:val="auto"/>
                <w:position w:val="2"/>
                <w:sz w:val="21"/>
                <w:szCs w:val="21"/>
              </w:rPr>
              <w:t>crassilabris</w:t>
            </w:r>
          </w:p>
        </w:tc>
        <w:tc>
          <w:tcPr>
            <w:tcW w:w="1308" w:type="dxa"/>
            <w:noWrap w:val="0"/>
            <w:vAlign w:val="center"/>
          </w:tcPr>
          <w:p w14:paraId="343AE9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72507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5C251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1"/>
                <w:sz w:val="21"/>
                <w:szCs w:val="21"/>
              </w:rPr>
            </w:pPr>
          </w:p>
        </w:tc>
      </w:tr>
      <w:tr w14:paraId="06E92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CE174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6"/>
                <w:sz w:val="21"/>
                <w:szCs w:val="21"/>
              </w:rPr>
              <w:t>94</w:t>
            </w:r>
            <w:r>
              <w:rPr>
                <w:rFonts w:hint="default" w:ascii="Times New Roman" w:hAnsi="Times New Roman" w:eastAsia="宋体" w:cs="Times New Roman"/>
                <w:color w:val="auto"/>
                <w:spacing w:val="5"/>
                <w:sz w:val="21"/>
                <w:szCs w:val="21"/>
              </w:rPr>
              <w:t>.</w:t>
            </w:r>
          </w:p>
        </w:tc>
        <w:tc>
          <w:tcPr>
            <w:tcW w:w="1719" w:type="dxa"/>
            <w:noWrap w:val="0"/>
            <w:vAlign w:val="center"/>
          </w:tcPr>
          <w:p w14:paraId="374EA4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乌苏拟</w:t>
            </w:r>
            <w:r>
              <w:rPr>
                <w:rFonts w:hint="default" w:ascii="Times New Roman" w:hAnsi="Times New Roman" w:eastAsia="宋体" w:cs="Times New Roman"/>
                <w:color w:val="auto"/>
                <w:spacing w:val="6"/>
                <w:sz w:val="21"/>
                <w:szCs w:val="21"/>
              </w:rPr>
              <w:t>鲿</w:t>
            </w:r>
          </w:p>
        </w:tc>
        <w:tc>
          <w:tcPr>
            <w:tcW w:w="2494" w:type="dxa"/>
            <w:noWrap w:val="0"/>
            <w:vAlign w:val="center"/>
          </w:tcPr>
          <w:p w14:paraId="63B6DA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7"/>
                <w:position w:val="4"/>
                <w:sz w:val="21"/>
                <w:szCs w:val="21"/>
              </w:rPr>
            </w:pPr>
            <w:r>
              <w:rPr>
                <w:rFonts w:hint="default" w:ascii="Times New Roman" w:hAnsi="Times New Roman" w:eastAsia="宋体" w:cs="Times New Roman"/>
                <w:i/>
                <w:iCs/>
                <w:color w:val="auto"/>
                <w:position w:val="4"/>
                <w:sz w:val="21"/>
                <w:szCs w:val="21"/>
              </w:rPr>
              <w:t>Pseudobagrus</w:t>
            </w:r>
            <w:r>
              <w:rPr>
                <w:rFonts w:hint="default" w:ascii="Times New Roman" w:hAnsi="Times New Roman" w:eastAsia="宋体" w:cs="Times New Roman"/>
                <w:color w:val="auto"/>
                <w:spacing w:val="109"/>
                <w:position w:val="4"/>
                <w:sz w:val="21"/>
                <w:szCs w:val="21"/>
              </w:rPr>
              <w:t xml:space="preserve"> </w:t>
            </w:r>
            <w:r>
              <w:rPr>
                <w:rFonts w:hint="default" w:ascii="Times New Roman" w:hAnsi="Times New Roman" w:eastAsia="宋体" w:cs="Times New Roman"/>
                <w:i/>
                <w:iCs/>
                <w:color w:val="auto"/>
                <w:position w:val="4"/>
                <w:sz w:val="21"/>
                <w:szCs w:val="21"/>
              </w:rPr>
              <w:t>ussuriensis</w:t>
            </w:r>
          </w:p>
        </w:tc>
        <w:tc>
          <w:tcPr>
            <w:tcW w:w="1308" w:type="dxa"/>
            <w:noWrap w:val="0"/>
            <w:vAlign w:val="center"/>
          </w:tcPr>
          <w:p w14:paraId="06395E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F33EE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1A1505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1"/>
                <w:sz w:val="21"/>
                <w:szCs w:val="21"/>
              </w:rPr>
            </w:pPr>
          </w:p>
        </w:tc>
      </w:tr>
      <w:tr w14:paraId="4312E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435587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6"/>
                <w:sz w:val="21"/>
                <w:szCs w:val="21"/>
              </w:rPr>
              <w:t>95</w:t>
            </w:r>
            <w:r>
              <w:rPr>
                <w:rFonts w:hint="default" w:ascii="Times New Roman" w:hAnsi="Times New Roman" w:eastAsia="宋体" w:cs="Times New Roman"/>
                <w:color w:val="auto"/>
                <w:spacing w:val="5"/>
                <w:sz w:val="21"/>
                <w:szCs w:val="21"/>
              </w:rPr>
              <w:t>.</w:t>
            </w:r>
          </w:p>
        </w:tc>
        <w:tc>
          <w:tcPr>
            <w:tcW w:w="1719" w:type="dxa"/>
            <w:noWrap w:val="0"/>
            <w:vAlign w:val="center"/>
          </w:tcPr>
          <w:p w14:paraId="3AC39E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1"/>
                <w:sz w:val="21"/>
                <w:szCs w:val="21"/>
              </w:rPr>
              <w:t>白</w:t>
            </w:r>
            <w:r>
              <w:rPr>
                <w:rFonts w:hint="default" w:ascii="Times New Roman" w:hAnsi="Times New Roman" w:eastAsia="宋体" w:cs="Times New Roman"/>
                <w:color w:val="auto"/>
                <w:sz w:val="21"/>
                <w:szCs w:val="21"/>
              </w:rPr>
              <w:t>边拟鲿</w:t>
            </w:r>
          </w:p>
        </w:tc>
        <w:tc>
          <w:tcPr>
            <w:tcW w:w="2494" w:type="dxa"/>
            <w:noWrap w:val="0"/>
            <w:vAlign w:val="center"/>
          </w:tcPr>
          <w:p w14:paraId="3ABB31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7"/>
                <w:position w:val="9"/>
                <w:sz w:val="21"/>
                <w:szCs w:val="21"/>
              </w:rPr>
              <w:t>P</w:t>
            </w:r>
            <w:r>
              <w:rPr>
                <w:rFonts w:hint="default" w:ascii="Times New Roman" w:hAnsi="Times New Roman" w:eastAsia="宋体" w:cs="Times New Roman"/>
                <w:i/>
                <w:iCs/>
                <w:color w:val="auto"/>
                <w:spacing w:val="5"/>
                <w:position w:val="9"/>
                <w:sz w:val="21"/>
                <w:szCs w:val="21"/>
              </w:rPr>
              <w:t>seudobagrus</w:t>
            </w:r>
          </w:p>
          <w:p w14:paraId="77DEF0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7"/>
                <w:position w:val="4"/>
                <w:sz w:val="21"/>
                <w:szCs w:val="21"/>
              </w:rPr>
            </w:pPr>
            <w:r>
              <w:rPr>
                <w:rFonts w:hint="default" w:ascii="Times New Roman" w:hAnsi="Times New Roman" w:eastAsia="宋体" w:cs="Times New Roman"/>
                <w:i/>
                <w:iCs/>
                <w:color w:val="auto"/>
                <w:spacing w:val="6"/>
                <w:position w:val="4"/>
                <w:sz w:val="21"/>
                <w:szCs w:val="21"/>
              </w:rPr>
              <w:t>al</w:t>
            </w:r>
            <w:r>
              <w:rPr>
                <w:rFonts w:hint="default" w:ascii="Times New Roman" w:hAnsi="Times New Roman" w:eastAsia="宋体" w:cs="Times New Roman"/>
                <w:i/>
                <w:iCs/>
                <w:color w:val="auto"/>
                <w:spacing w:val="5"/>
                <w:position w:val="4"/>
                <w:sz w:val="21"/>
                <w:szCs w:val="21"/>
              </w:rPr>
              <w:t>b</w:t>
            </w:r>
            <w:r>
              <w:rPr>
                <w:rFonts w:hint="default" w:ascii="Times New Roman" w:hAnsi="Times New Roman" w:eastAsia="宋体" w:cs="Times New Roman"/>
                <w:i/>
                <w:iCs/>
                <w:color w:val="auto"/>
                <w:spacing w:val="3"/>
                <w:position w:val="4"/>
                <w:sz w:val="21"/>
                <w:szCs w:val="21"/>
              </w:rPr>
              <w:t>omarginatus</w:t>
            </w:r>
          </w:p>
        </w:tc>
        <w:tc>
          <w:tcPr>
            <w:tcW w:w="1308" w:type="dxa"/>
            <w:noWrap w:val="0"/>
            <w:vAlign w:val="center"/>
          </w:tcPr>
          <w:p w14:paraId="1A8321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C35D9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noWrap w:val="0"/>
            <w:vAlign w:val="center"/>
          </w:tcPr>
          <w:p w14:paraId="032106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1"/>
                <w:sz w:val="21"/>
                <w:szCs w:val="21"/>
              </w:rPr>
            </w:pPr>
          </w:p>
        </w:tc>
      </w:tr>
      <w:tr w14:paraId="77A1A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0CC148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96</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33DAC4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9"/>
                <w:sz w:val="21"/>
                <w:szCs w:val="21"/>
              </w:rPr>
              <w:t>盎</w:t>
            </w:r>
            <w:r>
              <w:rPr>
                <w:rFonts w:hint="default" w:ascii="Times New Roman" w:hAnsi="Times New Roman" w:eastAsia="宋体" w:cs="Times New Roman"/>
                <w:color w:val="auto"/>
                <w:spacing w:val="6"/>
                <w:sz w:val="21"/>
                <w:szCs w:val="21"/>
              </w:rPr>
              <w:t>堂拟鲿</w:t>
            </w:r>
          </w:p>
        </w:tc>
        <w:tc>
          <w:tcPr>
            <w:tcW w:w="2494" w:type="dxa"/>
            <w:shd w:val="clear" w:color="auto" w:fill="auto"/>
            <w:noWrap w:val="0"/>
            <w:vAlign w:val="center"/>
          </w:tcPr>
          <w:p w14:paraId="7540B3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spacing w:val="7"/>
                <w:position w:val="4"/>
                <w:sz w:val="21"/>
                <w:szCs w:val="21"/>
              </w:rPr>
              <w:t>P</w:t>
            </w:r>
            <w:r>
              <w:rPr>
                <w:rFonts w:hint="default" w:ascii="Times New Roman" w:hAnsi="Times New Roman" w:eastAsia="宋体" w:cs="Times New Roman"/>
                <w:i/>
                <w:iCs/>
                <w:color w:val="auto"/>
                <w:spacing w:val="5"/>
                <w:position w:val="4"/>
                <w:sz w:val="21"/>
                <w:szCs w:val="21"/>
              </w:rPr>
              <w:t>seudobagrusondon</w:t>
            </w:r>
          </w:p>
        </w:tc>
        <w:tc>
          <w:tcPr>
            <w:tcW w:w="1308" w:type="dxa"/>
            <w:shd w:val="clear" w:color="auto" w:fill="auto"/>
            <w:noWrap w:val="0"/>
            <w:vAlign w:val="center"/>
          </w:tcPr>
          <w:p w14:paraId="7F1F28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6D87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2447FC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0C34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289DC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97</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371BBC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大鳍鳠</w:t>
            </w:r>
          </w:p>
        </w:tc>
        <w:tc>
          <w:tcPr>
            <w:tcW w:w="2494" w:type="dxa"/>
            <w:shd w:val="clear" w:color="auto" w:fill="auto"/>
            <w:noWrap w:val="0"/>
            <w:vAlign w:val="center"/>
          </w:tcPr>
          <w:p w14:paraId="4D0E5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Mystus</w:t>
            </w:r>
            <w:r>
              <w:rPr>
                <w:rFonts w:hint="default" w:ascii="Times New Roman" w:hAnsi="Times New Roman" w:eastAsia="宋体" w:cs="Times New Roman"/>
                <w:color w:val="auto"/>
                <w:spacing w:val="80"/>
                <w:position w:val="4"/>
                <w:sz w:val="21"/>
                <w:szCs w:val="21"/>
              </w:rPr>
              <w:t xml:space="preserve"> </w:t>
            </w:r>
            <w:r>
              <w:rPr>
                <w:rFonts w:hint="default" w:ascii="Times New Roman" w:hAnsi="Times New Roman" w:eastAsia="宋体" w:cs="Times New Roman"/>
                <w:i/>
                <w:iCs/>
                <w:color w:val="auto"/>
                <w:position w:val="4"/>
                <w:sz w:val="21"/>
                <w:szCs w:val="21"/>
              </w:rPr>
              <w:t>macropterus</w:t>
            </w:r>
          </w:p>
        </w:tc>
        <w:tc>
          <w:tcPr>
            <w:tcW w:w="1308" w:type="dxa"/>
            <w:shd w:val="clear" w:color="auto" w:fill="auto"/>
            <w:noWrap w:val="0"/>
            <w:vAlign w:val="center"/>
          </w:tcPr>
          <w:p w14:paraId="5C19AD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8610C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63ECA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3EDA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0C406E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position w:val="2"/>
                <w:sz w:val="21"/>
                <w:szCs w:val="21"/>
              </w:rPr>
              <w:t>(九)</w:t>
            </w:r>
          </w:p>
        </w:tc>
        <w:tc>
          <w:tcPr>
            <w:tcW w:w="1719" w:type="dxa"/>
            <w:shd w:val="clear" w:color="auto" w:fill="auto"/>
            <w:noWrap w:val="0"/>
            <w:vAlign w:val="center"/>
          </w:tcPr>
          <w:p w14:paraId="43DAB6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鮡</w:t>
            </w:r>
            <w:r>
              <w:rPr>
                <w:rFonts w:hint="default" w:ascii="Times New Roman" w:hAnsi="Times New Roman" w:eastAsia="宋体" w:cs="Times New Roman"/>
                <w:color w:val="auto"/>
                <w:spacing w:val="6"/>
                <w:sz w:val="21"/>
                <w:szCs w:val="21"/>
              </w:rPr>
              <w:t>科</w:t>
            </w:r>
          </w:p>
        </w:tc>
        <w:tc>
          <w:tcPr>
            <w:tcW w:w="2494" w:type="dxa"/>
            <w:shd w:val="clear" w:color="auto" w:fill="auto"/>
            <w:noWrap w:val="0"/>
            <w:vAlign w:val="center"/>
          </w:tcPr>
          <w:p w14:paraId="043C8C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3"/>
                <w:position w:val="2"/>
                <w:sz w:val="21"/>
                <w:szCs w:val="21"/>
              </w:rPr>
              <w:t>Sisoridae</w:t>
            </w:r>
          </w:p>
        </w:tc>
        <w:tc>
          <w:tcPr>
            <w:tcW w:w="1308" w:type="dxa"/>
            <w:shd w:val="clear" w:color="auto" w:fill="auto"/>
            <w:noWrap w:val="0"/>
            <w:vAlign w:val="center"/>
          </w:tcPr>
          <w:p w14:paraId="67499E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611FF2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669585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B25B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9E3B7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98</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1E4719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中</w:t>
            </w:r>
            <w:r>
              <w:rPr>
                <w:rFonts w:hint="default" w:ascii="Times New Roman" w:hAnsi="Times New Roman" w:eastAsia="宋体" w:cs="Times New Roman"/>
                <w:color w:val="auto"/>
                <w:spacing w:val="4"/>
                <w:sz w:val="21"/>
                <w:szCs w:val="21"/>
              </w:rPr>
              <w:t>华纹胸鮡</w:t>
            </w:r>
          </w:p>
        </w:tc>
        <w:tc>
          <w:tcPr>
            <w:tcW w:w="2494" w:type="dxa"/>
            <w:shd w:val="clear" w:color="auto" w:fill="auto"/>
            <w:noWrap w:val="0"/>
            <w:vAlign w:val="center"/>
          </w:tcPr>
          <w:p w14:paraId="1DEED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Glyptothorax</w:t>
            </w:r>
            <w:r>
              <w:rPr>
                <w:rFonts w:hint="default" w:ascii="Times New Roman" w:hAnsi="Times New Roman" w:eastAsia="宋体" w:cs="Times New Roman"/>
                <w:color w:val="auto"/>
                <w:spacing w:val="69"/>
                <w:position w:val="4"/>
                <w:sz w:val="21"/>
                <w:szCs w:val="21"/>
              </w:rPr>
              <w:t xml:space="preserve"> </w:t>
            </w:r>
            <w:r>
              <w:rPr>
                <w:rFonts w:hint="default" w:ascii="Times New Roman" w:hAnsi="Times New Roman" w:eastAsia="宋体" w:cs="Times New Roman"/>
                <w:i/>
                <w:iCs/>
                <w:color w:val="auto"/>
                <w:position w:val="4"/>
                <w:sz w:val="21"/>
                <w:szCs w:val="21"/>
              </w:rPr>
              <w:t>sinense</w:t>
            </w:r>
          </w:p>
        </w:tc>
        <w:tc>
          <w:tcPr>
            <w:tcW w:w="1308" w:type="dxa"/>
            <w:shd w:val="clear" w:color="auto" w:fill="auto"/>
            <w:noWrap w:val="0"/>
            <w:vAlign w:val="center"/>
          </w:tcPr>
          <w:p w14:paraId="758D7E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9A07E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1636E3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8C3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D8176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position w:val="2"/>
                <w:sz w:val="21"/>
                <w:szCs w:val="21"/>
              </w:rPr>
              <w:t>(十)</w:t>
            </w:r>
          </w:p>
        </w:tc>
        <w:tc>
          <w:tcPr>
            <w:tcW w:w="1719" w:type="dxa"/>
            <w:shd w:val="clear" w:color="auto" w:fill="auto"/>
            <w:noWrap w:val="0"/>
            <w:vAlign w:val="center"/>
          </w:tcPr>
          <w:p w14:paraId="411DD4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鲇</w:t>
            </w:r>
            <w:r>
              <w:rPr>
                <w:rFonts w:hint="default" w:ascii="Times New Roman" w:hAnsi="Times New Roman" w:eastAsia="宋体" w:cs="Times New Roman"/>
                <w:color w:val="auto"/>
                <w:spacing w:val="5"/>
                <w:sz w:val="21"/>
                <w:szCs w:val="21"/>
              </w:rPr>
              <w:t>科</w:t>
            </w:r>
          </w:p>
        </w:tc>
        <w:tc>
          <w:tcPr>
            <w:tcW w:w="2494" w:type="dxa"/>
            <w:shd w:val="clear" w:color="auto" w:fill="auto"/>
            <w:noWrap w:val="0"/>
            <w:vAlign w:val="center"/>
          </w:tcPr>
          <w:p w14:paraId="46F579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3"/>
                <w:position w:val="2"/>
                <w:sz w:val="21"/>
                <w:szCs w:val="21"/>
              </w:rPr>
              <w:t>Silurida</w:t>
            </w:r>
            <w:r>
              <w:rPr>
                <w:rFonts w:hint="default" w:ascii="Times New Roman" w:hAnsi="Times New Roman" w:eastAsia="宋体" w:cs="Times New Roman"/>
                <w:b/>
                <w:bCs/>
                <w:color w:val="auto"/>
                <w:spacing w:val="2"/>
                <w:position w:val="2"/>
                <w:sz w:val="21"/>
                <w:szCs w:val="21"/>
              </w:rPr>
              <w:t>e</w:t>
            </w:r>
          </w:p>
        </w:tc>
        <w:tc>
          <w:tcPr>
            <w:tcW w:w="1308" w:type="dxa"/>
            <w:shd w:val="clear" w:color="auto" w:fill="auto"/>
            <w:noWrap w:val="0"/>
            <w:vAlign w:val="center"/>
          </w:tcPr>
          <w:p w14:paraId="7859C0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1174F1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59" w:type="dxa"/>
            <w:tcBorders>
              <w:right w:val="single" w:color="000000" w:sz="10" w:space="0"/>
            </w:tcBorders>
            <w:shd w:val="clear" w:color="auto" w:fill="auto"/>
            <w:noWrap w:val="0"/>
            <w:vAlign w:val="center"/>
          </w:tcPr>
          <w:p w14:paraId="0FD0A5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9141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FD900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99</w:t>
            </w:r>
            <w:r>
              <w:rPr>
                <w:rFonts w:hint="default" w:ascii="Times New Roman" w:hAnsi="Times New Roman" w:eastAsia="宋体" w:cs="Times New Roman"/>
                <w:color w:val="auto"/>
                <w:spacing w:val="5"/>
                <w:sz w:val="21"/>
                <w:szCs w:val="21"/>
              </w:rPr>
              <w:t>.</w:t>
            </w:r>
          </w:p>
        </w:tc>
        <w:tc>
          <w:tcPr>
            <w:tcW w:w="1719" w:type="dxa"/>
            <w:shd w:val="clear" w:color="auto" w:fill="auto"/>
            <w:noWrap w:val="0"/>
            <w:vAlign w:val="center"/>
          </w:tcPr>
          <w:p w14:paraId="75668C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鲇</w:t>
            </w:r>
          </w:p>
        </w:tc>
        <w:tc>
          <w:tcPr>
            <w:tcW w:w="2494" w:type="dxa"/>
            <w:shd w:val="clear" w:color="auto" w:fill="auto"/>
            <w:noWrap w:val="0"/>
            <w:vAlign w:val="center"/>
          </w:tcPr>
          <w:p w14:paraId="26559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Silurus</w:t>
            </w:r>
            <w:r>
              <w:rPr>
                <w:rFonts w:hint="default" w:ascii="Times New Roman" w:hAnsi="Times New Roman" w:eastAsia="宋体" w:cs="Times New Roman"/>
                <w:color w:val="auto"/>
                <w:spacing w:val="55"/>
                <w:position w:val="2"/>
                <w:sz w:val="21"/>
                <w:szCs w:val="21"/>
              </w:rPr>
              <w:t xml:space="preserve"> </w:t>
            </w:r>
            <w:r>
              <w:rPr>
                <w:rFonts w:hint="default" w:ascii="Times New Roman" w:hAnsi="Times New Roman" w:eastAsia="宋体" w:cs="Times New Roman"/>
                <w:i/>
                <w:iCs/>
                <w:color w:val="auto"/>
                <w:position w:val="2"/>
                <w:sz w:val="21"/>
                <w:szCs w:val="21"/>
              </w:rPr>
              <w:t>asotus</w:t>
            </w:r>
          </w:p>
        </w:tc>
        <w:tc>
          <w:tcPr>
            <w:tcW w:w="1308" w:type="dxa"/>
            <w:shd w:val="clear" w:color="auto" w:fill="auto"/>
            <w:noWrap w:val="0"/>
            <w:vAlign w:val="center"/>
          </w:tcPr>
          <w:p w14:paraId="36A122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26E1C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440BBA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748E7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BE65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100</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72CD08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南方鲇</w:t>
            </w:r>
          </w:p>
        </w:tc>
        <w:tc>
          <w:tcPr>
            <w:tcW w:w="2494" w:type="dxa"/>
            <w:shd w:val="clear" w:color="auto" w:fill="auto"/>
            <w:noWrap w:val="0"/>
            <w:vAlign w:val="center"/>
          </w:tcPr>
          <w:p w14:paraId="4BA0F0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Silurus</w:t>
            </w:r>
            <w:r>
              <w:rPr>
                <w:rFonts w:hint="default" w:ascii="Times New Roman" w:hAnsi="Times New Roman" w:eastAsia="宋体" w:cs="Times New Roman"/>
                <w:color w:val="auto"/>
                <w:spacing w:val="79"/>
                <w:position w:val="2"/>
                <w:sz w:val="21"/>
                <w:szCs w:val="21"/>
              </w:rPr>
              <w:t xml:space="preserve"> </w:t>
            </w:r>
            <w:r>
              <w:rPr>
                <w:rFonts w:hint="default" w:ascii="Times New Roman" w:hAnsi="Times New Roman" w:eastAsia="宋体" w:cs="Times New Roman"/>
                <w:i/>
                <w:iCs/>
                <w:color w:val="auto"/>
                <w:position w:val="2"/>
                <w:sz w:val="21"/>
                <w:szCs w:val="21"/>
              </w:rPr>
              <w:t>meridionalis</w:t>
            </w:r>
          </w:p>
        </w:tc>
        <w:tc>
          <w:tcPr>
            <w:tcW w:w="1308" w:type="dxa"/>
            <w:shd w:val="clear" w:color="auto" w:fill="auto"/>
            <w:noWrap w:val="0"/>
            <w:vAlign w:val="center"/>
          </w:tcPr>
          <w:p w14:paraId="7EDE99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51AF63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9" w:type="dxa"/>
            <w:tcBorders>
              <w:right w:val="single" w:color="000000" w:sz="10" w:space="0"/>
            </w:tcBorders>
            <w:shd w:val="clear" w:color="auto" w:fill="auto"/>
            <w:noWrap w:val="0"/>
            <w:vAlign w:val="center"/>
          </w:tcPr>
          <w:p w14:paraId="54C577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05CF5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7FFA86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rPr>
            </w:pPr>
          </w:p>
        </w:tc>
        <w:tc>
          <w:tcPr>
            <w:tcW w:w="1719" w:type="dxa"/>
            <w:shd w:val="clear" w:color="auto" w:fill="auto"/>
            <w:noWrap w:val="0"/>
            <w:vAlign w:val="center"/>
          </w:tcPr>
          <w:p w14:paraId="01861B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rPr>
            </w:pPr>
          </w:p>
        </w:tc>
        <w:tc>
          <w:tcPr>
            <w:tcW w:w="2494" w:type="dxa"/>
            <w:shd w:val="clear" w:color="auto" w:fill="auto"/>
            <w:noWrap w:val="0"/>
            <w:vAlign w:val="center"/>
          </w:tcPr>
          <w:p w14:paraId="764D73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position w:val="2"/>
                <w:sz w:val="21"/>
                <w:szCs w:val="21"/>
              </w:rPr>
            </w:pPr>
          </w:p>
        </w:tc>
        <w:tc>
          <w:tcPr>
            <w:tcW w:w="1308" w:type="dxa"/>
            <w:shd w:val="clear" w:color="auto" w:fill="auto"/>
            <w:noWrap w:val="0"/>
            <w:vAlign w:val="center"/>
          </w:tcPr>
          <w:p w14:paraId="2023ED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position w:val="2"/>
                <w:sz w:val="21"/>
                <w:szCs w:val="21"/>
              </w:rPr>
            </w:pPr>
          </w:p>
        </w:tc>
        <w:tc>
          <w:tcPr>
            <w:tcW w:w="1045" w:type="dxa"/>
            <w:shd w:val="clear" w:color="auto" w:fill="auto"/>
            <w:noWrap w:val="0"/>
            <w:vAlign w:val="center"/>
          </w:tcPr>
          <w:p w14:paraId="737C49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059" w:type="dxa"/>
            <w:tcBorders>
              <w:right w:val="single" w:color="000000" w:sz="10" w:space="0"/>
            </w:tcBorders>
            <w:shd w:val="clear" w:color="auto" w:fill="auto"/>
            <w:noWrap w:val="0"/>
            <w:vAlign w:val="center"/>
          </w:tcPr>
          <w:p w14:paraId="02EF36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tbl>
      <w:tblPr>
        <w:tblStyle w:val="64"/>
        <w:tblpPr w:leftFromText="180" w:rightFromText="180" w:vertAnchor="text" w:horzAnchor="page" w:tblpX="1779" w:tblpY="16"/>
        <w:tblOverlap w:val="never"/>
        <w:tblW w:w="857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1719"/>
        <w:gridCol w:w="2494"/>
        <w:gridCol w:w="1308"/>
        <w:gridCol w:w="1045"/>
        <w:gridCol w:w="1130"/>
      </w:tblGrid>
      <w:tr w14:paraId="422A9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B9AB2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十一)</w:t>
            </w:r>
          </w:p>
        </w:tc>
        <w:tc>
          <w:tcPr>
            <w:tcW w:w="1719" w:type="dxa"/>
            <w:noWrap w:val="0"/>
            <w:vAlign w:val="center"/>
          </w:tcPr>
          <w:p w14:paraId="233992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胡子鲇</w:t>
            </w:r>
            <w:r>
              <w:rPr>
                <w:rFonts w:hint="default" w:ascii="Times New Roman" w:hAnsi="Times New Roman" w:eastAsia="宋体" w:cs="Times New Roman"/>
                <w:color w:val="auto"/>
                <w:spacing w:val="6"/>
                <w:sz w:val="21"/>
                <w:szCs w:val="21"/>
              </w:rPr>
              <w:t>科</w:t>
            </w:r>
          </w:p>
        </w:tc>
        <w:tc>
          <w:tcPr>
            <w:tcW w:w="2494" w:type="dxa"/>
            <w:noWrap w:val="0"/>
            <w:vAlign w:val="center"/>
          </w:tcPr>
          <w:p w14:paraId="48B572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position w:val="2"/>
                <w:sz w:val="21"/>
                <w:szCs w:val="21"/>
              </w:rPr>
              <w:t>Clarias</w:t>
            </w:r>
          </w:p>
        </w:tc>
        <w:tc>
          <w:tcPr>
            <w:tcW w:w="1308" w:type="dxa"/>
            <w:noWrap w:val="0"/>
            <w:vAlign w:val="center"/>
          </w:tcPr>
          <w:p w14:paraId="193DA9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11985C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38FD15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AA02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B3EA5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101</w:t>
            </w:r>
            <w:r>
              <w:rPr>
                <w:rFonts w:hint="default" w:ascii="Times New Roman" w:hAnsi="Times New Roman" w:eastAsia="宋体" w:cs="Times New Roman"/>
                <w:color w:val="auto"/>
                <w:spacing w:val="1"/>
                <w:sz w:val="21"/>
                <w:szCs w:val="21"/>
              </w:rPr>
              <w:t>.</w:t>
            </w:r>
          </w:p>
        </w:tc>
        <w:tc>
          <w:tcPr>
            <w:tcW w:w="1719" w:type="dxa"/>
            <w:noWrap w:val="0"/>
            <w:vAlign w:val="center"/>
          </w:tcPr>
          <w:p w14:paraId="6613E6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胡</w:t>
            </w:r>
            <w:r>
              <w:rPr>
                <w:rFonts w:hint="default" w:ascii="Times New Roman" w:hAnsi="Times New Roman" w:eastAsia="宋体" w:cs="Times New Roman"/>
                <w:color w:val="auto"/>
                <w:spacing w:val="4"/>
                <w:sz w:val="21"/>
                <w:szCs w:val="21"/>
              </w:rPr>
              <w:t>子鲇</w:t>
            </w:r>
          </w:p>
        </w:tc>
        <w:tc>
          <w:tcPr>
            <w:tcW w:w="2494" w:type="dxa"/>
            <w:noWrap w:val="0"/>
            <w:vAlign w:val="center"/>
          </w:tcPr>
          <w:p w14:paraId="14A835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Clarias</w:t>
            </w:r>
            <w:r>
              <w:rPr>
                <w:rFonts w:hint="default" w:ascii="Times New Roman" w:hAnsi="Times New Roman" w:eastAsia="宋体" w:cs="Times New Roman"/>
                <w:color w:val="auto"/>
                <w:spacing w:val="57"/>
                <w:position w:val="2"/>
                <w:sz w:val="21"/>
                <w:szCs w:val="21"/>
              </w:rPr>
              <w:t xml:space="preserve"> </w:t>
            </w:r>
            <w:r>
              <w:rPr>
                <w:rFonts w:hint="default" w:ascii="Times New Roman" w:hAnsi="Times New Roman" w:eastAsia="宋体" w:cs="Times New Roman"/>
                <w:i/>
                <w:iCs/>
                <w:color w:val="auto"/>
                <w:position w:val="2"/>
                <w:sz w:val="21"/>
                <w:szCs w:val="21"/>
              </w:rPr>
              <w:t>batrachus</w:t>
            </w:r>
          </w:p>
        </w:tc>
        <w:tc>
          <w:tcPr>
            <w:tcW w:w="1308" w:type="dxa"/>
            <w:noWrap w:val="0"/>
            <w:vAlign w:val="center"/>
          </w:tcPr>
          <w:p w14:paraId="71B9F9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21F10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02DCA9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65F5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10BAA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六</w:t>
            </w:r>
            <w:r>
              <w:rPr>
                <w:rFonts w:hint="default" w:ascii="Times New Roman" w:hAnsi="Times New Roman" w:eastAsia="宋体" w:cs="Times New Roman"/>
                <w:b/>
                <w:bCs/>
                <w:color w:val="auto"/>
                <w:sz w:val="21"/>
                <w:szCs w:val="21"/>
              </w:rPr>
              <w:t>、</w:t>
            </w:r>
          </w:p>
        </w:tc>
        <w:tc>
          <w:tcPr>
            <w:tcW w:w="1719" w:type="dxa"/>
            <w:noWrap w:val="0"/>
            <w:vAlign w:val="center"/>
          </w:tcPr>
          <w:p w14:paraId="4DA83D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9"/>
                <w:sz w:val="21"/>
                <w:szCs w:val="21"/>
              </w:rPr>
              <w:t>颌针鱼</w:t>
            </w:r>
            <w:r>
              <w:rPr>
                <w:rFonts w:hint="default" w:ascii="Times New Roman" w:hAnsi="Times New Roman" w:eastAsia="宋体" w:cs="Times New Roman"/>
                <w:b/>
                <w:bCs/>
                <w:color w:val="auto"/>
                <w:spacing w:val="8"/>
                <w:sz w:val="21"/>
                <w:szCs w:val="21"/>
              </w:rPr>
              <w:t>目</w:t>
            </w:r>
          </w:p>
        </w:tc>
        <w:tc>
          <w:tcPr>
            <w:tcW w:w="2494" w:type="dxa"/>
            <w:noWrap w:val="0"/>
            <w:vAlign w:val="center"/>
          </w:tcPr>
          <w:p w14:paraId="09D778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position w:val="2"/>
                <w:sz w:val="21"/>
                <w:szCs w:val="21"/>
              </w:rPr>
              <w:t>B</w:t>
            </w:r>
            <w:r>
              <w:rPr>
                <w:rFonts w:hint="default" w:ascii="Times New Roman" w:hAnsi="Times New Roman" w:eastAsia="宋体" w:cs="Times New Roman"/>
                <w:b/>
                <w:bCs/>
                <w:color w:val="auto"/>
                <w:spacing w:val="4"/>
                <w:position w:val="2"/>
                <w:sz w:val="21"/>
                <w:szCs w:val="21"/>
              </w:rPr>
              <w:t>eloniformes</w:t>
            </w:r>
          </w:p>
        </w:tc>
        <w:tc>
          <w:tcPr>
            <w:tcW w:w="1308" w:type="dxa"/>
            <w:noWrap w:val="0"/>
            <w:vAlign w:val="center"/>
          </w:tcPr>
          <w:p w14:paraId="122196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67A4F3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5EF677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D3C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553FFE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十二)</w:t>
            </w:r>
          </w:p>
        </w:tc>
        <w:tc>
          <w:tcPr>
            <w:tcW w:w="1719" w:type="dxa"/>
            <w:noWrap w:val="0"/>
            <w:vAlign w:val="center"/>
          </w:tcPr>
          <w:p w14:paraId="257F89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鱵科</w:t>
            </w:r>
          </w:p>
        </w:tc>
        <w:tc>
          <w:tcPr>
            <w:tcW w:w="2494" w:type="dxa"/>
            <w:noWrap w:val="0"/>
            <w:vAlign w:val="center"/>
          </w:tcPr>
          <w:p w14:paraId="6EBE3E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position w:val="4"/>
                <w:sz w:val="21"/>
                <w:szCs w:val="21"/>
              </w:rPr>
              <w:t>Hemiramphida</w:t>
            </w:r>
            <w:r>
              <w:rPr>
                <w:rFonts w:hint="default" w:ascii="Times New Roman" w:hAnsi="Times New Roman" w:eastAsia="宋体" w:cs="Times New Roman"/>
                <w:b/>
                <w:bCs/>
                <w:color w:val="auto"/>
                <w:spacing w:val="3"/>
                <w:position w:val="4"/>
                <w:sz w:val="21"/>
                <w:szCs w:val="21"/>
              </w:rPr>
              <w:t>e</w:t>
            </w:r>
          </w:p>
        </w:tc>
        <w:tc>
          <w:tcPr>
            <w:tcW w:w="1308" w:type="dxa"/>
            <w:noWrap w:val="0"/>
            <w:vAlign w:val="center"/>
          </w:tcPr>
          <w:p w14:paraId="52DDC9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245EA0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3CDD6F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E9A2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C9FAA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102</w:t>
            </w:r>
            <w:r>
              <w:rPr>
                <w:rFonts w:hint="default" w:ascii="Times New Roman" w:hAnsi="Times New Roman" w:eastAsia="宋体" w:cs="Times New Roman"/>
                <w:color w:val="auto"/>
                <w:spacing w:val="1"/>
                <w:sz w:val="21"/>
                <w:szCs w:val="21"/>
              </w:rPr>
              <w:t>.</w:t>
            </w:r>
          </w:p>
        </w:tc>
        <w:tc>
          <w:tcPr>
            <w:tcW w:w="1719" w:type="dxa"/>
            <w:noWrap w:val="0"/>
            <w:vAlign w:val="center"/>
          </w:tcPr>
          <w:p w14:paraId="436B96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间</w:t>
            </w:r>
            <w:r>
              <w:rPr>
                <w:rFonts w:hint="default" w:ascii="Times New Roman" w:hAnsi="Times New Roman" w:eastAsia="宋体" w:cs="Times New Roman"/>
                <w:color w:val="auto"/>
                <w:spacing w:val="1"/>
                <w:sz w:val="21"/>
                <w:szCs w:val="21"/>
              </w:rPr>
              <w:t>下鱵</w:t>
            </w:r>
          </w:p>
        </w:tc>
        <w:tc>
          <w:tcPr>
            <w:tcW w:w="2494" w:type="dxa"/>
            <w:noWrap w:val="0"/>
            <w:vAlign w:val="center"/>
          </w:tcPr>
          <w:p w14:paraId="272388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7"/>
                <w:position w:val="9"/>
                <w:sz w:val="21"/>
                <w:szCs w:val="21"/>
              </w:rPr>
              <w:t>H</w:t>
            </w:r>
            <w:r>
              <w:rPr>
                <w:rFonts w:hint="default" w:ascii="Times New Roman" w:hAnsi="Times New Roman" w:eastAsia="宋体" w:cs="Times New Roman"/>
                <w:i/>
                <w:iCs/>
                <w:color w:val="auto"/>
                <w:spacing w:val="5"/>
                <w:position w:val="9"/>
                <w:sz w:val="21"/>
                <w:szCs w:val="21"/>
              </w:rPr>
              <w:t>yporhamphus</w:t>
            </w:r>
          </w:p>
          <w:p w14:paraId="12D744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pacing w:val="6"/>
                <w:position w:val="2"/>
                <w:sz w:val="21"/>
                <w:szCs w:val="21"/>
              </w:rPr>
              <w:t>i</w:t>
            </w:r>
            <w:r>
              <w:rPr>
                <w:rFonts w:hint="default" w:ascii="Times New Roman" w:hAnsi="Times New Roman" w:eastAsia="宋体" w:cs="Times New Roman"/>
                <w:i/>
                <w:iCs/>
                <w:color w:val="auto"/>
                <w:spacing w:val="4"/>
                <w:position w:val="2"/>
                <w:sz w:val="21"/>
                <w:szCs w:val="21"/>
              </w:rPr>
              <w:t>n</w:t>
            </w:r>
            <w:r>
              <w:rPr>
                <w:rFonts w:hint="default" w:ascii="Times New Roman" w:hAnsi="Times New Roman" w:eastAsia="宋体" w:cs="Times New Roman"/>
                <w:i/>
                <w:iCs/>
                <w:color w:val="auto"/>
                <w:spacing w:val="3"/>
                <w:position w:val="2"/>
                <w:sz w:val="21"/>
                <w:szCs w:val="21"/>
              </w:rPr>
              <w:t>termedius</w:t>
            </w:r>
          </w:p>
        </w:tc>
        <w:tc>
          <w:tcPr>
            <w:tcW w:w="1308" w:type="dxa"/>
            <w:noWrap w:val="0"/>
            <w:vAlign w:val="center"/>
          </w:tcPr>
          <w:p w14:paraId="288E93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6E675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73CCA4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ADBD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882" w:type="dxa"/>
            <w:tcBorders>
              <w:left w:val="single" w:color="000000" w:sz="10" w:space="0"/>
            </w:tcBorders>
            <w:noWrap w:val="0"/>
            <w:vAlign w:val="center"/>
          </w:tcPr>
          <w:p w14:paraId="2E313B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103</w:t>
            </w:r>
            <w:r>
              <w:rPr>
                <w:rFonts w:hint="default" w:ascii="Times New Roman" w:hAnsi="Times New Roman" w:eastAsia="宋体" w:cs="Times New Roman"/>
                <w:color w:val="auto"/>
                <w:spacing w:val="1"/>
                <w:sz w:val="21"/>
                <w:szCs w:val="21"/>
              </w:rPr>
              <w:t>.</w:t>
            </w:r>
          </w:p>
        </w:tc>
        <w:tc>
          <w:tcPr>
            <w:tcW w:w="1719" w:type="dxa"/>
            <w:noWrap w:val="0"/>
            <w:vAlign w:val="center"/>
          </w:tcPr>
          <w:p w14:paraId="713BC6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日本下</w:t>
            </w:r>
            <w:r>
              <w:rPr>
                <w:rFonts w:hint="default" w:ascii="Times New Roman" w:hAnsi="Times New Roman" w:eastAsia="宋体" w:cs="Times New Roman"/>
                <w:color w:val="auto"/>
                <w:spacing w:val="-1"/>
                <w:sz w:val="21"/>
                <w:szCs w:val="21"/>
              </w:rPr>
              <w:t>鱵</w:t>
            </w:r>
          </w:p>
        </w:tc>
        <w:tc>
          <w:tcPr>
            <w:tcW w:w="2494" w:type="dxa"/>
            <w:noWrap w:val="0"/>
            <w:vAlign w:val="center"/>
          </w:tcPr>
          <w:p w14:paraId="46C350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Hyporhamphus</w:t>
            </w:r>
            <w:r>
              <w:rPr>
                <w:rFonts w:hint="default" w:ascii="Times New Roman" w:hAnsi="Times New Roman" w:eastAsia="宋体" w:cs="Times New Roman"/>
                <w:color w:val="auto"/>
                <w:spacing w:val="89"/>
                <w:position w:val="4"/>
                <w:sz w:val="21"/>
                <w:szCs w:val="21"/>
              </w:rPr>
              <w:t xml:space="preserve"> </w:t>
            </w:r>
            <w:r>
              <w:rPr>
                <w:rFonts w:hint="default" w:ascii="Times New Roman" w:hAnsi="Times New Roman" w:eastAsia="宋体" w:cs="Times New Roman"/>
                <w:i/>
                <w:iCs/>
                <w:color w:val="auto"/>
                <w:position w:val="4"/>
                <w:sz w:val="21"/>
                <w:szCs w:val="21"/>
              </w:rPr>
              <w:t>sajori</w:t>
            </w:r>
          </w:p>
        </w:tc>
        <w:tc>
          <w:tcPr>
            <w:tcW w:w="1308" w:type="dxa"/>
            <w:noWrap w:val="0"/>
            <w:vAlign w:val="center"/>
          </w:tcPr>
          <w:p w14:paraId="4F4049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EAB97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6DCAF3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F19B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67639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七</w:t>
            </w:r>
            <w:r>
              <w:rPr>
                <w:rFonts w:hint="default" w:ascii="Times New Roman" w:hAnsi="Times New Roman" w:eastAsia="宋体" w:cs="Times New Roman"/>
                <w:b/>
                <w:bCs/>
                <w:color w:val="auto"/>
                <w:sz w:val="21"/>
                <w:szCs w:val="21"/>
              </w:rPr>
              <w:t>、</w:t>
            </w:r>
          </w:p>
        </w:tc>
        <w:tc>
          <w:tcPr>
            <w:tcW w:w="1719" w:type="dxa"/>
            <w:noWrap w:val="0"/>
            <w:vAlign w:val="center"/>
          </w:tcPr>
          <w:p w14:paraId="0B6D41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9"/>
                <w:sz w:val="21"/>
                <w:szCs w:val="21"/>
              </w:rPr>
              <w:t>合</w:t>
            </w:r>
            <w:r>
              <w:rPr>
                <w:rFonts w:hint="default" w:ascii="Times New Roman" w:hAnsi="Times New Roman" w:eastAsia="宋体" w:cs="Times New Roman"/>
                <w:b/>
                <w:bCs/>
                <w:color w:val="auto"/>
                <w:spacing w:val="8"/>
                <w:sz w:val="21"/>
                <w:szCs w:val="21"/>
              </w:rPr>
              <w:t>鳃鱼目</w:t>
            </w:r>
          </w:p>
        </w:tc>
        <w:tc>
          <w:tcPr>
            <w:tcW w:w="2494" w:type="dxa"/>
            <w:noWrap w:val="0"/>
            <w:vAlign w:val="center"/>
          </w:tcPr>
          <w:p w14:paraId="4DAB61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position w:val="4"/>
                <w:sz w:val="21"/>
                <w:szCs w:val="21"/>
              </w:rPr>
              <w:t>S</w:t>
            </w:r>
            <w:r>
              <w:rPr>
                <w:rFonts w:hint="default" w:ascii="Times New Roman" w:hAnsi="Times New Roman" w:eastAsia="宋体" w:cs="Times New Roman"/>
                <w:b/>
                <w:bCs/>
                <w:color w:val="auto"/>
                <w:spacing w:val="4"/>
                <w:position w:val="4"/>
                <w:sz w:val="21"/>
                <w:szCs w:val="21"/>
              </w:rPr>
              <w:t>ynbranchiformes</w:t>
            </w:r>
          </w:p>
        </w:tc>
        <w:tc>
          <w:tcPr>
            <w:tcW w:w="1308" w:type="dxa"/>
            <w:noWrap w:val="0"/>
            <w:vAlign w:val="center"/>
          </w:tcPr>
          <w:p w14:paraId="5CE7A5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2798DF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445E31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D25F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882" w:type="dxa"/>
            <w:tcBorders>
              <w:left w:val="single" w:color="000000" w:sz="10" w:space="0"/>
            </w:tcBorders>
            <w:noWrap w:val="0"/>
            <w:vAlign w:val="center"/>
          </w:tcPr>
          <w:p w14:paraId="513971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十三)</w:t>
            </w:r>
          </w:p>
        </w:tc>
        <w:tc>
          <w:tcPr>
            <w:tcW w:w="1719" w:type="dxa"/>
            <w:noWrap w:val="0"/>
            <w:vAlign w:val="center"/>
          </w:tcPr>
          <w:p w14:paraId="639FD2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合</w:t>
            </w:r>
            <w:r>
              <w:rPr>
                <w:rFonts w:hint="default" w:ascii="Times New Roman" w:hAnsi="Times New Roman" w:eastAsia="宋体" w:cs="Times New Roman"/>
                <w:color w:val="auto"/>
                <w:spacing w:val="8"/>
                <w:sz w:val="21"/>
                <w:szCs w:val="21"/>
              </w:rPr>
              <w:t>鳃鱼科</w:t>
            </w:r>
          </w:p>
        </w:tc>
        <w:tc>
          <w:tcPr>
            <w:tcW w:w="2494" w:type="dxa"/>
            <w:noWrap w:val="0"/>
            <w:vAlign w:val="center"/>
          </w:tcPr>
          <w:p w14:paraId="427BB9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position w:val="4"/>
                <w:sz w:val="21"/>
                <w:szCs w:val="21"/>
              </w:rPr>
              <w:t>Synbranchidae</w:t>
            </w:r>
          </w:p>
        </w:tc>
        <w:tc>
          <w:tcPr>
            <w:tcW w:w="1308" w:type="dxa"/>
            <w:noWrap w:val="0"/>
            <w:vAlign w:val="center"/>
          </w:tcPr>
          <w:p w14:paraId="05516D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7DC6E3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7BC764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F08E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4741F1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104</w:t>
            </w:r>
            <w:r>
              <w:rPr>
                <w:rFonts w:hint="default" w:ascii="Times New Roman" w:hAnsi="Times New Roman" w:eastAsia="宋体" w:cs="Times New Roman"/>
                <w:color w:val="auto"/>
                <w:spacing w:val="1"/>
                <w:sz w:val="21"/>
                <w:szCs w:val="21"/>
              </w:rPr>
              <w:t>.</w:t>
            </w:r>
          </w:p>
        </w:tc>
        <w:tc>
          <w:tcPr>
            <w:tcW w:w="1719" w:type="dxa"/>
            <w:noWrap w:val="0"/>
            <w:vAlign w:val="center"/>
          </w:tcPr>
          <w:p w14:paraId="48A13B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黄鳝</w:t>
            </w:r>
          </w:p>
        </w:tc>
        <w:tc>
          <w:tcPr>
            <w:tcW w:w="2494" w:type="dxa"/>
            <w:noWrap w:val="0"/>
            <w:vAlign w:val="center"/>
          </w:tcPr>
          <w:p w14:paraId="4BD4FF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Monopterus</w:t>
            </w:r>
            <w:r>
              <w:rPr>
                <w:rFonts w:hint="default" w:ascii="Times New Roman" w:hAnsi="Times New Roman" w:eastAsia="宋体" w:cs="Times New Roman"/>
                <w:color w:val="auto"/>
                <w:spacing w:val="80"/>
                <w:position w:val="4"/>
                <w:sz w:val="21"/>
                <w:szCs w:val="21"/>
              </w:rPr>
              <w:t xml:space="preserve"> </w:t>
            </w:r>
            <w:r>
              <w:rPr>
                <w:rFonts w:hint="default" w:ascii="Times New Roman" w:hAnsi="Times New Roman" w:eastAsia="宋体" w:cs="Times New Roman"/>
                <w:i/>
                <w:iCs/>
                <w:color w:val="auto"/>
                <w:position w:val="4"/>
                <w:sz w:val="21"/>
                <w:szCs w:val="21"/>
              </w:rPr>
              <w:t>albus</w:t>
            </w:r>
          </w:p>
        </w:tc>
        <w:tc>
          <w:tcPr>
            <w:tcW w:w="1308" w:type="dxa"/>
            <w:noWrap w:val="0"/>
            <w:vAlign w:val="center"/>
          </w:tcPr>
          <w:p w14:paraId="3D00BD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6A900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30" w:type="dxa"/>
            <w:tcBorders>
              <w:right w:val="single" w:color="000000" w:sz="10" w:space="0"/>
            </w:tcBorders>
            <w:noWrap w:val="0"/>
            <w:vAlign w:val="center"/>
          </w:tcPr>
          <w:p w14:paraId="462DD2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5118C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2E1CA8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八</w:t>
            </w:r>
            <w:r>
              <w:rPr>
                <w:rFonts w:hint="default" w:ascii="Times New Roman" w:hAnsi="Times New Roman" w:eastAsia="宋体" w:cs="Times New Roman"/>
                <w:b/>
                <w:bCs/>
                <w:color w:val="auto"/>
                <w:spacing w:val="-1"/>
                <w:sz w:val="21"/>
                <w:szCs w:val="21"/>
              </w:rPr>
              <w:t>、</w:t>
            </w:r>
          </w:p>
        </w:tc>
        <w:tc>
          <w:tcPr>
            <w:tcW w:w="1719" w:type="dxa"/>
            <w:noWrap w:val="0"/>
            <w:vAlign w:val="center"/>
          </w:tcPr>
          <w:p w14:paraId="636F2B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9"/>
                <w:sz w:val="21"/>
                <w:szCs w:val="21"/>
              </w:rPr>
              <w:t>鲈</w:t>
            </w:r>
            <w:r>
              <w:rPr>
                <w:rFonts w:hint="default" w:ascii="Times New Roman" w:hAnsi="Times New Roman" w:eastAsia="宋体" w:cs="Times New Roman"/>
                <w:b/>
                <w:bCs/>
                <w:color w:val="auto"/>
                <w:spacing w:val="7"/>
                <w:sz w:val="21"/>
                <w:szCs w:val="21"/>
              </w:rPr>
              <w:t>形目</w:t>
            </w:r>
          </w:p>
        </w:tc>
        <w:tc>
          <w:tcPr>
            <w:tcW w:w="2494" w:type="dxa"/>
            <w:noWrap w:val="0"/>
            <w:vAlign w:val="center"/>
          </w:tcPr>
          <w:p w14:paraId="206320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position w:val="2"/>
                <w:sz w:val="21"/>
                <w:szCs w:val="21"/>
              </w:rPr>
              <w:t>Pe</w:t>
            </w:r>
            <w:r>
              <w:rPr>
                <w:rFonts w:hint="default" w:ascii="Times New Roman" w:hAnsi="Times New Roman" w:eastAsia="宋体" w:cs="Times New Roman"/>
                <w:b/>
                <w:bCs/>
                <w:color w:val="auto"/>
                <w:spacing w:val="5"/>
                <w:position w:val="2"/>
                <w:sz w:val="21"/>
                <w:szCs w:val="21"/>
              </w:rPr>
              <w:t>r</w:t>
            </w:r>
            <w:r>
              <w:rPr>
                <w:rFonts w:hint="default" w:ascii="Times New Roman" w:hAnsi="Times New Roman" w:eastAsia="宋体" w:cs="Times New Roman"/>
                <w:b/>
                <w:bCs/>
                <w:color w:val="auto"/>
                <w:spacing w:val="3"/>
                <w:position w:val="2"/>
                <w:sz w:val="21"/>
                <w:szCs w:val="21"/>
              </w:rPr>
              <w:t>ciformes</w:t>
            </w:r>
          </w:p>
        </w:tc>
        <w:tc>
          <w:tcPr>
            <w:tcW w:w="1308" w:type="dxa"/>
            <w:noWrap w:val="0"/>
            <w:vAlign w:val="center"/>
          </w:tcPr>
          <w:p w14:paraId="1D00C5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6E3A42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03949B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219D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4C6787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十四)</w:t>
            </w:r>
          </w:p>
        </w:tc>
        <w:tc>
          <w:tcPr>
            <w:tcW w:w="1719" w:type="dxa"/>
            <w:noWrap w:val="0"/>
            <w:vAlign w:val="center"/>
          </w:tcPr>
          <w:p w14:paraId="6E9206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鮨</w:t>
            </w:r>
            <w:r>
              <w:rPr>
                <w:rFonts w:hint="default" w:ascii="Times New Roman" w:hAnsi="Times New Roman" w:eastAsia="宋体" w:cs="Times New Roman"/>
                <w:color w:val="auto"/>
                <w:spacing w:val="6"/>
                <w:sz w:val="21"/>
                <w:szCs w:val="21"/>
              </w:rPr>
              <w:t>科</w:t>
            </w:r>
          </w:p>
        </w:tc>
        <w:tc>
          <w:tcPr>
            <w:tcW w:w="2494" w:type="dxa"/>
            <w:noWrap w:val="0"/>
            <w:vAlign w:val="center"/>
          </w:tcPr>
          <w:p w14:paraId="108276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position w:val="2"/>
                <w:sz w:val="21"/>
                <w:szCs w:val="21"/>
              </w:rPr>
              <w:t>S</w:t>
            </w:r>
            <w:r>
              <w:rPr>
                <w:rFonts w:hint="default" w:ascii="Times New Roman" w:hAnsi="Times New Roman" w:eastAsia="宋体" w:cs="Times New Roman"/>
                <w:b/>
                <w:bCs/>
                <w:color w:val="auto"/>
                <w:spacing w:val="4"/>
                <w:position w:val="2"/>
                <w:sz w:val="21"/>
                <w:szCs w:val="21"/>
              </w:rPr>
              <w:t>e</w:t>
            </w:r>
            <w:r>
              <w:rPr>
                <w:rFonts w:hint="default" w:ascii="Times New Roman" w:hAnsi="Times New Roman" w:eastAsia="宋体" w:cs="Times New Roman"/>
                <w:b/>
                <w:bCs/>
                <w:color w:val="auto"/>
                <w:spacing w:val="3"/>
                <w:position w:val="2"/>
                <w:sz w:val="21"/>
                <w:szCs w:val="21"/>
              </w:rPr>
              <w:t>rranidae</w:t>
            </w:r>
          </w:p>
        </w:tc>
        <w:tc>
          <w:tcPr>
            <w:tcW w:w="1308" w:type="dxa"/>
            <w:noWrap w:val="0"/>
            <w:vAlign w:val="center"/>
          </w:tcPr>
          <w:p w14:paraId="6CC57A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45" w:type="dxa"/>
            <w:noWrap w:val="0"/>
            <w:vAlign w:val="center"/>
          </w:tcPr>
          <w:p w14:paraId="51957F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530D82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E50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16E588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105</w:t>
            </w:r>
            <w:r>
              <w:rPr>
                <w:rFonts w:hint="default" w:ascii="Times New Roman" w:hAnsi="Times New Roman" w:eastAsia="宋体" w:cs="Times New Roman"/>
                <w:color w:val="auto"/>
                <w:spacing w:val="1"/>
                <w:sz w:val="21"/>
                <w:szCs w:val="21"/>
              </w:rPr>
              <w:t>.</w:t>
            </w:r>
          </w:p>
        </w:tc>
        <w:tc>
          <w:tcPr>
            <w:tcW w:w="1719" w:type="dxa"/>
            <w:noWrap w:val="0"/>
            <w:vAlign w:val="center"/>
          </w:tcPr>
          <w:p w14:paraId="3A4230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长</w:t>
            </w:r>
            <w:r>
              <w:rPr>
                <w:rFonts w:hint="default" w:ascii="Times New Roman" w:hAnsi="Times New Roman" w:eastAsia="宋体" w:cs="Times New Roman"/>
                <w:color w:val="auto"/>
                <w:spacing w:val="6"/>
                <w:sz w:val="21"/>
                <w:szCs w:val="21"/>
              </w:rPr>
              <w:t>体鳜</w:t>
            </w:r>
          </w:p>
        </w:tc>
        <w:tc>
          <w:tcPr>
            <w:tcW w:w="2494" w:type="dxa"/>
            <w:noWrap w:val="0"/>
            <w:vAlign w:val="center"/>
          </w:tcPr>
          <w:p w14:paraId="54C68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Siniperca</w:t>
            </w:r>
            <w:r>
              <w:rPr>
                <w:rFonts w:hint="default" w:ascii="Times New Roman" w:hAnsi="Times New Roman" w:eastAsia="宋体" w:cs="Times New Roman"/>
                <w:color w:val="auto"/>
                <w:spacing w:val="55"/>
                <w:position w:val="2"/>
                <w:sz w:val="21"/>
                <w:szCs w:val="21"/>
              </w:rPr>
              <w:t xml:space="preserve"> </w:t>
            </w:r>
            <w:r>
              <w:rPr>
                <w:rFonts w:hint="default" w:ascii="Times New Roman" w:hAnsi="Times New Roman" w:eastAsia="宋体" w:cs="Times New Roman"/>
                <w:i/>
                <w:iCs/>
                <w:color w:val="auto"/>
                <w:position w:val="2"/>
                <w:sz w:val="21"/>
                <w:szCs w:val="21"/>
              </w:rPr>
              <w:t>roulei</w:t>
            </w:r>
          </w:p>
        </w:tc>
        <w:tc>
          <w:tcPr>
            <w:tcW w:w="1308" w:type="dxa"/>
            <w:noWrap w:val="0"/>
            <w:vAlign w:val="center"/>
          </w:tcPr>
          <w:p w14:paraId="1F0FD0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39E3A7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470F87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7DBA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4BFAE8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106</w:t>
            </w:r>
            <w:r>
              <w:rPr>
                <w:rFonts w:hint="default" w:ascii="Times New Roman" w:hAnsi="Times New Roman" w:eastAsia="宋体" w:cs="Times New Roman"/>
                <w:color w:val="auto"/>
                <w:spacing w:val="1"/>
                <w:sz w:val="21"/>
                <w:szCs w:val="21"/>
              </w:rPr>
              <w:t>.</w:t>
            </w:r>
          </w:p>
        </w:tc>
        <w:tc>
          <w:tcPr>
            <w:tcW w:w="1719" w:type="dxa"/>
            <w:noWrap w:val="0"/>
            <w:vAlign w:val="center"/>
          </w:tcPr>
          <w:p w14:paraId="249E56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鳜</w:t>
            </w:r>
          </w:p>
        </w:tc>
        <w:tc>
          <w:tcPr>
            <w:tcW w:w="2494" w:type="dxa"/>
            <w:noWrap w:val="0"/>
            <w:vAlign w:val="center"/>
          </w:tcPr>
          <w:p w14:paraId="0CE5E8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Siniperca</w:t>
            </w:r>
            <w:r>
              <w:rPr>
                <w:rFonts w:hint="default" w:ascii="Times New Roman" w:hAnsi="Times New Roman" w:eastAsia="宋体" w:cs="Times New Roman"/>
                <w:color w:val="auto"/>
                <w:spacing w:val="61"/>
                <w:position w:val="2"/>
                <w:sz w:val="21"/>
                <w:szCs w:val="21"/>
              </w:rPr>
              <w:t xml:space="preserve"> </w:t>
            </w:r>
            <w:r>
              <w:rPr>
                <w:rFonts w:hint="default" w:ascii="Times New Roman" w:hAnsi="Times New Roman" w:eastAsia="宋体" w:cs="Times New Roman"/>
                <w:i/>
                <w:iCs/>
                <w:color w:val="auto"/>
                <w:position w:val="2"/>
                <w:sz w:val="21"/>
                <w:szCs w:val="21"/>
              </w:rPr>
              <w:t>chuatsi</w:t>
            </w:r>
          </w:p>
        </w:tc>
        <w:tc>
          <w:tcPr>
            <w:tcW w:w="1308" w:type="dxa"/>
            <w:noWrap w:val="0"/>
            <w:vAlign w:val="center"/>
          </w:tcPr>
          <w:p w14:paraId="76015E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130BB6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30" w:type="dxa"/>
            <w:tcBorders>
              <w:right w:val="single" w:color="000000" w:sz="10" w:space="0"/>
            </w:tcBorders>
            <w:noWrap w:val="0"/>
            <w:vAlign w:val="center"/>
          </w:tcPr>
          <w:p w14:paraId="0CE7C1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r>
      <w:tr w14:paraId="54AA5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397539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107</w:t>
            </w:r>
            <w:r>
              <w:rPr>
                <w:rFonts w:hint="default" w:ascii="Times New Roman" w:hAnsi="Times New Roman" w:eastAsia="宋体" w:cs="Times New Roman"/>
                <w:color w:val="auto"/>
                <w:spacing w:val="1"/>
                <w:sz w:val="21"/>
                <w:szCs w:val="21"/>
              </w:rPr>
              <w:t>.</w:t>
            </w:r>
          </w:p>
        </w:tc>
        <w:tc>
          <w:tcPr>
            <w:tcW w:w="1719" w:type="dxa"/>
            <w:noWrap w:val="0"/>
            <w:vAlign w:val="center"/>
          </w:tcPr>
          <w:p w14:paraId="3C4504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大眼鳜</w:t>
            </w:r>
          </w:p>
        </w:tc>
        <w:tc>
          <w:tcPr>
            <w:tcW w:w="2494" w:type="dxa"/>
            <w:noWrap w:val="0"/>
            <w:vAlign w:val="center"/>
          </w:tcPr>
          <w:p w14:paraId="7193FC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Siniperca</w:t>
            </w:r>
            <w:r>
              <w:rPr>
                <w:rFonts w:hint="default" w:ascii="Times New Roman" w:hAnsi="Times New Roman" w:eastAsia="宋体" w:cs="Times New Roman"/>
                <w:color w:val="auto"/>
                <w:spacing w:val="53"/>
                <w:position w:val="2"/>
                <w:sz w:val="21"/>
                <w:szCs w:val="21"/>
              </w:rPr>
              <w:t xml:space="preserve"> </w:t>
            </w:r>
            <w:r>
              <w:rPr>
                <w:rFonts w:hint="default" w:ascii="Times New Roman" w:hAnsi="Times New Roman" w:eastAsia="宋体" w:cs="Times New Roman"/>
                <w:i/>
                <w:iCs/>
                <w:color w:val="auto"/>
                <w:position w:val="2"/>
                <w:sz w:val="21"/>
                <w:szCs w:val="21"/>
              </w:rPr>
              <w:t>kneri</w:t>
            </w:r>
          </w:p>
        </w:tc>
        <w:tc>
          <w:tcPr>
            <w:tcW w:w="1308" w:type="dxa"/>
            <w:noWrap w:val="0"/>
            <w:vAlign w:val="center"/>
          </w:tcPr>
          <w:p w14:paraId="2A4841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4D6498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30" w:type="dxa"/>
            <w:tcBorders>
              <w:right w:val="single" w:color="000000" w:sz="10" w:space="0"/>
            </w:tcBorders>
            <w:noWrap w:val="0"/>
            <w:vAlign w:val="center"/>
          </w:tcPr>
          <w:p w14:paraId="725CD3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CE08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68BFC8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108</w:t>
            </w:r>
            <w:r>
              <w:rPr>
                <w:rFonts w:hint="default" w:ascii="Times New Roman" w:hAnsi="Times New Roman" w:eastAsia="宋体" w:cs="Times New Roman"/>
                <w:color w:val="auto"/>
                <w:spacing w:val="1"/>
                <w:sz w:val="21"/>
                <w:szCs w:val="21"/>
              </w:rPr>
              <w:t>.</w:t>
            </w:r>
          </w:p>
        </w:tc>
        <w:tc>
          <w:tcPr>
            <w:tcW w:w="1719" w:type="dxa"/>
            <w:noWrap w:val="0"/>
            <w:vAlign w:val="center"/>
          </w:tcPr>
          <w:p w14:paraId="3136CD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斑</w:t>
            </w:r>
            <w:r>
              <w:rPr>
                <w:rFonts w:hint="default" w:ascii="Times New Roman" w:hAnsi="Times New Roman" w:eastAsia="宋体" w:cs="Times New Roman"/>
                <w:color w:val="auto"/>
                <w:spacing w:val="4"/>
                <w:sz w:val="21"/>
                <w:szCs w:val="21"/>
              </w:rPr>
              <w:t>鳜</w:t>
            </w:r>
          </w:p>
        </w:tc>
        <w:tc>
          <w:tcPr>
            <w:tcW w:w="2494" w:type="dxa"/>
            <w:noWrap w:val="0"/>
            <w:vAlign w:val="center"/>
          </w:tcPr>
          <w:p w14:paraId="5A1C71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Siniperca</w:t>
            </w:r>
            <w:r>
              <w:rPr>
                <w:rFonts w:hint="default" w:ascii="Times New Roman" w:hAnsi="Times New Roman" w:eastAsia="宋体" w:cs="Times New Roman"/>
                <w:color w:val="auto"/>
                <w:spacing w:val="69"/>
                <w:position w:val="2"/>
                <w:sz w:val="21"/>
                <w:szCs w:val="21"/>
              </w:rPr>
              <w:t xml:space="preserve"> </w:t>
            </w:r>
            <w:r>
              <w:rPr>
                <w:rFonts w:hint="default" w:ascii="Times New Roman" w:hAnsi="Times New Roman" w:eastAsia="宋体" w:cs="Times New Roman"/>
                <w:i/>
                <w:iCs/>
                <w:color w:val="auto"/>
                <w:position w:val="2"/>
                <w:sz w:val="21"/>
                <w:szCs w:val="21"/>
              </w:rPr>
              <w:t>scherzeri</w:t>
            </w:r>
          </w:p>
        </w:tc>
        <w:tc>
          <w:tcPr>
            <w:tcW w:w="1308" w:type="dxa"/>
            <w:noWrap w:val="0"/>
            <w:vAlign w:val="center"/>
          </w:tcPr>
          <w:p w14:paraId="546153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07A75A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30" w:type="dxa"/>
            <w:tcBorders>
              <w:right w:val="single" w:color="000000" w:sz="10" w:space="0"/>
            </w:tcBorders>
            <w:noWrap w:val="0"/>
            <w:vAlign w:val="center"/>
          </w:tcPr>
          <w:p w14:paraId="3A344F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70AEE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noWrap w:val="0"/>
            <w:vAlign w:val="center"/>
          </w:tcPr>
          <w:p w14:paraId="78D115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109</w:t>
            </w:r>
            <w:r>
              <w:rPr>
                <w:rFonts w:hint="default" w:ascii="Times New Roman" w:hAnsi="Times New Roman" w:eastAsia="宋体" w:cs="Times New Roman"/>
                <w:color w:val="auto"/>
                <w:spacing w:val="1"/>
                <w:sz w:val="21"/>
                <w:szCs w:val="21"/>
              </w:rPr>
              <w:t>.</w:t>
            </w:r>
          </w:p>
        </w:tc>
        <w:tc>
          <w:tcPr>
            <w:tcW w:w="1719" w:type="dxa"/>
            <w:noWrap w:val="0"/>
            <w:vAlign w:val="center"/>
          </w:tcPr>
          <w:p w14:paraId="21D537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暗鳜</w:t>
            </w:r>
          </w:p>
        </w:tc>
        <w:tc>
          <w:tcPr>
            <w:tcW w:w="2494" w:type="dxa"/>
            <w:noWrap w:val="0"/>
            <w:vAlign w:val="center"/>
          </w:tcPr>
          <w:p w14:paraId="16F0EF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Siniperca</w:t>
            </w:r>
            <w:r>
              <w:rPr>
                <w:rFonts w:hint="default" w:ascii="Times New Roman" w:hAnsi="Times New Roman" w:eastAsia="宋体" w:cs="Times New Roman"/>
                <w:color w:val="auto"/>
                <w:spacing w:val="65"/>
                <w:position w:val="2"/>
                <w:sz w:val="21"/>
                <w:szCs w:val="21"/>
              </w:rPr>
              <w:t xml:space="preserve"> </w:t>
            </w:r>
            <w:r>
              <w:rPr>
                <w:rFonts w:hint="default" w:ascii="Times New Roman" w:hAnsi="Times New Roman" w:eastAsia="宋体" w:cs="Times New Roman"/>
                <w:i/>
                <w:iCs/>
                <w:color w:val="auto"/>
                <w:position w:val="2"/>
                <w:sz w:val="21"/>
                <w:szCs w:val="21"/>
              </w:rPr>
              <w:t>obscura</w:t>
            </w:r>
          </w:p>
        </w:tc>
        <w:tc>
          <w:tcPr>
            <w:tcW w:w="1308" w:type="dxa"/>
            <w:noWrap w:val="0"/>
            <w:vAlign w:val="center"/>
          </w:tcPr>
          <w:p w14:paraId="449134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1045" w:type="dxa"/>
            <w:noWrap w:val="0"/>
            <w:vAlign w:val="center"/>
          </w:tcPr>
          <w:p w14:paraId="5A20C5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0" w:type="dxa"/>
            <w:tcBorders>
              <w:right w:val="single" w:color="000000" w:sz="10" w:space="0"/>
            </w:tcBorders>
            <w:noWrap w:val="0"/>
            <w:vAlign w:val="center"/>
          </w:tcPr>
          <w:p w14:paraId="3CF949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57FF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C375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十五)</w:t>
            </w:r>
          </w:p>
        </w:tc>
        <w:tc>
          <w:tcPr>
            <w:tcW w:w="1719" w:type="dxa"/>
            <w:shd w:val="clear" w:color="auto" w:fill="auto"/>
            <w:noWrap w:val="0"/>
            <w:vAlign w:val="center"/>
          </w:tcPr>
          <w:p w14:paraId="0CB897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塘</w:t>
            </w:r>
            <w:r>
              <w:rPr>
                <w:rFonts w:hint="default" w:ascii="Times New Roman" w:hAnsi="Times New Roman" w:eastAsia="宋体" w:cs="Times New Roman"/>
                <w:color w:val="auto"/>
                <w:spacing w:val="7"/>
                <w:sz w:val="21"/>
                <w:szCs w:val="21"/>
              </w:rPr>
              <w:t>鳢科</w:t>
            </w:r>
          </w:p>
        </w:tc>
        <w:tc>
          <w:tcPr>
            <w:tcW w:w="2494" w:type="dxa"/>
            <w:shd w:val="clear" w:color="auto" w:fill="auto"/>
            <w:noWrap w:val="0"/>
            <w:vAlign w:val="center"/>
          </w:tcPr>
          <w:p w14:paraId="13235B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4"/>
                <w:position w:val="2"/>
                <w:sz w:val="21"/>
                <w:szCs w:val="21"/>
              </w:rPr>
              <w:t>Eleorrida</w:t>
            </w:r>
            <w:r>
              <w:rPr>
                <w:rFonts w:hint="default" w:ascii="Times New Roman" w:hAnsi="Times New Roman" w:eastAsia="宋体" w:cs="Times New Roman"/>
                <w:b/>
                <w:bCs/>
                <w:color w:val="auto"/>
                <w:spacing w:val="3"/>
                <w:position w:val="2"/>
                <w:sz w:val="21"/>
                <w:szCs w:val="21"/>
              </w:rPr>
              <w:t>e</w:t>
            </w:r>
          </w:p>
        </w:tc>
        <w:tc>
          <w:tcPr>
            <w:tcW w:w="1308" w:type="dxa"/>
            <w:shd w:val="clear" w:color="auto" w:fill="auto"/>
            <w:noWrap w:val="0"/>
            <w:vAlign w:val="center"/>
          </w:tcPr>
          <w:p w14:paraId="795260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09C1EB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666CBE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4D2D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39F64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110</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7DDCB7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中</w:t>
            </w:r>
            <w:r>
              <w:rPr>
                <w:rFonts w:hint="default" w:ascii="Times New Roman" w:hAnsi="Times New Roman" w:eastAsia="宋体" w:cs="Times New Roman"/>
                <w:color w:val="auto"/>
                <w:spacing w:val="4"/>
                <w:sz w:val="21"/>
                <w:szCs w:val="21"/>
              </w:rPr>
              <w:t>华沙塘鳢</w:t>
            </w:r>
          </w:p>
        </w:tc>
        <w:tc>
          <w:tcPr>
            <w:tcW w:w="2494" w:type="dxa"/>
            <w:shd w:val="clear" w:color="auto" w:fill="auto"/>
            <w:noWrap w:val="0"/>
            <w:vAlign w:val="center"/>
          </w:tcPr>
          <w:p w14:paraId="054316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Odontobutis</w:t>
            </w:r>
            <w:r>
              <w:rPr>
                <w:rFonts w:hint="default" w:ascii="Times New Roman" w:hAnsi="Times New Roman" w:eastAsia="宋体" w:cs="Times New Roman"/>
                <w:color w:val="auto"/>
                <w:spacing w:val="69"/>
                <w:position w:val="2"/>
                <w:sz w:val="21"/>
                <w:szCs w:val="21"/>
              </w:rPr>
              <w:t xml:space="preserve"> </w:t>
            </w:r>
            <w:r>
              <w:rPr>
                <w:rFonts w:hint="default" w:ascii="Times New Roman" w:hAnsi="Times New Roman" w:eastAsia="宋体" w:cs="Times New Roman"/>
                <w:i/>
                <w:iCs/>
                <w:color w:val="auto"/>
                <w:position w:val="2"/>
                <w:sz w:val="21"/>
                <w:szCs w:val="21"/>
              </w:rPr>
              <w:t>sinensis</w:t>
            </w:r>
          </w:p>
        </w:tc>
        <w:tc>
          <w:tcPr>
            <w:tcW w:w="1308" w:type="dxa"/>
            <w:shd w:val="clear" w:color="auto" w:fill="auto"/>
            <w:noWrap w:val="0"/>
            <w:vAlign w:val="center"/>
          </w:tcPr>
          <w:p w14:paraId="5F7407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BF377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30" w:type="dxa"/>
            <w:tcBorders>
              <w:right w:val="single" w:color="000000" w:sz="10" w:space="0"/>
            </w:tcBorders>
            <w:shd w:val="clear" w:color="auto" w:fill="auto"/>
            <w:noWrap w:val="0"/>
            <w:vAlign w:val="center"/>
          </w:tcPr>
          <w:p w14:paraId="62B66E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3E98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7E26C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111</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605220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小黄黝</w:t>
            </w:r>
            <w:r>
              <w:rPr>
                <w:rFonts w:hint="default" w:ascii="Times New Roman" w:hAnsi="Times New Roman" w:eastAsia="宋体" w:cs="Times New Roman"/>
                <w:color w:val="auto"/>
                <w:spacing w:val="5"/>
                <w:sz w:val="21"/>
                <w:szCs w:val="21"/>
              </w:rPr>
              <w:t>鱼</w:t>
            </w:r>
          </w:p>
        </w:tc>
        <w:tc>
          <w:tcPr>
            <w:tcW w:w="2494" w:type="dxa"/>
            <w:shd w:val="clear" w:color="auto" w:fill="auto"/>
            <w:noWrap w:val="0"/>
            <w:vAlign w:val="center"/>
          </w:tcPr>
          <w:p w14:paraId="2EBA6F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Micropercops</w:t>
            </w:r>
            <w:r>
              <w:rPr>
                <w:rFonts w:hint="default" w:ascii="Times New Roman" w:hAnsi="Times New Roman" w:eastAsia="宋体" w:cs="Times New Roman"/>
                <w:color w:val="auto"/>
                <w:spacing w:val="88"/>
                <w:position w:val="4"/>
                <w:sz w:val="21"/>
                <w:szCs w:val="21"/>
              </w:rPr>
              <w:t xml:space="preserve"> </w:t>
            </w:r>
            <w:r>
              <w:rPr>
                <w:rFonts w:hint="default" w:ascii="Times New Roman" w:hAnsi="Times New Roman" w:eastAsia="宋体" w:cs="Times New Roman"/>
                <w:i/>
                <w:iCs/>
                <w:color w:val="auto"/>
                <w:position w:val="4"/>
                <w:sz w:val="21"/>
                <w:szCs w:val="21"/>
              </w:rPr>
              <w:t>swinhonis</w:t>
            </w:r>
          </w:p>
        </w:tc>
        <w:tc>
          <w:tcPr>
            <w:tcW w:w="1308" w:type="dxa"/>
            <w:shd w:val="clear" w:color="auto" w:fill="auto"/>
            <w:noWrap w:val="0"/>
            <w:vAlign w:val="center"/>
          </w:tcPr>
          <w:p w14:paraId="5E9088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C6966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4F65D4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21A5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FB581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十六)</w:t>
            </w:r>
          </w:p>
        </w:tc>
        <w:tc>
          <w:tcPr>
            <w:tcW w:w="1719" w:type="dxa"/>
            <w:shd w:val="clear" w:color="auto" w:fill="auto"/>
            <w:noWrap w:val="0"/>
            <w:vAlign w:val="center"/>
          </w:tcPr>
          <w:p w14:paraId="5D763C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0"/>
                <w:sz w:val="21"/>
                <w:szCs w:val="21"/>
              </w:rPr>
              <w:t>虾</w:t>
            </w:r>
            <w:r>
              <w:rPr>
                <w:rFonts w:hint="default" w:ascii="Times New Roman" w:hAnsi="Times New Roman" w:eastAsia="宋体" w:cs="Times New Roman"/>
                <w:color w:val="auto"/>
                <w:spacing w:val="8"/>
                <w:sz w:val="21"/>
                <w:szCs w:val="21"/>
              </w:rPr>
              <w:t>虎鱼科</w:t>
            </w:r>
          </w:p>
        </w:tc>
        <w:tc>
          <w:tcPr>
            <w:tcW w:w="2494" w:type="dxa"/>
            <w:shd w:val="clear" w:color="auto" w:fill="auto"/>
            <w:noWrap w:val="0"/>
            <w:vAlign w:val="center"/>
          </w:tcPr>
          <w:p w14:paraId="626C45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6"/>
                <w:position w:val="2"/>
                <w:sz w:val="21"/>
                <w:szCs w:val="21"/>
              </w:rPr>
              <w:t>G</w:t>
            </w:r>
            <w:r>
              <w:rPr>
                <w:rFonts w:hint="default" w:ascii="Times New Roman" w:hAnsi="Times New Roman" w:eastAsia="宋体" w:cs="Times New Roman"/>
                <w:b/>
                <w:bCs/>
                <w:color w:val="auto"/>
                <w:spacing w:val="4"/>
                <w:position w:val="2"/>
                <w:sz w:val="21"/>
                <w:szCs w:val="21"/>
              </w:rPr>
              <w:t>o</w:t>
            </w:r>
            <w:r>
              <w:rPr>
                <w:rFonts w:hint="default" w:ascii="Times New Roman" w:hAnsi="Times New Roman" w:eastAsia="宋体" w:cs="Times New Roman"/>
                <w:b/>
                <w:bCs/>
                <w:color w:val="auto"/>
                <w:spacing w:val="3"/>
                <w:position w:val="2"/>
                <w:sz w:val="21"/>
                <w:szCs w:val="21"/>
              </w:rPr>
              <w:t>biidae</w:t>
            </w:r>
          </w:p>
        </w:tc>
        <w:tc>
          <w:tcPr>
            <w:tcW w:w="1308" w:type="dxa"/>
            <w:shd w:val="clear" w:color="auto" w:fill="auto"/>
            <w:noWrap w:val="0"/>
            <w:vAlign w:val="center"/>
          </w:tcPr>
          <w:p w14:paraId="6A485D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320DBA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5DED06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C9D6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8DA09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112</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1BBFCC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李氏吻鰕虎</w:t>
            </w:r>
            <w:r>
              <w:rPr>
                <w:rFonts w:hint="default" w:ascii="Times New Roman" w:hAnsi="Times New Roman" w:eastAsia="宋体" w:cs="Times New Roman"/>
                <w:color w:val="auto"/>
                <w:spacing w:val="7"/>
                <w:sz w:val="21"/>
                <w:szCs w:val="21"/>
              </w:rPr>
              <w:t>鱼</w:t>
            </w:r>
          </w:p>
        </w:tc>
        <w:tc>
          <w:tcPr>
            <w:tcW w:w="2494" w:type="dxa"/>
            <w:shd w:val="clear" w:color="auto" w:fill="auto"/>
            <w:noWrap w:val="0"/>
            <w:vAlign w:val="center"/>
          </w:tcPr>
          <w:p w14:paraId="0841A5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Rhinogobius</w:t>
            </w:r>
            <w:r>
              <w:rPr>
                <w:rFonts w:hint="default" w:ascii="Times New Roman" w:hAnsi="Times New Roman" w:eastAsia="宋体" w:cs="Times New Roman"/>
                <w:color w:val="auto"/>
                <w:spacing w:val="87"/>
                <w:position w:val="4"/>
                <w:sz w:val="21"/>
                <w:szCs w:val="21"/>
              </w:rPr>
              <w:t xml:space="preserve"> </w:t>
            </w:r>
            <w:r>
              <w:rPr>
                <w:rFonts w:hint="default" w:ascii="Times New Roman" w:hAnsi="Times New Roman" w:eastAsia="宋体" w:cs="Times New Roman"/>
                <w:i/>
                <w:iCs/>
                <w:color w:val="auto"/>
                <w:position w:val="4"/>
                <w:sz w:val="21"/>
                <w:szCs w:val="21"/>
              </w:rPr>
              <w:t>leavelli</w:t>
            </w:r>
          </w:p>
        </w:tc>
        <w:tc>
          <w:tcPr>
            <w:tcW w:w="1308" w:type="dxa"/>
            <w:shd w:val="clear" w:color="auto" w:fill="auto"/>
            <w:noWrap w:val="0"/>
            <w:vAlign w:val="center"/>
          </w:tcPr>
          <w:p w14:paraId="648957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DC237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432A95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FA9F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BCC74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113</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383F12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子陵吻虾虎鱼</w:t>
            </w:r>
          </w:p>
        </w:tc>
        <w:tc>
          <w:tcPr>
            <w:tcW w:w="2494" w:type="dxa"/>
            <w:shd w:val="clear" w:color="auto" w:fill="auto"/>
            <w:noWrap w:val="0"/>
            <w:vAlign w:val="center"/>
          </w:tcPr>
          <w:p w14:paraId="559D4F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Rhinogobius</w:t>
            </w:r>
            <w:r>
              <w:rPr>
                <w:rFonts w:hint="default" w:ascii="Times New Roman" w:hAnsi="Times New Roman" w:eastAsia="宋体" w:cs="Times New Roman"/>
                <w:color w:val="auto"/>
                <w:spacing w:val="90"/>
                <w:position w:val="4"/>
                <w:sz w:val="21"/>
                <w:szCs w:val="21"/>
              </w:rPr>
              <w:t xml:space="preserve"> </w:t>
            </w:r>
            <w:r>
              <w:rPr>
                <w:rFonts w:hint="default" w:ascii="Times New Roman" w:hAnsi="Times New Roman" w:eastAsia="宋体" w:cs="Times New Roman"/>
                <w:i/>
                <w:iCs/>
                <w:color w:val="auto"/>
                <w:position w:val="4"/>
                <w:sz w:val="21"/>
                <w:szCs w:val="21"/>
              </w:rPr>
              <w:t>giurinus</w:t>
            </w:r>
          </w:p>
        </w:tc>
        <w:tc>
          <w:tcPr>
            <w:tcW w:w="1308" w:type="dxa"/>
            <w:shd w:val="clear" w:color="auto" w:fill="auto"/>
            <w:noWrap w:val="0"/>
            <w:vAlign w:val="center"/>
          </w:tcPr>
          <w:p w14:paraId="476F5D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12F5AE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6DED9D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441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29A55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114</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5E3C02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波氏吻虾虎鱼</w:t>
            </w:r>
          </w:p>
        </w:tc>
        <w:tc>
          <w:tcPr>
            <w:tcW w:w="2494" w:type="dxa"/>
            <w:shd w:val="clear" w:color="auto" w:fill="auto"/>
            <w:noWrap w:val="0"/>
            <w:vAlign w:val="center"/>
          </w:tcPr>
          <w:p w14:paraId="468325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Rhinogobius</w:t>
            </w:r>
            <w:r>
              <w:rPr>
                <w:rFonts w:hint="default" w:ascii="Times New Roman" w:hAnsi="Times New Roman" w:eastAsia="宋体" w:cs="Times New Roman"/>
                <w:color w:val="auto"/>
                <w:spacing w:val="101"/>
                <w:position w:val="4"/>
                <w:sz w:val="21"/>
                <w:szCs w:val="21"/>
              </w:rPr>
              <w:t xml:space="preserve"> </w:t>
            </w:r>
            <w:r>
              <w:rPr>
                <w:rFonts w:hint="default" w:ascii="Times New Roman" w:hAnsi="Times New Roman" w:eastAsia="宋体" w:cs="Times New Roman"/>
                <w:i/>
                <w:iCs/>
                <w:color w:val="auto"/>
                <w:position w:val="4"/>
                <w:sz w:val="21"/>
                <w:szCs w:val="21"/>
              </w:rPr>
              <w:t>cliffordpopei</w:t>
            </w:r>
          </w:p>
        </w:tc>
        <w:tc>
          <w:tcPr>
            <w:tcW w:w="1308" w:type="dxa"/>
            <w:shd w:val="clear" w:color="auto" w:fill="auto"/>
            <w:noWrap w:val="0"/>
            <w:vAlign w:val="center"/>
          </w:tcPr>
          <w:p w14:paraId="50CCB6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2186DF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36BD94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D75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0BFEE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115</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39A42F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黏皮鲻虾虎</w:t>
            </w:r>
            <w:r>
              <w:rPr>
                <w:rFonts w:hint="default" w:ascii="Times New Roman" w:hAnsi="Times New Roman" w:eastAsia="宋体" w:cs="Times New Roman"/>
                <w:color w:val="auto"/>
                <w:spacing w:val="7"/>
                <w:sz w:val="21"/>
                <w:szCs w:val="21"/>
              </w:rPr>
              <w:t>鱼</w:t>
            </w:r>
          </w:p>
        </w:tc>
        <w:tc>
          <w:tcPr>
            <w:tcW w:w="2494" w:type="dxa"/>
            <w:shd w:val="clear" w:color="auto" w:fill="auto"/>
            <w:noWrap w:val="0"/>
            <w:vAlign w:val="center"/>
          </w:tcPr>
          <w:p w14:paraId="51CE07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Mugilogobius</w:t>
            </w:r>
            <w:r>
              <w:rPr>
                <w:rFonts w:hint="default" w:ascii="Times New Roman" w:hAnsi="Times New Roman" w:eastAsia="宋体" w:cs="Times New Roman"/>
                <w:color w:val="auto"/>
                <w:spacing w:val="116"/>
                <w:position w:val="4"/>
                <w:sz w:val="21"/>
                <w:szCs w:val="21"/>
              </w:rPr>
              <w:t xml:space="preserve"> </w:t>
            </w:r>
            <w:r>
              <w:rPr>
                <w:rFonts w:hint="default" w:ascii="Times New Roman" w:hAnsi="Times New Roman" w:eastAsia="宋体" w:cs="Times New Roman"/>
                <w:i/>
                <w:iCs/>
                <w:color w:val="auto"/>
                <w:position w:val="4"/>
                <w:sz w:val="21"/>
                <w:szCs w:val="21"/>
              </w:rPr>
              <w:t>myxodermus</w:t>
            </w:r>
          </w:p>
        </w:tc>
        <w:tc>
          <w:tcPr>
            <w:tcW w:w="1308" w:type="dxa"/>
            <w:shd w:val="clear" w:color="auto" w:fill="auto"/>
            <w:noWrap w:val="0"/>
            <w:vAlign w:val="center"/>
          </w:tcPr>
          <w:p w14:paraId="6DCA3E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4BEFD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453B18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FE28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28791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十七)</w:t>
            </w:r>
          </w:p>
        </w:tc>
        <w:tc>
          <w:tcPr>
            <w:tcW w:w="1719" w:type="dxa"/>
            <w:shd w:val="clear" w:color="auto" w:fill="auto"/>
            <w:noWrap w:val="0"/>
            <w:vAlign w:val="center"/>
          </w:tcPr>
          <w:p w14:paraId="710ACB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斗鱼科</w:t>
            </w:r>
          </w:p>
        </w:tc>
        <w:tc>
          <w:tcPr>
            <w:tcW w:w="2494" w:type="dxa"/>
            <w:shd w:val="clear" w:color="auto" w:fill="auto"/>
            <w:noWrap w:val="0"/>
            <w:vAlign w:val="center"/>
          </w:tcPr>
          <w:p w14:paraId="002530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6"/>
                <w:position w:val="4"/>
                <w:sz w:val="21"/>
                <w:szCs w:val="21"/>
              </w:rPr>
              <w:t>O</w:t>
            </w:r>
            <w:r>
              <w:rPr>
                <w:rFonts w:hint="default" w:ascii="Times New Roman" w:hAnsi="Times New Roman" w:eastAsia="宋体" w:cs="Times New Roman"/>
                <w:b/>
                <w:bCs/>
                <w:color w:val="auto"/>
                <w:spacing w:val="4"/>
                <w:position w:val="4"/>
                <w:sz w:val="21"/>
                <w:szCs w:val="21"/>
              </w:rPr>
              <w:t>sphronemidae</w:t>
            </w:r>
          </w:p>
        </w:tc>
        <w:tc>
          <w:tcPr>
            <w:tcW w:w="1308" w:type="dxa"/>
            <w:shd w:val="clear" w:color="auto" w:fill="auto"/>
            <w:noWrap w:val="0"/>
            <w:vAlign w:val="center"/>
          </w:tcPr>
          <w:p w14:paraId="442CA3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2798C2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0DB2B4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149A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019452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116</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0D9F09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叉尾斗</w:t>
            </w:r>
            <w:r>
              <w:rPr>
                <w:rFonts w:hint="default" w:ascii="Times New Roman" w:hAnsi="Times New Roman" w:eastAsia="宋体" w:cs="Times New Roman"/>
                <w:color w:val="auto"/>
                <w:spacing w:val="6"/>
                <w:sz w:val="21"/>
                <w:szCs w:val="21"/>
              </w:rPr>
              <w:t>鱼</w:t>
            </w:r>
          </w:p>
        </w:tc>
        <w:tc>
          <w:tcPr>
            <w:tcW w:w="2494" w:type="dxa"/>
            <w:shd w:val="clear" w:color="auto" w:fill="auto"/>
            <w:noWrap w:val="0"/>
            <w:vAlign w:val="center"/>
          </w:tcPr>
          <w:p w14:paraId="4617EF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Macropodus</w:t>
            </w:r>
            <w:r>
              <w:rPr>
                <w:rFonts w:hint="default" w:ascii="Times New Roman" w:hAnsi="Times New Roman" w:eastAsia="宋体" w:cs="Times New Roman"/>
                <w:color w:val="auto"/>
                <w:spacing w:val="89"/>
                <w:position w:val="4"/>
                <w:sz w:val="21"/>
                <w:szCs w:val="21"/>
              </w:rPr>
              <w:t xml:space="preserve"> </w:t>
            </w:r>
            <w:r>
              <w:rPr>
                <w:rFonts w:hint="default" w:ascii="Times New Roman" w:hAnsi="Times New Roman" w:eastAsia="宋体" w:cs="Times New Roman"/>
                <w:i/>
                <w:iCs/>
                <w:color w:val="auto"/>
                <w:position w:val="4"/>
                <w:sz w:val="21"/>
                <w:szCs w:val="21"/>
              </w:rPr>
              <w:t>opercularis</w:t>
            </w:r>
          </w:p>
        </w:tc>
        <w:tc>
          <w:tcPr>
            <w:tcW w:w="1308" w:type="dxa"/>
            <w:shd w:val="clear" w:color="auto" w:fill="auto"/>
            <w:noWrap w:val="0"/>
            <w:vAlign w:val="center"/>
          </w:tcPr>
          <w:p w14:paraId="7A37DB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8AC8C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008B8F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3E9E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CFE6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117</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569017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圆尾斗鱼</w:t>
            </w:r>
          </w:p>
        </w:tc>
        <w:tc>
          <w:tcPr>
            <w:tcW w:w="2494" w:type="dxa"/>
            <w:shd w:val="clear" w:color="auto" w:fill="auto"/>
            <w:noWrap w:val="0"/>
            <w:vAlign w:val="center"/>
          </w:tcPr>
          <w:p w14:paraId="1CEE95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Macropodus</w:t>
            </w:r>
            <w:r>
              <w:rPr>
                <w:rFonts w:hint="default" w:ascii="Times New Roman" w:hAnsi="Times New Roman" w:eastAsia="宋体" w:cs="Times New Roman"/>
                <w:color w:val="auto"/>
                <w:spacing w:val="88"/>
                <w:position w:val="4"/>
                <w:sz w:val="21"/>
                <w:szCs w:val="21"/>
              </w:rPr>
              <w:t xml:space="preserve"> </w:t>
            </w:r>
            <w:r>
              <w:rPr>
                <w:rFonts w:hint="default" w:ascii="Times New Roman" w:hAnsi="Times New Roman" w:eastAsia="宋体" w:cs="Times New Roman"/>
                <w:i/>
                <w:iCs/>
                <w:color w:val="auto"/>
                <w:position w:val="4"/>
                <w:sz w:val="21"/>
                <w:szCs w:val="21"/>
              </w:rPr>
              <w:t>ocellatus</w:t>
            </w:r>
          </w:p>
        </w:tc>
        <w:tc>
          <w:tcPr>
            <w:tcW w:w="1308" w:type="dxa"/>
            <w:shd w:val="clear" w:color="auto" w:fill="auto"/>
            <w:noWrap w:val="0"/>
            <w:vAlign w:val="center"/>
          </w:tcPr>
          <w:p w14:paraId="02DE8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C2904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01AF9C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B706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0F782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十八)</w:t>
            </w:r>
          </w:p>
        </w:tc>
        <w:tc>
          <w:tcPr>
            <w:tcW w:w="1719" w:type="dxa"/>
            <w:shd w:val="clear" w:color="auto" w:fill="auto"/>
            <w:noWrap w:val="0"/>
            <w:vAlign w:val="center"/>
          </w:tcPr>
          <w:p w14:paraId="3220CA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鳢科</w:t>
            </w:r>
          </w:p>
        </w:tc>
        <w:tc>
          <w:tcPr>
            <w:tcW w:w="2494" w:type="dxa"/>
            <w:shd w:val="clear" w:color="auto" w:fill="auto"/>
            <w:noWrap w:val="0"/>
            <w:vAlign w:val="center"/>
          </w:tcPr>
          <w:p w14:paraId="4224F1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4"/>
                <w:position w:val="2"/>
                <w:sz w:val="21"/>
                <w:szCs w:val="21"/>
              </w:rPr>
              <w:t>Channidae</w:t>
            </w:r>
          </w:p>
        </w:tc>
        <w:tc>
          <w:tcPr>
            <w:tcW w:w="1308" w:type="dxa"/>
            <w:shd w:val="clear" w:color="auto" w:fill="auto"/>
            <w:noWrap w:val="0"/>
            <w:vAlign w:val="center"/>
          </w:tcPr>
          <w:p w14:paraId="1BA16F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083816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3C5507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DA26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66F39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118</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0882C9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乌</w:t>
            </w:r>
            <w:r>
              <w:rPr>
                <w:rFonts w:hint="default" w:ascii="Times New Roman" w:hAnsi="Times New Roman" w:eastAsia="宋体" w:cs="Times New Roman"/>
                <w:color w:val="auto"/>
                <w:spacing w:val="3"/>
                <w:sz w:val="21"/>
                <w:szCs w:val="21"/>
              </w:rPr>
              <w:t>鳢</w:t>
            </w:r>
          </w:p>
        </w:tc>
        <w:tc>
          <w:tcPr>
            <w:tcW w:w="2494" w:type="dxa"/>
            <w:shd w:val="clear" w:color="auto" w:fill="auto"/>
            <w:noWrap w:val="0"/>
            <w:vAlign w:val="center"/>
          </w:tcPr>
          <w:p w14:paraId="60CB99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Channa</w:t>
            </w:r>
            <w:r>
              <w:rPr>
                <w:rFonts w:hint="default" w:ascii="Times New Roman" w:hAnsi="Times New Roman" w:eastAsia="宋体" w:cs="Times New Roman"/>
                <w:color w:val="auto"/>
                <w:spacing w:val="34"/>
                <w:position w:val="4"/>
                <w:sz w:val="21"/>
                <w:szCs w:val="21"/>
              </w:rPr>
              <w:t xml:space="preserve"> </w:t>
            </w:r>
            <w:r>
              <w:rPr>
                <w:rFonts w:hint="default" w:ascii="Times New Roman" w:hAnsi="Times New Roman" w:eastAsia="宋体" w:cs="Times New Roman"/>
                <w:i/>
                <w:iCs/>
                <w:color w:val="auto"/>
                <w:position w:val="4"/>
                <w:sz w:val="21"/>
                <w:szCs w:val="21"/>
              </w:rPr>
              <w:t>argus</w:t>
            </w:r>
          </w:p>
        </w:tc>
        <w:tc>
          <w:tcPr>
            <w:tcW w:w="1308" w:type="dxa"/>
            <w:shd w:val="clear" w:color="auto" w:fill="auto"/>
            <w:noWrap w:val="0"/>
            <w:vAlign w:val="center"/>
          </w:tcPr>
          <w:p w14:paraId="16196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4C2F26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30" w:type="dxa"/>
            <w:tcBorders>
              <w:right w:val="single" w:color="000000" w:sz="10" w:space="0"/>
            </w:tcBorders>
            <w:shd w:val="clear" w:color="auto" w:fill="auto"/>
            <w:noWrap w:val="0"/>
            <w:vAlign w:val="center"/>
          </w:tcPr>
          <w:p w14:paraId="7142B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rPr>
              <w:t>▲</w:t>
            </w:r>
          </w:p>
        </w:tc>
      </w:tr>
      <w:tr w14:paraId="0329A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3C270B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119</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2F5983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斑</w:t>
            </w:r>
            <w:r>
              <w:rPr>
                <w:rFonts w:hint="default" w:ascii="Times New Roman" w:hAnsi="Times New Roman" w:eastAsia="宋体" w:cs="Times New Roman"/>
                <w:color w:val="auto"/>
                <w:spacing w:val="4"/>
                <w:sz w:val="21"/>
                <w:szCs w:val="21"/>
              </w:rPr>
              <w:t>鳢</w:t>
            </w:r>
          </w:p>
        </w:tc>
        <w:tc>
          <w:tcPr>
            <w:tcW w:w="2494" w:type="dxa"/>
            <w:shd w:val="clear" w:color="auto" w:fill="auto"/>
            <w:noWrap w:val="0"/>
            <w:vAlign w:val="center"/>
          </w:tcPr>
          <w:p w14:paraId="3B6D29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Channa</w:t>
            </w:r>
            <w:r>
              <w:rPr>
                <w:rFonts w:hint="default" w:ascii="Times New Roman" w:hAnsi="Times New Roman" w:eastAsia="宋体" w:cs="Times New Roman"/>
                <w:color w:val="auto"/>
                <w:spacing w:val="57"/>
                <w:position w:val="2"/>
                <w:sz w:val="21"/>
                <w:szCs w:val="21"/>
              </w:rPr>
              <w:t xml:space="preserve"> </w:t>
            </w:r>
            <w:r>
              <w:rPr>
                <w:rFonts w:hint="default" w:ascii="Times New Roman" w:hAnsi="Times New Roman" w:eastAsia="宋体" w:cs="Times New Roman"/>
                <w:i/>
                <w:iCs/>
                <w:color w:val="auto"/>
                <w:position w:val="2"/>
                <w:sz w:val="21"/>
                <w:szCs w:val="21"/>
              </w:rPr>
              <w:t>maculate</w:t>
            </w:r>
          </w:p>
        </w:tc>
        <w:tc>
          <w:tcPr>
            <w:tcW w:w="1308" w:type="dxa"/>
            <w:shd w:val="clear" w:color="auto" w:fill="auto"/>
            <w:noWrap w:val="0"/>
            <w:vAlign w:val="center"/>
          </w:tcPr>
          <w:p w14:paraId="7BEC43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30FDE1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4D8535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1480B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0E131B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120</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3790FE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月鳢</w:t>
            </w:r>
          </w:p>
        </w:tc>
        <w:tc>
          <w:tcPr>
            <w:tcW w:w="2494" w:type="dxa"/>
            <w:shd w:val="clear" w:color="auto" w:fill="auto"/>
            <w:noWrap w:val="0"/>
            <w:vAlign w:val="center"/>
          </w:tcPr>
          <w:p w14:paraId="09B79C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Channa</w:t>
            </w:r>
            <w:r>
              <w:rPr>
                <w:rFonts w:hint="default" w:ascii="Times New Roman" w:hAnsi="Times New Roman" w:eastAsia="宋体" w:cs="Times New Roman"/>
                <w:color w:val="auto"/>
                <w:spacing w:val="50"/>
                <w:position w:val="2"/>
                <w:sz w:val="21"/>
                <w:szCs w:val="21"/>
              </w:rPr>
              <w:t xml:space="preserve"> </w:t>
            </w:r>
            <w:r>
              <w:rPr>
                <w:rFonts w:hint="default" w:ascii="Times New Roman" w:hAnsi="Times New Roman" w:eastAsia="宋体" w:cs="Times New Roman"/>
                <w:i/>
                <w:iCs/>
                <w:color w:val="auto"/>
                <w:position w:val="2"/>
                <w:sz w:val="21"/>
                <w:szCs w:val="21"/>
              </w:rPr>
              <w:t>asiatica</w:t>
            </w:r>
          </w:p>
        </w:tc>
        <w:tc>
          <w:tcPr>
            <w:tcW w:w="1308" w:type="dxa"/>
            <w:shd w:val="clear" w:color="auto" w:fill="auto"/>
            <w:noWrap w:val="0"/>
            <w:vAlign w:val="center"/>
          </w:tcPr>
          <w:p w14:paraId="5B1F28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07379A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155EFF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14E7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691BCD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十九)</w:t>
            </w:r>
          </w:p>
        </w:tc>
        <w:tc>
          <w:tcPr>
            <w:tcW w:w="1719" w:type="dxa"/>
            <w:shd w:val="clear" w:color="auto" w:fill="auto"/>
            <w:noWrap w:val="0"/>
            <w:vAlign w:val="center"/>
          </w:tcPr>
          <w:p w14:paraId="00602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刺鳅科</w:t>
            </w:r>
          </w:p>
        </w:tc>
        <w:tc>
          <w:tcPr>
            <w:tcW w:w="2494" w:type="dxa"/>
            <w:shd w:val="clear" w:color="auto" w:fill="auto"/>
            <w:noWrap w:val="0"/>
            <w:vAlign w:val="center"/>
          </w:tcPr>
          <w:p w14:paraId="19D1EC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8"/>
                <w:position w:val="2"/>
                <w:sz w:val="21"/>
                <w:szCs w:val="21"/>
              </w:rPr>
              <w:t>Ma</w:t>
            </w:r>
            <w:r>
              <w:rPr>
                <w:rFonts w:hint="default" w:ascii="Times New Roman" w:hAnsi="Times New Roman" w:eastAsia="宋体" w:cs="Times New Roman"/>
                <w:b/>
                <w:bCs/>
                <w:color w:val="auto"/>
                <w:spacing w:val="4"/>
                <w:position w:val="2"/>
                <w:sz w:val="21"/>
                <w:szCs w:val="21"/>
              </w:rPr>
              <w:t>stacembelidae</w:t>
            </w:r>
          </w:p>
        </w:tc>
        <w:tc>
          <w:tcPr>
            <w:tcW w:w="1308" w:type="dxa"/>
            <w:shd w:val="clear" w:color="auto" w:fill="auto"/>
            <w:noWrap w:val="0"/>
            <w:vAlign w:val="center"/>
          </w:tcPr>
          <w:p w14:paraId="03E19D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61969C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5DC31D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256B4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240B6A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121</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6A756D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中</w:t>
            </w:r>
            <w:r>
              <w:rPr>
                <w:rFonts w:hint="default" w:ascii="Times New Roman" w:hAnsi="Times New Roman" w:eastAsia="宋体" w:cs="Times New Roman"/>
                <w:color w:val="auto"/>
                <w:spacing w:val="2"/>
                <w:sz w:val="21"/>
                <w:szCs w:val="21"/>
              </w:rPr>
              <w:t>华刺鳅</w:t>
            </w:r>
          </w:p>
        </w:tc>
        <w:tc>
          <w:tcPr>
            <w:tcW w:w="2494" w:type="dxa"/>
            <w:shd w:val="clear" w:color="auto" w:fill="auto"/>
            <w:noWrap w:val="0"/>
            <w:vAlign w:val="center"/>
          </w:tcPr>
          <w:p w14:paraId="238776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2"/>
                <w:sz w:val="21"/>
                <w:szCs w:val="21"/>
              </w:rPr>
              <w:t>Sinobdella</w:t>
            </w:r>
            <w:r>
              <w:rPr>
                <w:rFonts w:hint="default" w:ascii="Times New Roman" w:hAnsi="Times New Roman" w:eastAsia="宋体" w:cs="Times New Roman"/>
                <w:color w:val="auto"/>
                <w:spacing w:val="74"/>
                <w:position w:val="2"/>
                <w:sz w:val="21"/>
                <w:szCs w:val="21"/>
              </w:rPr>
              <w:t xml:space="preserve"> </w:t>
            </w:r>
            <w:r>
              <w:rPr>
                <w:rFonts w:hint="default" w:ascii="Times New Roman" w:hAnsi="Times New Roman" w:eastAsia="宋体" w:cs="Times New Roman"/>
                <w:i/>
                <w:iCs/>
                <w:color w:val="auto"/>
                <w:position w:val="2"/>
                <w:sz w:val="21"/>
                <w:szCs w:val="21"/>
              </w:rPr>
              <w:t>sinensis</w:t>
            </w:r>
          </w:p>
        </w:tc>
        <w:tc>
          <w:tcPr>
            <w:tcW w:w="1308" w:type="dxa"/>
            <w:shd w:val="clear" w:color="auto" w:fill="auto"/>
            <w:noWrap w:val="0"/>
            <w:vAlign w:val="center"/>
          </w:tcPr>
          <w:p w14:paraId="564FEB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763C3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57F7C6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378B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4CA0F6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pacing w:val="-3"/>
                <w:sz w:val="21"/>
                <w:szCs w:val="21"/>
              </w:rPr>
              <w:t>九</w:t>
            </w:r>
            <w:r>
              <w:rPr>
                <w:rFonts w:hint="default" w:ascii="Times New Roman" w:hAnsi="Times New Roman" w:eastAsia="宋体" w:cs="Times New Roman"/>
                <w:b/>
                <w:bCs/>
                <w:color w:val="auto"/>
                <w:spacing w:val="-2"/>
                <w:sz w:val="21"/>
                <w:szCs w:val="21"/>
              </w:rPr>
              <w:t>、</w:t>
            </w:r>
          </w:p>
        </w:tc>
        <w:tc>
          <w:tcPr>
            <w:tcW w:w="1719" w:type="dxa"/>
            <w:shd w:val="clear" w:color="auto" w:fill="auto"/>
            <w:noWrap w:val="0"/>
            <w:vAlign w:val="center"/>
          </w:tcPr>
          <w:p w14:paraId="6935E5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pacing w:val="8"/>
                <w:sz w:val="21"/>
                <w:szCs w:val="21"/>
              </w:rPr>
              <w:t>鲀形目</w:t>
            </w:r>
          </w:p>
        </w:tc>
        <w:tc>
          <w:tcPr>
            <w:tcW w:w="2494" w:type="dxa"/>
            <w:shd w:val="clear" w:color="auto" w:fill="auto"/>
            <w:noWrap w:val="0"/>
            <w:vAlign w:val="center"/>
          </w:tcPr>
          <w:p w14:paraId="355D9E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6"/>
                <w:position w:val="4"/>
                <w:sz w:val="21"/>
                <w:szCs w:val="21"/>
              </w:rPr>
              <w:t>T</w:t>
            </w:r>
            <w:r>
              <w:rPr>
                <w:rFonts w:hint="default" w:ascii="Times New Roman" w:hAnsi="Times New Roman" w:eastAsia="宋体" w:cs="Times New Roman"/>
                <w:b/>
                <w:bCs/>
                <w:color w:val="auto"/>
                <w:spacing w:val="3"/>
                <w:position w:val="4"/>
                <w:sz w:val="21"/>
                <w:szCs w:val="21"/>
              </w:rPr>
              <w:t>eyraodontiformes</w:t>
            </w:r>
          </w:p>
        </w:tc>
        <w:tc>
          <w:tcPr>
            <w:tcW w:w="1308" w:type="dxa"/>
            <w:shd w:val="clear" w:color="auto" w:fill="auto"/>
            <w:noWrap w:val="0"/>
            <w:vAlign w:val="center"/>
          </w:tcPr>
          <w:p w14:paraId="333D0E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5F36F3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051F8A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C14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5AD65E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position w:val="2"/>
                <w:sz w:val="21"/>
                <w:szCs w:val="21"/>
              </w:rPr>
              <w:t>(</w:t>
            </w:r>
            <w:r>
              <w:rPr>
                <w:rFonts w:hint="default" w:ascii="Times New Roman" w:hAnsi="Times New Roman" w:eastAsia="宋体" w:cs="Times New Roman"/>
                <w:color w:val="auto"/>
                <w:spacing w:val="4"/>
                <w:position w:val="2"/>
                <w:sz w:val="21"/>
                <w:szCs w:val="21"/>
              </w:rPr>
              <w:t>二十)</w:t>
            </w:r>
          </w:p>
        </w:tc>
        <w:tc>
          <w:tcPr>
            <w:tcW w:w="1719" w:type="dxa"/>
            <w:shd w:val="clear" w:color="auto" w:fill="auto"/>
            <w:noWrap w:val="0"/>
            <w:vAlign w:val="center"/>
          </w:tcPr>
          <w:p w14:paraId="307050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鲀</w:t>
            </w:r>
            <w:r>
              <w:rPr>
                <w:rFonts w:hint="default" w:ascii="Times New Roman" w:hAnsi="Times New Roman" w:eastAsia="宋体" w:cs="Times New Roman"/>
                <w:color w:val="auto"/>
                <w:spacing w:val="6"/>
                <w:sz w:val="21"/>
                <w:szCs w:val="21"/>
              </w:rPr>
              <w:t>科</w:t>
            </w:r>
          </w:p>
        </w:tc>
        <w:tc>
          <w:tcPr>
            <w:tcW w:w="2494" w:type="dxa"/>
            <w:shd w:val="clear" w:color="auto" w:fill="auto"/>
            <w:noWrap w:val="0"/>
            <w:vAlign w:val="center"/>
          </w:tcPr>
          <w:p w14:paraId="3EE651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pacing w:val="4"/>
                <w:position w:val="2"/>
                <w:sz w:val="21"/>
                <w:szCs w:val="21"/>
              </w:rPr>
              <w:t>T</w:t>
            </w:r>
            <w:r>
              <w:rPr>
                <w:rFonts w:hint="default" w:ascii="Times New Roman" w:hAnsi="Times New Roman" w:eastAsia="宋体" w:cs="Times New Roman"/>
                <w:b/>
                <w:bCs/>
                <w:color w:val="auto"/>
                <w:spacing w:val="3"/>
                <w:position w:val="2"/>
                <w:sz w:val="21"/>
                <w:szCs w:val="21"/>
              </w:rPr>
              <w:t>e</w:t>
            </w:r>
            <w:r>
              <w:rPr>
                <w:rFonts w:hint="default" w:ascii="Times New Roman" w:hAnsi="Times New Roman" w:eastAsia="宋体" w:cs="Times New Roman"/>
                <w:b/>
                <w:bCs/>
                <w:color w:val="auto"/>
                <w:spacing w:val="2"/>
                <w:position w:val="2"/>
                <w:sz w:val="21"/>
                <w:szCs w:val="21"/>
              </w:rPr>
              <w:t>trodontidae</w:t>
            </w:r>
          </w:p>
        </w:tc>
        <w:tc>
          <w:tcPr>
            <w:tcW w:w="1308" w:type="dxa"/>
            <w:shd w:val="clear" w:color="auto" w:fill="auto"/>
            <w:noWrap w:val="0"/>
            <w:vAlign w:val="center"/>
          </w:tcPr>
          <w:p w14:paraId="52228D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45" w:type="dxa"/>
            <w:shd w:val="clear" w:color="auto" w:fill="auto"/>
            <w:noWrap w:val="0"/>
            <w:vAlign w:val="center"/>
          </w:tcPr>
          <w:p w14:paraId="4A1D19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4ADDD0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787F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82" w:type="dxa"/>
            <w:tcBorders>
              <w:left w:val="single" w:color="000000" w:sz="10" w:space="0"/>
            </w:tcBorders>
            <w:shd w:val="clear" w:color="auto" w:fill="auto"/>
            <w:noWrap w:val="0"/>
            <w:vAlign w:val="center"/>
          </w:tcPr>
          <w:p w14:paraId="110F1A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122</w:t>
            </w:r>
            <w:r>
              <w:rPr>
                <w:rFonts w:hint="default" w:ascii="Times New Roman" w:hAnsi="Times New Roman" w:eastAsia="宋体" w:cs="Times New Roman"/>
                <w:color w:val="auto"/>
                <w:spacing w:val="1"/>
                <w:sz w:val="21"/>
                <w:szCs w:val="21"/>
              </w:rPr>
              <w:t>.</w:t>
            </w:r>
          </w:p>
        </w:tc>
        <w:tc>
          <w:tcPr>
            <w:tcW w:w="1719" w:type="dxa"/>
            <w:shd w:val="clear" w:color="auto" w:fill="auto"/>
            <w:noWrap w:val="0"/>
            <w:vAlign w:val="center"/>
          </w:tcPr>
          <w:p w14:paraId="65E75C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暗</w:t>
            </w:r>
            <w:r>
              <w:rPr>
                <w:rFonts w:hint="default" w:ascii="Times New Roman" w:hAnsi="Times New Roman" w:eastAsia="宋体" w:cs="Times New Roman"/>
                <w:color w:val="auto"/>
                <w:spacing w:val="6"/>
                <w:sz w:val="21"/>
                <w:szCs w:val="21"/>
              </w:rPr>
              <w:t>纹东方鲀</w:t>
            </w:r>
          </w:p>
        </w:tc>
        <w:tc>
          <w:tcPr>
            <w:tcW w:w="2494" w:type="dxa"/>
            <w:shd w:val="clear" w:color="auto" w:fill="auto"/>
            <w:noWrap w:val="0"/>
            <w:vAlign w:val="center"/>
          </w:tcPr>
          <w:p w14:paraId="217AA8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iCs/>
                <w:color w:val="auto"/>
                <w:position w:val="4"/>
                <w:sz w:val="21"/>
                <w:szCs w:val="21"/>
              </w:rPr>
              <w:t>Takifugu</w:t>
            </w:r>
            <w:r>
              <w:rPr>
                <w:rFonts w:hint="default" w:ascii="Times New Roman" w:hAnsi="Times New Roman" w:eastAsia="宋体" w:cs="Times New Roman"/>
                <w:color w:val="auto"/>
                <w:spacing w:val="40"/>
                <w:position w:val="4"/>
                <w:sz w:val="21"/>
                <w:szCs w:val="21"/>
              </w:rPr>
              <w:t xml:space="preserve"> </w:t>
            </w:r>
            <w:r>
              <w:rPr>
                <w:rFonts w:hint="default" w:ascii="Times New Roman" w:hAnsi="Times New Roman" w:eastAsia="宋体" w:cs="Times New Roman"/>
                <w:i/>
                <w:iCs/>
                <w:color w:val="auto"/>
                <w:position w:val="4"/>
                <w:sz w:val="21"/>
                <w:szCs w:val="21"/>
              </w:rPr>
              <w:t>obscurus</w:t>
            </w:r>
          </w:p>
        </w:tc>
        <w:tc>
          <w:tcPr>
            <w:tcW w:w="1308" w:type="dxa"/>
            <w:shd w:val="clear" w:color="auto" w:fill="auto"/>
            <w:noWrap w:val="0"/>
            <w:vAlign w:val="center"/>
          </w:tcPr>
          <w:p w14:paraId="0ADD30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2"/>
                <w:sz w:val="21"/>
                <w:szCs w:val="21"/>
              </w:rPr>
              <w:t>﹢</w:t>
            </w:r>
          </w:p>
        </w:tc>
        <w:tc>
          <w:tcPr>
            <w:tcW w:w="1045" w:type="dxa"/>
            <w:shd w:val="clear" w:color="auto" w:fill="auto"/>
            <w:noWrap w:val="0"/>
            <w:vAlign w:val="center"/>
          </w:tcPr>
          <w:p w14:paraId="602D7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30" w:type="dxa"/>
            <w:tcBorders>
              <w:right w:val="single" w:color="000000" w:sz="10" w:space="0"/>
            </w:tcBorders>
            <w:shd w:val="clear" w:color="auto" w:fill="auto"/>
            <w:noWrap w:val="0"/>
            <w:vAlign w:val="center"/>
          </w:tcPr>
          <w:p w14:paraId="7560B7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14:paraId="3C20717B">
      <w:pPr>
        <w:pageBreakBefore w:val="0"/>
        <w:kinsoku/>
        <w:wordWrap/>
        <w:overflowPunct/>
        <w:topLinePunct w:val="0"/>
        <w:bidi w:val="0"/>
        <w:spacing w:line="360" w:lineRule="auto"/>
        <w:outlineLvl w:val="9"/>
        <w:rPr>
          <w:rFonts w:hint="default" w:ascii="Times New Roman" w:hAnsi="Times New Roman" w:eastAsia="宋体" w:cs="Times New Roman"/>
          <w:b/>
          <w:bCs/>
          <w:color w:val="auto"/>
          <w:sz w:val="24"/>
          <w:szCs w:val="24"/>
        </w:rPr>
      </w:pPr>
      <w:bookmarkStart w:id="621" w:name="_Toc4732"/>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、鱼类重要生境</w:t>
      </w:r>
      <w:bookmarkEnd w:id="621"/>
    </w:p>
    <w:p w14:paraId="117225BA">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产卵场</w:t>
      </w:r>
    </w:p>
    <w:p w14:paraId="7FAF425A">
      <w:pPr>
        <w:pageBreakBefore w:val="0"/>
        <w:kinsoku/>
        <w:wordWrap/>
        <w:overflowPunct/>
        <w:topLinePunct w:val="0"/>
        <w:bidi w:val="0"/>
        <w:spacing w:line="360" w:lineRule="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rPr>
        <w:t>洞庭湖分布有鲤、鲫、鲇、黄颡鱼等产粘沉性卵鱼类产卵场，鲌、鲴等流水产粘性卵鱼类产卵场(短距离洄游性鱼类产卵场)，流水产浮性卵鱼类产卵场，及鲚鱼产卵场(浮性卵鱼类产卵场)。</w:t>
      </w:r>
    </w:p>
    <w:p w14:paraId="39067C0D">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根据调査，湘江产漂流性卵鱼类及其产卵场共有8处，如图4.</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rPr>
        <w:t>。</w:t>
      </w:r>
    </w:p>
    <w:p w14:paraId="0304E89B">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mc:AlternateContent>
          <mc:Choice Requires="wps">
            <w:drawing>
              <wp:anchor distT="0" distB="0" distL="114300" distR="114300" simplePos="0" relativeHeight="251669504" behindDoc="0" locked="0" layoutInCell="1" allowOverlap="1">
                <wp:simplePos x="0" y="0"/>
                <wp:positionH relativeFrom="column">
                  <wp:posOffset>4596765</wp:posOffset>
                </wp:positionH>
                <wp:positionV relativeFrom="paragraph">
                  <wp:posOffset>418465</wp:posOffset>
                </wp:positionV>
                <wp:extent cx="1036320" cy="268605"/>
                <wp:effectExtent l="748665" t="4445" r="5715" b="127000"/>
                <wp:wrapNone/>
                <wp:docPr id="111" name="矩形标注 111"/>
                <wp:cNvGraphicFramePr/>
                <a:graphic xmlns:a="http://schemas.openxmlformats.org/drawingml/2006/main">
                  <a:graphicData uri="http://schemas.microsoft.com/office/word/2010/wordprocessingShape">
                    <wps:wsp>
                      <wps:cNvSpPr/>
                      <wps:spPr>
                        <a:xfrm>
                          <a:off x="0" y="0"/>
                          <a:ext cx="1036320" cy="268605"/>
                        </a:xfrm>
                        <a:prstGeom prst="wedgeRectCallout">
                          <a:avLst>
                            <a:gd name="adj1" fmla="val -118630"/>
                            <a:gd name="adj2" fmla="val 90662"/>
                          </a:avLst>
                        </a:prstGeom>
                        <a:noFill/>
                        <a:ln w="9525" cap="flat" cmpd="sng">
                          <a:solidFill>
                            <a:srgbClr val="000000"/>
                          </a:solidFill>
                          <a:prstDash val="solid"/>
                          <a:miter/>
                          <a:headEnd type="none" w="med" len="med"/>
                          <a:tailEnd type="none" w="med" len="med"/>
                        </a:ln>
                      </wps:spPr>
                      <wps:txbx>
                        <w:txbxContent>
                          <w:p w14:paraId="4F6E8FF8">
                            <w:pPr>
                              <w:spacing w:line="240" w:lineRule="auto"/>
                              <w:ind w:firstLine="0" w:firstLineChars="0"/>
                              <w:rPr>
                                <w:b/>
                                <w:bCs/>
                                <w:color w:val="000000"/>
                                <w:sz w:val="21"/>
                                <w:szCs w:val="21"/>
                              </w:rPr>
                            </w:pPr>
                            <w:r>
                              <w:rPr>
                                <w:rFonts w:hint="eastAsia"/>
                                <w:b/>
                                <w:bCs/>
                                <w:color w:val="000000"/>
                                <w:sz w:val="21"/>
                                <w:szCs w:val="21"/>
                              </w:rPr>
                              <w:t>项目所在区域</w:t>
                            </w:r>
                          </w:p>
                        </w:txbxContent>
                      </wps:txbx>
                      <wps:bodyPr upright="1"/>
                    </wps:wsp>
                  </a:graphicData>
                </a:graphic>
              </wp:anchor>
            </w:drawing>
          </mc:Choice>
          <mc:Fallback>
            <w:pict>
              <v:shape id="_x0000_s1026" o:spid="_x0000_s1026" o:spt="61" type="#_x0000_t61" style="position:absolute;left:0pt;margin-left:361.95pt;margin-top:32.95pt;height:21.15pt;width:81.6pt;z-index:251669504;mso-width-relative:page;mso-height-relative:page;" filled="f" stroked="t" coordsize="21600,21600" o:gfxdata="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P9+toAAAAKAQAADwAAAAAAAAABACAAAAAiAAAAZHJzL2Rvd25y&#10;ZXYueG1sUEsBAhQAFAAAAAgAh07iQBaD5Hw1AgAAaQQAAA4AAAAAAAAAAQAgAAAAKQEAAGRycy9l&#10;Mm9Eb2MueG1sUEsFBgAAAAAGAAYAWQEAANAFAAAAAA==&#10;" adj="-14824,30383">
                <v:fill on="f" focussize="0,0"/>
                <v:stroke color="#000000" joinstyle="miter"/>
                <v:imagedata o:title=""/>
                <o:lock v:ext="edit" aspectratio="f"/>
                <v:textbox>
                  <w:txbxContent>
                    <w:p w14:paraId="4F6E8FF8">
                      <w:pPr>
                        <w:spacing w:line="240" w:lineRule="auto"/>
                        <w:ind w:firstLine="0" w:firstLineChars="0"/>
                        <w:rPr>
                          <w:b/>
                          <w:bCs/>
                          <w:color w:val="000000"/>
                          <w:sz w:val="21"/>
                          <w:szCs w:val="21"/>
                        </w:rPr>
                      </w:pPr>
                      <w:r>
                        <w:rPr>
                          <w:rFonts w:hint="eastAsia"/>
                          <w:b/>
                          <w:bCs/>
                          <w:color w:val="000000"/>
                          <w:sz w:val="21"/>
                          <w:szCs w:val="21"/>
                        </w:rPr>
                        <w:t>项目所在区域</w:t>
                      </w:r>
                    </w:p>
                  </w:txbxContent>
                </v:textbox>
              </v:shape>
            </w:pict>
          </mc:Fallback>
        </mc:AlternateContent>
      </w:r>
      <w:r>
        <w:rPr>
          <w:rFonts w:hint="default" w:ascii="Times New Roman" w:hAnsi="Times New Roman" w:eastAsia="宋体" w:cs="Times New Roman"/>
          <w:color w:val="auto"/>
          <w:sz w:val="24"/>
          <w:szCs w:val="24"/>
          <w:u w:val="none" w:color="auto"/>
        </w:rPr>
        <w:drawing>
          <wp:inline distT="0" distB="0" distL="114300" distR="114300">
            <wp:extent cx="5266055" cy="4192905"/>
            <wp:effectExtent l="9525" t="9525" r="20320" b="26670"/>
            <wp:docPr id="10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pic:cNvPicPr>
                      <a:picLocks noChangeAspect="1"/>
                    </pic:cNvPicPr>
                  </pic:nvPicPr>
                  <pic:blipFill>
                    <a:blip r:embed="rId47">
                      <a:lum contrast="17998"/>
                    </a:blip>
                    <a:srcRect b="3352"/>
                    <a:stretch>
                      <a:fillRect/>
                    </a:stretch>
                  </pic:blipFill>
                  <pic:spPr>
                    <a:xfrm>
                      <a:off x="0" y="0"/>
                      <a:ext cx="5266055" cy="4192905"/>
                    </a:xfrm>
                    <a:prstGeom prst="rect">
                      <a:avLst/>
                    </a:prstGeom>
                    <a:noFill/>
                    <a:ln>
                      <a:solidFill>
                        <a:schemeClr val="tx1"/>
                      </a:solidFill>
                    </a:ln>
                  </pic:spPr>
                </pic:pic>
              </a:graphicData>
            </a:graphic>
          </wp:inline>
        </w:drawing>
      </w:r>
    </w:p>
    <w:p w14:paraId="105083F2">
      <w:pPr>
        <w:pStyle w:val="61"/>
        <w:pageBreakBefore w:val="0"/>
        <w:numPr>
          <w:ilvl w:val="5"/>
          <w:numId w:val="0"/>
        </w:numPr>
        <w:kinsoku/>
        <w:wordWrap/>
        <w:overflowPunct/>
        <w:topLinePunct w:val="0"/>
        <w:bidi w:val="0"/>
        <w:spacing w:after="0" w:afterLines="0" w:line="360" w:lineRule="auto"/>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图4.5-8 </w:t>
      </w:r>
      <w:r>
        <w:rPr>
          <w:rFonts w:hint="default" w:ascii="Times New Roman" w:hAnsi="Times New Roman" w:eastAsia="宋体" w:cs="Times New Roman"/>
          <w:color w:val="auto"/>
          <w:sz w:val="24"/>
          <w:szCs w:val="24"/>
          <w:u w:val="none" w:color="auto"/>
        </w:rPr>
        <w:t>湘江评价河段产漂流性卵魚类产州场分布</w:t>
      </w:r>
    </w:p>
    <w:p w14:paraId="39B1BA1B">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从图上可知，其产卵场均不在本项目评价范围内，处在本项目的评价江段上游段，其距离产卵场均有一定的距离。湘江特有珍稀鱼类鳍鱼和餘鱼，为产漂流性卵鱼类，因此，本项目评价江段内没有产漂流性卵鱼类及其产卵场。</w:t>
      </w:r>
    </w:p>
    <w:p w14:paraId="5B7CBDAC">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经调查，有粘性卵鱼类产卵场11~13处，面积约100~150km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主要分布在君山后湖、大小飘尾、华容河外河两侧、藕池河入口附近；有浮性卵鱼类产卵场5处，主要分布在三江口，华容河外河河湖交界水域的大坝、二坝、三坝附近，藕池潭入口河湖交界水域。东洞庭湖粘性卵、浮性卵鱼类产卵场分布见图4.</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9</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lang w:val="en-US" w:eastAsia="zh-CN"/>
        </w:rPr>
        <w:t>评价</w:t>
      </w:r>
      <w:r>
        <w:rPr>
          <w:rFonts w:hint="default" w:ascii="Times New Roman" w:hAnsi="Times New Roman" w:eastAsia="宋体" w:cs="Times New Roman"/>
          <w:color w:val="auto"/>
          <w:sz w:val="24"/>
          <w:szCs w:val="24"/>
          <w:u w:val="none" w:color="auto"/>
          <w:lang w:eastAsia="zh-CN"/>
        </w:rPr>
        <w:t>区域</w:t>
      </w:r>
      <w:r>
        <w:rPr>
          <w:rFonts w:hint="default" w:ascii="Times New Roman" w:hAnsi="Times New Roman" w:eastAsia="宋体" w:cs="Times New Roman"/>
          <w:color w:val="auto"/>
          <w:sz w:val="24"/>
          <w:szCs w:val="24"/>
          <w:u w:val="none" w:color="auto"/>
        </w:rPr>
        <w:t>没有产黏性卵鱼类产卵场和浮性卵鱼类。</w:t>
      </w:r>
    </w:p>
    <w:p w14:paraId="4C0F0DBF">
      <w:pPr>
        <w:pageBreakBefore w:val="0"/>
        <w:kinsoku/>
        <w:wordWrap/>
        <w:overflowPunct/>
        <w:topLinePunct w:val="0"/>
        <w:bidi w:val="0"/>
        <w:spacing w:line="360" w:lineRule="auto"/>
        <w:ind w:firstLine="0" w:firstLineChars="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mc:AlternateContent>
          <mc:Choice Requires="wps">
            <w:drawing>
              <wp:anchor distT="0" distB="0" distL="114300" distR="114300" simplePos="0" relativeHeight="251670528" behindDoc="0" locked="0" layoutInCell="1" allowOverlap="1">
                <wp:simplePos x="0" y="0"/>
                <wp:positionH relativeFrom="column">
                  <wp:posOffset>3030855</wp:posOffset>
                </wp:positionH>
                <wp:positionV relativeFrom="paragraph">
                  <wp:posOffset>5443855</wp:posOffset>
                </wp:positionV>
                <wp:extent cx="1010920" cy="268605"/>
                <wp:effectExtent l="254000" t="217805" r="11430" b="8890"/>
                <wp:wrapNone/>
                <wp:docPr id="107" name="矩形标注 107"/>
                <wp:cNvGraphicFramePr/>
                <a:graphic xmlns:a="http://schemas.openxmlformats.org/drawingml/2006/main">
                  <a:graphicData uri="http://schemas.microsoft.com/office/word/2010/wordprocessingShape">
                    <wps:wsp>
                      <wps:cNvSpPr/>
                      <wps:spPr>
                        <a:xfrm>
                          <a:off x="0" y="0"/>
                          <a:ext cx="1010920" cy="268605"/>
                        </a:xfrm>
                        <a:prstGeom prst="wedgeRectCallout">
                          <a:avLst>
                            <a:gd name="adj1" fmla="val -71602"/>
                            <a:gd name="adj2" fmla="val -125171"/>
                          </a:avLst>
                        </a:prstGeom>
                        <a:noFill/>
                        <a:ln w="9525" cap="flat" cmpd="sng">
                          <a:solidFill>
                            <a:srgbClr val="C00000"/>
                          </a:solidFill>
                          <a:prstDash val="solid"/>
                          <a:miter/>
                          <a:headEnd type="none" w="med" len="med"/>
                          <a:tailEnd type="none" w="med" len="med"/>
                        </a:ln>
                      </wps:spPr>
                      <wps:txbx>
                        <w:txbxContent>
                          <w:p w14:paraId="2E93CD60">
                            <w:pPr>
                              <w:spacing w:line="240" w:lineRule="auto"/>
                              <w:ind w:firstLine="0" w:firstLineChars="0"/>
                              <w:rPr>
                                <w:b/>
                                <w:bCs/>
                                <w:color w:val="000000"/>
                                <w:sz w:val="21"/>
                                <w:szCs w:val="21"/>
                              </w:rPr>
                            </w:pPr>
                            <w:r>
                              <w:rPr>
                                <w:rFonts w:hint="eastAsia"/>
                                <w:b/>
                                <w:bCs/>
                                <w:color w:val="000000"/>
                                <w:sz w:val="21"/>
                                <w:szCs w:val="21"/>
                              </w:rPr>
                              <w:t>项目所在区域</w:t>
                            </w:r>
                          </w:p>
                        </w:txbxContent>
                      </wps:txbx>
                      <wps:bodyPr upright="1"/>
                    </wps:wsp>
                  </a:graphicData>
                </a:graphic>
              </wp:anchor>
            </w:drawing>
          </mc:Choice>
          <mc:Fallback>
            <w:pict>
              <v:shape id="_x0000_s1026" o:spid="_x0000_s1026" o:spt="61" type="#_x0000_t61" style="position:absolute;left:0pt;margin-left:238.65pt;margin-top:428.65pt;height:21.15pt;width:79.6pt;z-index:251670528;mso-width-relative:page;mso-height-relative:page;" filled="f" stroked="t" coordsize="21600,21600" o:gfxdata="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sZf5tkAAAALAQAADwAAAAAAAAABACAAAAAiAAAAZHJzL2Rvd25y&#10;ZXYueG1sUEsBAhQAFAAAAAgAh07iQEJ8x2E2AgAAagQAAA4AAAAAAAAAAQAgAAAAKAEAAGRycy9l&#10;Mm9Eb2MueG1sUEsFBgAAAAAGAAYAWQEAANAFAAAAAA==&#10;" adj="-4666,-16237">
                <v:fill on="f" focussize="0,0"/>
                <v:stroke color="#C00000" joinstyle="miter"/>
                <v:imagedata o:title=""/>
                <o:lock v:ext="edit" aspectratio="f"/>
                <v:textbox>
                  <w:txbxContent>
                    <w:p w14:paraId="2E93CD60">
                      <w:pPr>
                        <w:spacing w:line="240" w:lineRule="auto"/>
                        <w:ind w:firstLine="0" w:firstLineChars="0"/>
                        <w:rPr>
                          <w:b/>
                          <w:bCs/>
                          <w:color w:val="000000"/>
                          <w:sz w:val="21"/>
                          <w:szCs w:val="21"/>
                        </w:rPr>
                      </w:pPr>
                      <w:r>
                        <w:rPr>
                          <w:rFonts w:hint="eastAsia"/>
                          <w:b/>
                          <w:bCs/>
                          <w:color w:val="000000"/>
                          <w:sz w:val="21"/>
                          <w:szCs w:val="21"/>
                        </w:rPr>
                        <w:t>项目所在区域</w:t>
                      </w:r>
                    </w:p>
                  </w:txbxContent>
                </v:textbox>
              </v:shape>
            </w:pict>
          </mc:Fallback>
        </mc:AlternateContent>
      </w:r>
      <w:r>
        <w:rPr>
          <w:rFonts w:hint="default" w:ascii="Times New Roman" w:hAnsi="Times New Roman" w:eastAsia="宋体" w:cs="Times New Roman"/>
          <w:color w:val="auto"/>
          <w:sz w:val="24"/>
          <w:szCs w:val="24"/>
          <w:u w:val="none" w:color="auto"/>
        </w:rPr>
        <w:drawing>
          <wp:inline distT="0" distB="0" distL="114300" distR="114300">
            <wp:extent cx="5163820" cy="6647815"/>
            <wp:effectExtent l="0" t="0" r="17780" b="635"/>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48"/>
                    <a:srcRect l="1012" t="1431" r="1157" b="3845"/>
                    <a:stretch>
                      <a:fillRect/>
                    </a:stretch>
                  </pic:blipFill>
                  <pic:spPr>
                    <a:xfrm>
                      <a:off x="0" y="0"/>
                      <a:ext cx="5163820" cy="6647815"/>
                    </a:xfrm>
                    <a:prstGeom prst="rect">
                      <a:avLst/>
                    </a:prstGeom>
                    <a:noFill/>
                    <a:ln>
                      <a:noFill/>
                    </a:ln>
                  </pic:spPr>
                </pic:pic>
              </a:graphicData>
            </a:graphic>
          </wp:inline>
        </w:drawing>
      </w:r>
    </w:p>
    <w:p w14:paraId="14A1272B">
      <w:pPr>
        <w:pStyle w:val="61"/>
        <w:pageBreakBefore w:val="0"/>
        <w:numPr>
          <w:ilvl w:val="5"/>
          <w:numId w:val="0"/>
        </w:numPr>
        <w:kinsoku/>
        <w:wordWrap/>
        <w:overflowPunct/>
        <w:topLinePunct w:val="0"/>
        <w:bidi w:val="0"/>
        <w:spacing w:after="0" w:afterLines="0" w:line="360" w:lineRule="auto"/>
        <w:jc w:val="center"/>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图4.5-9 </w:t>
      </w:r>
      <w:r>
        <w:rPr>
          <w:rFonts w:hint="default" w:ascii="Times New Roman" w:hAnsi="Times New Roman" w:eastAsia="宋体" w:cs="Times New Roman"/>
          <w:color w:val="auto"/>
          <w:sz w:val="24"/>
          <w:szCs w:val="24"/>
          <w:u w:val="none" w:color="auto"/>
        </w:rPr>
        <w:t>东洞庭湖主要经济鱼类粘性卵浮性卵鱼类产卵场及铜鱼索饵场分布图</w:t>
      </w:r>
    </w:p>
    <w:p w14:paraId="39668DBD">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rPr>
        <w:t>索饵场</w:t>
      </w:r>
    </w:p>
    <w:p w14:paraId="737B343E">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鱼类索饵场主要在浅水河湾或边滩。鱼卵孵化后多在洲滩附近的饵料资源丰富的浅滩觅食、索饵，鲴类等刮食性鱼类也会在浅水区域的块石上刮食着生藻类。工程所在水域以及邻近水域区域是鱼类的饵料场。</w:t>
      </w:r>
    </w:p>
    <w:p w14:paraId="2AE91728">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rPr>
        <w:t>越冬场</w:t>
      </w:r>
    </w:p>
    <w:p w14:paraId="3D415607">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洞庭湘江洪道水面宽广，水体较深，有大型的鱼类越冬场两个，主要集中在东洞庭湖湘江洪道和城陵矶水域，主要越冬种类有青鱼、草鱼、鲢、鳙、鲤、鲫、鳊、鲂、大口鲇等主要经济鱼类，及鲌类、鳜、铜鱼等名优鱼类，整个东洞庭湖水域、城陵矶水域为传统渔场。距离本工程区最近的越冬场为下游20km处的湘江洪道磊石村附近，该水域深沟、深潭众多，为鱼类提供了天然的越冬场所，主要越冬鱼类为青鱼、草鱼、鲢、鳙、鲤、鲫、翘嘴鲌、鮎、乌鳢、黄颡鱼等经济鱼类。</w:t>
      </w:r>
    </w:p>
    <w:p w14:paraId="5911DF9E">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洄游通道</w:t>
      </w:r>
    </w:p>
    <w:p w14:paraId="6CC6CD67">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湘江洪道，东洞庭湖自荷叶湖磊石山口、新墙河口，一直到城陵矶三江口，再沿长江向上、向下均为鱼类、江豚等水生动物洄游通道，主要洄游物种为“四大家鱼”等江河半洄游性鱼类，刀鲚、中华鲟、大银鱼等江海洄游性鱼类，江豚等水生野生动物迁移洄游通道。</w:t>
      </w:r>
    </w:p>
    <w:p w14:paraId="5A58E482">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本项目区域不在鱼类洄游通道、产卵场及铜鱼索饵场。</w:t>
      </w:r>
    </w:p>
    <w:p w14:paraId="56052522">
      <w:pPr>
        <w:pageBreakBefore w:val="0"/>
        <w:kinsoku/>
        <w:wordWrap/>
        <w:overflowPunct/>
        <w:topLinePunct w:val="0"/>
        <w:bidi w:val="0"/>
        <w:spacing w:before="0" w:after="0" w:line="360" w:lineRule="auto"/>
        <w:outlineLvl w:val="9"/>
        <w:rPr>
          <w:rFonts w:hint="default" w:ascii="Times New Roman" w:hAnsi="Times New Roman" w:eastAsia="宋体" w:cs="Times New Roman"/>
          <w:color w:val="auto"/>
          <w:sz w:val="24"/>
          <w:szCs w:val="24"/>
        </w:rPr>
      </w:pPr>
      <w:bookmarkStart w:id="622" w:name="_Toc25176"/>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bookmarkEnd w:id="622"/>
      <w:r>
        <w:rPr>
          <w:rFonts w:hint="default" w:ascii="Times New Roman" w:hAnsi="Times New Roman" w:eastAsia="宋体" w:cs="Times New Roman"/>
          <w:color w:val="auto"/>
          <w:sz w:val="24"/>
          <w:szCs w:val="24"/>
          <w:lang w:val="en-US" w:eastAsia="zh-CN"/>
        </w:rPr>
        <w:t>江豚资源现状分布及变化</w:t>
      </w:r>
    </w:p>
    <w:p w14:paraId="6BAB1BB4">
      <w:pPr>
        <w:pageBreakBefore w:val="0"/>
        <w:kinsoku/>
        <w:wordWrap/>
        <w:overflowPunct/>
        <w:topLinePunct w:val="0"/>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1、以往监测资料</w:t>
      </w:r>
    </w:p>
    <w:p w14:paraId="2934DF48">
      <w:pPr>
        <w:pageBreakBefore w:val="0"/>
        <w:kinsoku/>
        <w:wordWrap/>
        <w:overflowPunct/>
        <w:topLinePunct w:val="0"/>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①2022年2月23~27日江豚监测</w:t>
      </w:r>
    </w:p>
    <w:p w14:paraId="40710FC6">
      <w:pPr>
        <w:pageBreakBefore w:val="0"/>
        <w:kinsoku/>
        <w:wordWrap/>
        <w:overflowPunct/>
        <w:topLinePunct w:val="0"/>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2022年2月23~27日对东洞庭湖（湘阴至城陵矶段）和长江湖 南段（华龙码头至荆岳大桥段）开展了4天长江江豚调查，共计行程320 km。往返共计观测到长江江豚51群次，128头次，最大群有10头，位于扁山水域。本次考察上行段（城陵矶至湘阴）共目击到长江江豚34群次，69头次；下行段（湘阴至岳阳）共目击到长江江豚30群次，45头次；长江段目击到长江江豚5群次，14头次；共目击到幼豚22头次，占总目击头次的17.2%。</w:t>
      </w:r>
    </w:p>
    <w:p w14:paraId="3DD04458">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主要分布区域：长江江豚主要分布在扁山至上游2km水域，煤炭湾至鹿角水域，鲶鱼口至漉湖水域，横岭湖新化沟水域。</w:t>
      </w:r>
    </w:p>
    <w:p w14:paraId="2439748A">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color w:val="auto"/>
          <w:sz w:val="24"/>
          <w:szCs w:val="24"/>
        </w:rPr>
      </w:pPr>
      <w:r>
        <w:rPr>
          <w:color w:val="auto"/>
          <w:position w:val="-100"/>
        </w:rPr>
        <w:drawing>
          <wp:inline distT="0" distB="0" distL="0" distR="0">
            <wp:extent cx="4677410" cy="2833370"/>
            <wp:effectExtent l="0" t="0" r="8890" b="5080"/>
            <wp:docPr id="29" name="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 64"/>
                    <pic:cNvPicPr>
                      <a:picLocks noChangeAspect="1"/>
                    </pic:cNvPicPr>
                  </pic:nvPicPr>
                  <pic:blipFill>
                    <a:blip r:embed="rId49"/>
                    <a:stretch>
                      <a:fillRect/>
                    </a:stretch>
                  </pic:blipFill>
                  <pic:spPr>
                    <a:xfrm>
                      <a:off x="0" y="0"/>
                      <a:ext cx="4677410" cy="2833370"/>
                    </a:xfrm>
                    <a:prstGeom prst="rect">
                      <a:avLst/>
                    </a:prstGeom>
                  </pic:spPr>
                </pic:pic>
              </a:graphicData>
            </a:graphic>
          </wp:inline>
        </w:drawing>
      </w:r>
    </w:p>
    <w:p w14:paraId="375BE1C7">
      <w:pPr>
        <w:pStyle w:val="61"/>
        <w:keepNext w:val="0"/>
        <w:keepLines w:val="0"/>
        <w:pageBreakBefore w:val="0"/>
        <w:widowControl w:val="0"/>
        <w:numPr>
          <w:ilvl w:val="5"/>
          <w:numId w:val="0"/>
        </w:numPr>
        <w:kinsoku/>
        <w:wordWrap/>
        <w:overflowPunct/>
        <w:topLinePunct w:val="0"/>
        <w:autoSpaceDE/>
        <w:autoSpaceDN/>
        <w:bidi w:val="0"/>
        <w:adjustRightInd/>
        <w:snapToGrid/>
        <w:spacing w:after="0" w:afterLines="0"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图4.5-10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2022年2月洞庭湖及长江湖南段江豚分布</w:t>
      </w:r>
    </w:p>
    <w:p w14:paraId="479A78DA">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hint="default" w:ascii="Times New Roman" w:hAnsi="Times New Roman" w:eastAsia="宋体" w:cs="Times New Roman"/>
          <w:color w:val="auto"/>
          <w:sz w:val="24"/>
          <w:szCs w:val="24"/>
        </w:rPr>
        <w:t>2022年8月23~25日江豚监测</w:t>
      </w:r>
    </w:p>
    <w:p w14:paraId="6535DF27">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2022年8月23~25日对东洞庭湖（湘阴至城陵矶段）和长江湖南段（华龙码头至荆岳大桥段）开展了3天长江江豚调查，共计行程320 km。往返共计观测到长江江豚53群次，96头次，最大群有6头，位于磊石山至营田镇之间水域。本次考察上行段（城陵矶至湘阴）共目击到长江江豚32群次，48头次；下行段（湘阴至岳阳）共目击到长江江豚16群次，34头次；长江段目击到长江江豚5群次，14头次；共目击到幼豚22头次，占22.9%。相比于2022年2月份考察，本次考察观测到的江豚以单个体占比例较大，超过了50%，幼豚占比略有增加；未发现有死亡长江江豚。本次调查时期为洞庭湖历史罕见同的高温干旱，8月23日城陵矶水位22.58m，较同期平水位降低了近6m，长江江豚的生存空间被压缩，增加了航运对其影响程度，特别是对幼豚的威胁。</w:t>
      </w:r>
    </w:p>
    <w:p w14:paraId="7B0100A1">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分布区域：城陵矶三江口，自2019年9月起长期相对稳定种群栖息与此；扁山上1km至煤炭湾水域，长江江豚相对集中；鹿角至鲶鱼口水域，历史和当前长江江豚相对集中的区域；鲶鱼口至漉湖，挖沙导致草尾河与湘江洪道汇合后形成面积很大河口汇流区，是长江江豚比较集中的区域。新化沟水域，长期活动一个10头左右的长江江豚群体。</w:t>
      </w:r>
    </w:p>
    <w:p w14:paraId="5B6C09FD">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hint="default" w:ascii="Times New Roman" w:hAnsi="Times New Roman" w:eastAsia="宋体" w:cs="Times New Roman"/>
          <w:color w:val="auto"/>
          <w:sz w:val="24"/>
          <w:szCs w:val="24"/>
        </w:rPr>
        <w:t>2022年9月长江及洞庭湖、鄱阳湖长江江豚同步考察</w:t>
      </w:r>
    </w:p>
    <w:p w14:paraId="6274BAB8">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2022年9月长江及洞庭湖、鄱阳湖农业农村部长江流域渔政监督管理办公室在长江、洞庭湖、鄱阳湖统一组织对长江江豚进行了考察，并于11月22日发布了现有长江江豚数量。根据农业农村部长 江流域渔政监督管理办公室统一部署，2022年9月28~29日对洞庭湖长江江豚进行两次重复科学考察情况如下：</w:t>
      </w:r>
    </w:p>
    <w:p w14:paraId="533E9565">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9月28日，往返共目击到长江江豚158头次，其中上行目击到82头次，下行目击到76头次，最大群体10头；主要分布在扁山至煤炭湾至鹿角水域，湘阴濠河口至湘江长沙综合枢纽坝下水域未发现长江江豚。</w:t>
      </w:r>
    </w:p>
    <w:p w14:paraId="58D2218D">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9月29日，往返共目击到长江江豚320头次，其中上行149头次，下行目击到171头次，最大群体38头，主要分布区域扁山至煤炭湾至鹿角水域、鲶鱼口至漉湖水域和新化沟至青潭乡水域。</w:t>
      </w:r>
    </w:p>
    <w:p w14:paraId="7AD91793">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2022年11月22日，长江办组织相关单位对2022年全流域长江江豚科学考察结果进行了交流总结，发布洞庭湖长江江豚种群数量为162头，较2017年发布的洞庭湖江豚110头，增加52头，增加47.3%，洞庭湖江豚增长明显。</w:t>
      </w:r>
    </w:p>
    <w:p w14:paraId="61A24E80">
      <w:pPr>
        <w:pageBreakBefore w:val="0"/>
        <w:kinsoku/>
        <w:wordWrap/>
        <w:overflowPunct/>
        <w:topLinePunct w:val="0"/>
        <w:bidi w:val="0"/>
        <w:spacing w:line="360" w:lineRule="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2、江豚分布及栖息习性</w:t>
      </w:r>
    </w:p>
    <w:p w14:paraId="4EBB9A5F">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hint="default" w:ascii="Times New Roman" w:hAnsi="Times New Roman" w:eastAsia="宋体" w:cs="Times New Roman"/>
          <w:color w:val="auto"/>
          <w:sz w:val="24"/>
          <w:szCs w:val="24"/>
        </w:rPr>
        <w:t>洞庭湖江豚的分布</w:t>
      </w:r>
    </w:p>
    <w:p w14:paraId="3355E5BF">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经监测，在空间分布上洞庭湖长江江豚在湘江营田镇以下至洞庭湖大桥之间呈现连续分布，横岭湖也成为江豚集中分布区，鹿角至鲶鱼口水域江豚分布密度最高。在湘江下游望城2021~2023年也发现有江豚出现</w:t>
      </w:r>
      <w:r>
        <w:rPr>
          <w:rFonts w:hint="eastAsia" w:cs="Times New Roman"/>
          <w:color w:val="auto"/>
          <w:sz w:val="24"/>
          <w:szCs w:val="24"/>
          <w:lang w:eastAsia="zh-CN"/>
        </w:rPr>
        <w:t>。</w:t>
      </w:r>
    </w:p>
    <w:p w14:paraId="7336CF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rPr>
      </w:pPr>
      <w:r>
        <w:rPr>
          <w:color w:val="auto"/>
          <w:position w:val="-135"/>
        </w:rPr>
        <w:drawing>
          <wp:inline distT="0" distB="0" distL="0" distR="0">
            <wp:extent cx="4387215" cy="3571240"/>
            <wp:effectExtent l="0" t="0" r="13335" b="10160"/>
            <wp:docPr id="31" name="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 66"/>
                    <pic:cNvPicPr>
                      <a:picLocks noChangeAspect="1"/>
                    </pic:cNvPicPr>
                  </pic:nvPicPr>
                  <pic:blipFill>
                    <a:blip r:embed="rId50"/>
                    <a:stretch>
                      <a:fillRect/>
                    </a:stretch>
                  </pic:blipFill>
                  <pic:spPr>
                    <a:xfrm>
                      <a:off x="0" y="0"/>
                      <a:ext cx="4387215" cy="3571240"/>
                    </a:xfrm>
                    <a:prstGeom prst="rect">
                      <a:avLst/>
                    </a:prstGeom>
                  </pic:spPr>
                </pic:pic>
              </a:graphicData>
            </a:graphic>
          </wp:inline>
        </w:drawing>
      </w:r>
    </w:p>
    <w:p w14:paraId="16FAE0FD">
      <w:pPr>
        <w:pStyle w:val="61"/>
        <w:keepNext w:val="0"/>
        <w:keepLines w:val="0"/>
        <w:pageBreakBefore w:val="0"/>
        <w:widowControl w:val="0"/>
        <w:numPr>
          <w:ilvl w:val="5"/>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图4.5-11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2022年8月洞庭湖及长江湖南段江豚分布</w:t>
      </w:r>
    </w:p>
    <w:p w14:paraId="57CC4AF6">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②洞庭湖江豚主要栖息水域</w:t>
      </w:r>
    </w:p>
    <w:p w14:paraId="762F613C">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江豚活动范围较大，不同季节可能在不同江段、湖泊的不同区域或者长江干支流间迁移洄游。根据有关江豚研究及本单位江豚专项调查，保护区江豚重要栖息地主要分布在东洞庭湖扁山</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鲶鱼口敞水区，占监测发现头次的93.18%；南岳坡</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扁山上共发现6头次，占发现头次的4.55%；磊石山</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鲶鱼口江段仅发现3头次，仅占发现头次的2.27%；湘江洪道磊石山上游江段江豚出现较少。</w:t>
      </w:r>
    </w:p>
    <w:p w14:paraId="6372BF6C">
      <w:pPr>
        <w:pageBreakBefore w:val="0"/>
        <w:kinsoku/>
        <w:wordWrap/>
        <w:overflowPunct/>
        <w:topLinePunct w:val="0"/>
        <w:bidi w:val="0"/>
        <w:spacing w:line="360" w:lineRule="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3、江豚重要栖息地</w:t>
      </w:r>
    </w:p>
    <w:p w14:paraId="7F38475D">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豚属水生哺乳类动物，其分布具有集群习性。魏卓等对江豚集群行为观测表明，江豚以3头构成的群体出现频率最高也最为稳定，其次为2头、5头、6头和8头组成，较大群体行为较少出现。郝玉江等认为，野外江豚社群结构常常现场2～3头的基本单元，一般由一母一仔、一母一幼或一雌一雄构成。江豚的主要交配季节可能主要发生在3～6月份，可能的主要分娩时间为3～5月份，江豚哺乳期的研究并不多，普遍认为可能为0.5龄。于道平认为流态稳定的浅水沙洲是江豚交配和抚育的水域。</w:t>
      </w:r>
    </w:p>
    <w:p w14:paraId="7ED7C1B0">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张先锋等通过大量野外观察后认为，长江江豚在支流及湖泊与长江的汇合处、弯曲河段、江心洲头尾出没的频率较高，其栖息环 境多具有以下特性：支流河口、湖口与长江交汇处或洲滩附近，河道常弯曲；水流速度相对缓慢，一般0.3～0.5m/s；多存在两股以上的不同流速、不同流向的水流，从而形成洄水区和夹堰区；水深3~30m，河床坡度平缓；底质为淤泥，有机质丰富，水质浮游生物量较大；常见大群小型鱼类；沿岸植物茂盛。同时，江豚分布具有趋岸性，周开亚在观察南京－湖口江段江豚分布时发现，在离岸500m的范围内，江豚出现率占88.8%。</w:t>
      </w:r>
    </w:p>
    <w:p w14:paraId="3003C89A">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长江江豚的食物主要为小型鱼类。江豚捕鱼分个体捕鱼和群体捕鱼两种方式。个体捕鱼一般在近岸的浅水区（水深3m左右），江豚身体出水急促，潜水时头部猛然扎入水中，激起涌浪，潜水时间相对较长，出水后又会在附近水域重复这种行为；群体捕鱼时，一般3～5头江豚汇合形成不规则的半弧形，从不同方向猛然扎入水中，激起涌浪。江豚摄食特别是群体摄食时对干扰反应较为迟钝。</w:t>
      </w:r>
    </w:p>
    <w:p w14:paraId="7BC7500F">
      <w:pPr>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江豚活动范围较大，不同季节可能在不同江段、湖泊的不同区域或者长江干支流间迁移洄游。根据有关江豚研究及本单位江豚专 项调查，保护区江豚重要栖息地主要分布在东洞庭湖扁山</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鲶鱼口敞水区，占监测发现头次的93.18%；南岳坡</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扁山上共发现6头次，占发现头次的4.55%；磊石山</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鲶鱼口江段仅发现3头次，仅占发现头次的2.27%；南岳坡下游到城陵矶三江口段，以及磊石山上游江段未发现。</w:t>
      </w:r>
      <w:r>
        <w:rPr>
          <w:rFonts w:hint="default" w:ascii="Times New Roman" w:hAnsi="Times New Roman" w:eastAsia="宋体" w:cs="Times New Roman"/>
          <w:color w:val="auto"/>
          <w:u w:val="none" w:color="auto"/>
        </w:rPr>
        <w:t>访问调查在鹿角镇杨庙村进行</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通过洞庭湖沿岸居民和渔民进行访问</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了解到长江江豚在鹿角镇杨庙村段未发现过长江江豚</w:t>
      </w:r>
      <w:r>
        <w:rPr>
          <w:rFonts w:hint="default" w:ascii="Times New Roman" w:hAnsi="Times New Roman" w:eastAsia="宋体" w:cs="Times New Roman"/>
          <w:color w:val="auto"/>
          <w:u w:val="none" w:color="auto"/>
          <w:lang w:eastAsia="zh-CN"/>
        </w:rPr>
        <w:t>。</w:t>
      </w:r>
    </w:p>
    <w:p w14:paraId="32298136">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23" w:name="_Toc23358"/>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水生植物</w:t>
      </w:r>
      <w:bookmarkEnd w:id="623"/>
    </w:p>
    <w:p w14:paraId="043E8FE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调查区域内</w:t>
      </w:r>
      <w:r>
        <w:rPr>
          <w:rFonts w:hint="default" w:ascii="Times New Roman" w:hAnsi="Times New Roman" w:eastAsia="宋体" w:cs="Times New Roman"/>
          <w:color w:val="auto"/>
          <w:sz w:val="24"/>
          <w:szCs w:val="24"/>
          <w:u w:val="none" w:color="auto"/>
        </w:rPr>
        <w:t>调查到有68种大型水生植物，分属于17科26属，其中：眼子菜科（</w:t>
      </w:r>
      <w:r>
        <w:rPr>
          <w:rFonts w:hint="default" w:ascii="Times New Roman" w:hAnsi="Times New Roman" w:eastAsia="宋体" w:cs="Times New Roman"/>
          <w:i/>
          <w:iCs/>
          <w:color w:val="auto"/>
          <w:sz w:val="24"/>
          <w:szCs w:val="24"/>
          <w:u w:val="none" w:color="auto"/>
        </w:rPr>
        <w:t>Potamogetonaceae</w:t>
      </w:r>
      <w:r>
        <w:rPr>
          <w:rFonts w:hint="default" w:ascii="Times New Roman" w:hAnsi="Times New Roman" w:eastAsia="宋体" w:cs="Times New Roman"/>
          <w:color w:val="auto"/>
          <w:sz w:val="24"/>
          <w:szCs w:val="24"/>
          <w:u w:val="none" w:color="auto"/>
        </w:rPr>
        <w:t>）有15种，小二仙草科（</w:t>
      </w:r>
      <w:r>
        <w:rPr>
          <w:rFonts w:hint="default" w:ascii="Times New Roman" w:hAnsi="Times New Roman" w:eastAsia="宋体" w:cs="Times New Roman"/>
          <w:i/>
          <w:iCs/>
          <w:color w:val="auto"/>
          <w:sz w:val="24"/>
          <w:szCs w:val="24"/>
          <w:u w:val="none" w:color="auto"/>
        </w:rPr>
        <w:t>Haloragidaceae</w:t>
      </w:r>
      <w:r>
        <w:rPr>
          <w:rFonts w:hint="default" w:ascii="Times New Roman" w:hAnsi="Times New Roman" w:eastAsia="宋体" w:cs="Times New Roman"/>
          <w:color w:val="auto"/>
          <w:sz w:val="24"/>
          <w:szCs w:val="24"/>
          <w:u w:val="none" w:color="auto"/>
        </w:rPr>
        <w:t>）的狐尾藻属4种，金鱼藻科（</w:t>
      </w:r>
      <w:r>
        <w:rPr>
          <w:rFonts w:hint="default" w:ascii="Times New Roman" w:hAnsi="Times New Roman" w:eastAsia="宋体" w:cs="Times New Roman"/>
          <w:i/>
          <w:iCs/>
          <w:color w:val="auto"/>
          <w:sz w:val="24"/>
          <w:szCs w:val="24"/>
          <w:u w:val="none" w:color="auto"/>
        </w:rPr>
        <w:t>Ceratophyllaceae</w:t>
      </w:r>
      <w:r>
        <w:rPr>
          <w:rFonts w:hint="default" w:ascii="Times New Roman" w:hAnsi="Times New Roman" w:eastAsia="宋体" w:cs="Times New Roman"/>
          <w:color w:val="auto"/>
          <w:sz w:val="24"/>
          <w:szCs w:val="24"/>
          <w:u w:val="none" w:color="auto"/>
        </w:rPr>
        <w:t>）的金鱼藻属2种，茨藻科（</w:t>
      </w:r>
      <w:r>
        <w:rPr>
          <w:rFonts w:hint="default" w:ascii="Times New Roman" w:hAnsi="Times New Roman" w:eastAsia="宋体" w:cs="Times New Roman"/>
          <w:i/>
          <w:iCs/>
          <w:color w:val="auto"/>
          <w:sz w:val="24"/>
          <w:szCs w:val="24"/>
          <w:u w:val="none" w:color="auto"/>
        </w:rPr>
        <w:t>Najadaceae</w:t>
      </w:r>
      <w:r>
        <w:rPr>
          <w:rFonts w:hint="default" w:ascii="Times New Roman" w:hAnsi="Times New Roman" w:eastAsia="宋体" w:cs="Times New Roman"/>
          <w:color w:val="auto"/>
          <w:sz w:val="24"/>
          <w:szCs w:val="24"/>
          <w:u w:val="none" w:color="auto"/>
        </w:rPr>
        <w:t>）的茨藻属2种，水鳖科（</w:t>
      </w:r>
      <w:r>
        <w:rPr>
          <w:rFonts w:hint="default" w:ascii="Times New Roman" w:hAnsi="Times New Roman" w:eastAsia="宋体" w:cs="Times New Roman"/>
          <w:i/>
          <w:iCs/>
          <w:color w:val="auto"/>
          <w:sz w:val="24"/>
          <w:szCs w:val="24"/>
          <w:u w:val="none" w:color="auto"/>
        </w:rPr>
        <w:t>Hydrocharitacea</w:t>
      </w:r>
      <w:r>
        <w:rPr>
          <w:rFonts w:hint="default" w:ascii="Times New Roman" w:hAnsi="Times New Roman" w:eastAsia="宋体" w:cs="Times New Roman"/>
          <w:color w:val="auto"/>
          <w:sz w:val="24"/>
          <w:szCs w:val="24"/>
          <w:u w:val="none" w:color="auto"/>
        </w:rPr>
        <w:t>）的黑藻属1种、苦草属种、水车前属3种、水鳖属1种、水筛属1种，睡莲科（</w:t>
      </w:r>
      <w:r>
        <w:rPr>
          <w:rFonts w:hint="default" w:ascii="Times New Roman" w:hAnsi="Times New Roman" w:eastAsia="宋体" w:cs="Times New Roman"/>
          <w:i/>
          <w:iCs/>
          <w:color w:val="auto"/>
          <w:sz w:val="24"/>
          <w:szCs w:val="24"/>
          <w:u w:val="none" w:color="auto"/>
        </w:rPr>
        <w:t>Nymphaeaceae</w:t>
      </w:r>
      <w:r>
        <w:rPr>
          <w:rFonts w:hint="default" w:ascii="Times New Roman" w:hAnsi="Times New Roman" w:eastAsia="宋体" w:cs="Times New Roman"/>
          <w:color w:val="auto"/>
          <w:sz w:val="24"/>
          <w:szCs w:val="24"/>
          <w:u w:val="none" w:color="auto"/>
        </w:rPr>
        <w:t>）凤眼莲属5种，浮萍科（</w:t>
      </w:r>
      <w:r>
        <w:rPr>
          <w:rFonts w:hint="default" w:ascii="Times New Roman" w:hAnsi="Times New Roman" w:eastAsia="宋体" w:cs="Times New Roman"/>
          <w:i/>
          <w:iCs/>
          <w:color w:val="auto"/>
          <w:sz w:val="24"/>
          <w:szCs w:val="24"/>
          <w:u w:val="none" w:color="auto"/>
        </w:rPr>
        <w:t>Lemnaceae</w:t>
      </w:r>
      <w:r>
        <w:rPr>
          <w:rFonts w:hint="default" w:ascii="Times New Roman" w:hAnsi="Times New Roman" w:eastAsia="宋体" w:cs="Times New Roman"/>
          <w:color w:val="auto"/>
          <w:sz w:val="24"/>
          <w:szCs w:val="24"/>
          <w:u w:val="none" w:color="auto"/>
        </w:rPr>
        <w:t>）的芜萍属1种，天南星科（</w:t>
      </w:r>
      <w:r>
        <w:rPr>
          <w:rFonts w:hint="default" w:ascii="Times New Roman" w:hAnsi="Times New Roman" w:eastAsia="宋体" w:cs="Times New Roman"/>
          <w:i/>
          <w:iCs/>
          <w:color w:val="auto"/>
          <w:sz w:val="24"/>
          <w:szCs w:val="24"/>
          <w:u w:val="none" w:color="auto"/>
        </w:rPr>
        <w:t>Araceae</w:t>
      </w:r>
      <w:r>
        <w:rPr>
          <w:rFonts w:hint="default" w:ascii="Times New Roman" w:hAnsi="Times New Roman" w:eastAsia="宋体" w:cs="Times New Roman"/>
          <w:color w:val="auto"/>
          <w:sz w:val="24"/>
          <w:szCs w:val="24"/>
          <w:u w:val="none" w:color="auto"/>
        </w:rPr>
        <w:t>）的菖蒲属4种、水芋属1种，千屈菜科（</w:t>
      </w:r>
      <w:r>
        <w:rPr>
          <w:rFonts w:hint="default" w:ascii="Times New Roman" w:hAnsi="Times New Roman" w:eastAsia="宋体" w:cs="Times New Roman"/>
          <w:i/>
          <w:iCs/>
          <w:color w:val="auto"/>
          <w:sz w:val="24"/>
          <w:szCs w:val="24"/>
          <w:u w:val="none" w:color="auto"/>
        </w:rPr>
        <w:t>Lythraceae</w:t>
      </w:r>
      <w:r>
        <w:rPr>
          <w:rFonts w:hint="default" w:ascii="Times New Roman" w:hAnsi="Times New Roman" w:eastAsia="宋体" w:cs="Times New Roman"/>
          <w:color w:val="auto"/>
          <w:sz w:val="24"/>
          <w:szCs w:val="24"/>
          <w:u w:val="none" w:color="auto"/>
        </w:rPr>
        <w:t>）的千屈菜属1种、禾本科（</w:t>
      </w:r>
      <w:r>
        <w:rPr>
          <w:rFonts w:hint="default" w:ascii="Times New Roman" w:hAnsi="Times New Roman" w:eastAsia="宋体" w:cs="Times New Roman"/>
          <w:i/>
          <w:iCs/>
          <w:color w:val="auto"/>
          <w:sz w:val="24"/>
          <w:szCs w:val="24"/>
          <w:u w:val="none" w:color="auto"/>
        </w:rPr>
        <w:t>Poaceae</w:t>
      </w:r>
      <w:r>
        <w:rPr>
          <w:rFonts w:hint="default" w:ascii="Times New Roman" w:hAnsi="Times New Roman" w:eastAsia="宋体" w:cs="Times New Roman"/>
          <w:color w:val="auto"/>
          <w:sz w:val="24"/>
          <w:szCs w:val="24"/>
          <w:u w:val="none" w:color="auto"/>
        </w:rPr>
        <w:t>）的芦竹属2种、稗属1种，莎草科（</w:t>
      </w:r>
      <w:r>
        <w:rPr>
          <w:rFonts w:hint="default" w:ascii="Times New Roman" w:hAnsi="Times New Roman" w:eastAsia="宋体" w:cs="Times New Roman"/>
          <w:i/>
          <w:iCs/>
          <w:color w:val="auto"/>
          <w:sz w:val="24"/>
          <w:szCs w:val="24"/>
          <w:u w:val="none" w:color="auto"/>
        </w:rPr>
        <w:t>Cyperaceae</w:t>
      </w:r>
      <w:r>
        <w:rPr>
          <w:rFonts w:hint="default" w:ascii="Times New Roman" w:hAnsi="Times New Roman" w:eastAsia="宋体" w:cs="Times New Roman"/>
          <w:color w:val="auto"/>
          <w:sz w:val="24"/>
          <w:szCs w:val="24"/>
          <w:u w:val="none" w:color="auto"/>
        </w:rPr>
        <w:t>）的藨草属13种，蓼科（</w:t>
      </w:r>
      <w:r>
        <w:rPr>
          <w:rFonts w:hint="default" w:ascii="Times New Roman" w:hAnsi="Times New Roman" w:eastAsia="宋体" w:cs="Times New Roman"/>
          <w:i/>
          <w:iCs/>
          <w:color w:val="auto"/>
          <w:sz w:val="24"/>
          <w:szCs w:val="24"/>
          <w:u w:val="none" w:color="auto"/>
        </w:rPr>
        <w:t>Polygonacea</w:t>
      </w:r>
      <w:r>
        <w:rPr>
          <w:rFonts w:hint="default" w:ascii="Times New Roman" w:hAnsi="Times New Roman" w:eastAsia="宋体" w:cs="Times New Roman"/>
          <w:color w:val="auto"/>
          <w:sz w:val="24"/>
          <w:szCs w:val="24"/>
          <w:u w:val="none" w:color="auto"/>
        </w:rPr>
        <w:t>）的蓼属2种，雨久花科（</w:t>
      </w:r>
      <w:r>
        <w:rPr>
          <w:rFonts w:hint="default" w:ascii="Times New Roman" w:hAnsi="Times New Roman" w:eastAsia="宋体" w:cs="Times New Roman"/>
          <w:i/>
          <w:iCs/>
          <w:color w:val="auto"/>
          <w:sz w:val="24"/>
          <w:szCs w:val="24"/>
          <w:u w:val="none" w:color="auto"/>
        </w:rPr>
        <w:t>Pontederiaceae</w:t>
      </w:r>
      <w:r>
        <w:rPr>
          <w:rFonts w:hint="default" w:ascii="Times New Roman" w:hAnsi="Times New Roman" w:eastAsia="宋体" w:cs="Times New Roman"/>
          <w:color w:val="auto"/>
          <w:sz w:val="24"/>
          <w:szCs w:val="24"/>
          <w:u w:val="none" w:color="auto"/>
        </w:rPr>
        <w:t>）1种，灯心草科（</w:t>
      </w:r>
      <w:r>
        <w:rPr>
          <w:rFonts w:hint="default" w:ascii="Times New Roman" w:hAnsi="Times New Roman" w:eastAsia="宋体" w:cs="Times New Roman"/>
          <w:i/>
          <w:iCs/>
          <w:color w:val="auto"/>
          <w:sz w:val="24"/>
          <w:szCs w:val="24"/>
          <w:u w:val="none" w:color="auto"/>
        </w:rPr>
        <w:t>Juncaceae</w:t>
      </w:r>
      <w:r>
        <w:rPr>
          <w:rFonts w:hint="default" w:ascii="Times New Roman" w:hAnsi="Times New Roman" w:eastAsia="宋体" w:cs="Times New Roman"/>
          <w:color w:val="auto"/>
          <w:sz w:val="24"/>
          <w:szCs w:val="24"/>
          <w:u w:val="none" w:color="auto"/>
        </w:rPr>
        <w:t>）的灯心草属1种，苋科（</w:t>
      </w:r>
      <w:r>
        <w:rPr>
          <w:rFonts w:hint="default" w:ascii="Times New Roman" w:hAnsi="Times New Roman" w:eastAsia="宋体" w:cs="Times New Roman"/>
          <w:i/>
          <w:iCs/>
          <w:color w:val="auto"/>
          <w:sz w:val="24"/>
          <w:szCs w:val="24"/>
          <w:u w:val="none" w:color="auto"/>
        </w:rPr>
        <w:t>Amaranthaceae</w:t>
      </w:r>
      <w:r>
        <w:rPr>
          <w:rFonts w:hint="default" w:ascii="Times New Roman" w:hAnsi="Times New Roman" w:eastAsia="宋体" w:cs="Times New Roman"/>
          <w:color w:val="auto"/>
          <w:sz w:val="24"/>
          <w:szCs w:val="24"/>
          <w:u w:val="none" w:color="auto"/>
        </w:rPr>
        <w:t>）的虾钳菜属</w:t>
      </w:r>
      <w:r>
        <w:rPr>
          <w:rFonts w:hint="default" w:ascii="Times New Roman" w:hAnsi="Times New Roman" w:eastAsia="宋体" w:cs="Times New Roman"/>
          <w:i/>
          <w:iCs/>
          <w:color w:val="auto"/>
          <w:sz w:val="24"/>
          <w:szCs w:val="24"/>
          <w:u w:val="none" w:color="auto"/>
        </w:rPr>
        <w:t>（Alternanthera）</w:t>
      </w:r>
      <w:r>
        <w:rPr>
          <w:rFonts w:hint="default" w:ascii="Times New Roman" w:hAnsi="Times New Roman" w:eastAsia="宋体" w:cs="Times New Roman"/>
          <w:color w:val="auto"/>
          <w:sz w:val="24"/>
          <w:szCs w:val="24"/>
          <w:u w:val="none" w:color="auto"/>
        </w:rPr>
        <w:t>3种，伞形科（</w:t>
      </w:r>
      <w:r>
        <w:rPr>
          <w:rFonts w:hint="default" w:ascii="Times New Roman" w:hAnsi="Times New Roman" w:eastAsia="宋体" w:cs="Times New Roman"/>
          <w:i/>
          <w:iCs/>
          <w:color w:val="auto"/>
          <w:sz w:val="24"/>
          <w:szCs w:val="24"/>
          <w:u w:val="none" w:color="auto"/>
        </w:rPr>
        <w:t>Umbelliferae</w:t>
      </w:r>
      <w:r>
        <w:rPr>
          <w:rFonts w:hint="default" w:ascii="Times New Roman" w:hAnsi="Times New Roman" w:eastAsia="宋体" w:cs="Times New Roman"/>
          <w:color w:val="auto"/>
          <w:sz w:val="24"/>
          <w:szCs w:val="24"/>
          <w:u w:val="none" w:color="auto"/>
        </w:rPr>
        <w:t>）的水芹菜属</w:t>
      </w:r>
      <w:r>
        <w:rPr>
          <w:rFonts w:hint="default" w:ascii="Times New Roman" w:hAnsi="Times New Roman" w:eastAsia="宋体" w:cs="Times New Roman"/>
          <w:i/>
          <w:iCs/>
          <w:color w:val="auto"/>
          <w:sz w:val="24"/>
          <w:szCs w:val="24"/>
          <w:u w:val="none" w:color="auto"/>
        </w:rPr>
        <w:t>（Oenanthe</w:t>
      </w:r>
      <w:r>
        <w:rPr>
          <w:rFonts w:hint="default" w:ascii="Times New Roman" w:hAnsi="Times New Roman" w:eastAsia="宋体" w:cs="Times New Roman"/>
          <w:color w:val="auto"/>
          <w:sz w:val="24"/>
          <w:szCs w:val="24"/>
          <w:u w:val="none" w:color="auto"/>
        </w:rPr>
        <w:t>）1种。</w:t>
      </w:r>
    </w:p>
    <w:p w14:paraId="5A3062EF">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洞庭湖水生植物按生活型划分5类，即：①湿生植物35种，占34.7%；②挺水植物30种，占29.7%；③浮叶植物11种，占10.9%；④沉水植物16种，占15.8%；⑤漂浮植物9种，占8.9%。植被面积达2262</w:t>
      </w:r>
      <w:r>
        <w:rPr>
          <w:rFonts w:hint="default" w:ascii="Times New Roman" w:hAnsi="Times New Roman" w:eastAsia="宋体" w:cs="Times New Roman"/>
          <w:color w:val="auto"/>
          <w:sz w:val="24"/>
          <w:szCs w:val="24"/>
          <w:u w:val="none" w:color="auto"/>
          <w:lang w:eastAsia="zh-CN"/>
        </w:rPr>
        <w:t>km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，占全湖总面积2797</w:t>
      </w:r>
      <w:r>
        <w:rPr>
          <w:rFonts w:hint="default" w:ascii="Times New Roman" w:hAnsi="Times New Roman" w:eastAsia="宋体" w:cs="Times New Roman"/>
          <w:color w:val="auto"/>
          <w:sz w:val="24"/>
          <w:szCs w:val="24"/>
          <w:u w:val="none" w:color="auto"/>
          <w:lang w:eastAsia="zh-CN"/>
        </w:rPr>
        <w:t>km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（水位高程17.53m计）的80%。总生物量为388×10</w:t>
      </w:r>
      <w:r>
        <w:rPr>
          <w:rFonts w:hint="default" w:ascii="Times New Roman" w:hAnsi="Times New Roman" w:eastAsia="宋体" w:cs="Times New Roman"/>
          <w:color w:val="auto"/>
          <w:sz w:val="24"/>
          <w:szCs w:val="24"/>
          <w:u w:val="none" w:color="auto"/>
          <w:vertAlign w:val="superscript"/>
        </w:rPr>
        <w:t>4</w:t>
      </w:r>
      <w:r>
        <w:rPr>
          <w:rFonts w:hint="default" w:ascii="Times New Roman" w:hAnsi="Times New Roman" w:eastAsia="宋体" w:cs="Times New Roman"/>
          <w:color w:val="auto"/>
          <w:sz w:val="24"/>
          <w:szCs w:val="24"/>
          <w:u w:val="none" w:color="auto"/>
        </w:rPr>
        <w:t>t（鲜重）。折合热值4.8987×10</w:t>
      </w:r>
      <w:r>
        <w:rPr>
          <w:rFonts w:hint="default" w:ascii="Times New Roman" w:hAnsi="Times New Roman" w:eastAsia="宋体" w:cs="Times New Roman"/>
          <w:color w:val="auto"/>
          <w:sz w:val="24"/>
          <w:szCs w:val="24"/>
          <w:u w:val="none" w:color="auto"/>
          <w:vertAlign w:val="superscript"/>
        </w:rPr>
        <w:t>5</w:t>
      </w:r>
      <w:r>
        <w:rPr>
          <w:rFonts w:hint="default" w:ascii="Times New Roman" w:hAnsi="Times New Roman" w:eastAsia="宋体" w:cs="Times New Roman"/>
          <w:color w:val="auto"/>
          <w:sz w:val="24"/>
          <w:szCs w:val="24"/>
          <w:u w:val="none" w:color="auto"/>
        </w:rPr>
        <w:t>J，全湖单位面积的平均生物量为1208g/m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（鲜重）。除漂浮植物外，其它水生维管束植物类型在洞庭湖已形成植物带，并从岸边向湖中心不规则带状分布，按种群的生活类型可分为4个植物带，即湿生植物带、挺水植物带、浮叶植物带和沉水植物带。</w:t>
      </w:r>
    </w:p>
    <w:p w14:paraId="200BEBAB">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工程区江段及其沿岸由于船只和车辆活动的原因，受人为干扰相对较大，水生维管束植物种类丰富度相对不高，主要水生维管束植物以芦苇为主，间有水廖、假稻等，分布在沿岸浅水区和滩地上。</w:t>
      </w:r>
    </w:p>
    <w:p w14:paraId="30869566">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24" w:name="_Toc1018"/>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浮游植物</w:t>
      </w:r>
      <w:bookmarkEnd w:id="624"/>
    </w:p>
    <w:p w14:paraId="75B71681">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水域中共有浮游植物7门49属60余种，主要种类为硅藻门和绿藻门，各检出17和19属，其它各个门的种类较少。优势种主要有舟形藻、直链藻、针杆藻、羽纹藻、脆杆藻等。从时间变化上看，浮游藻类生物量个数近年来有减少趋势，优势藻类生物量所占比例则有所增加。鱼类繁殖和越冬期，浮游植物在数量方面的变化较大，其变幅为11.0-43.9×104ind./L，而在鱼类肥育期则浮游植物的数量较少。各类浮游植物的年均数量以硅藻占绝对优势，其次是绿藻、蓝藻。</w:t>
      </w:r>
    </w:p>
    <w:p w14:paraId="7F8C9918">
      <w:pPr>
        <w:pageBreakBefore w:val="0"/>
        <w:kinsoku/>
        <w:wordWrap/>
        <w:overflowPunct/>
        <w:topLinePunct w:val="0"/>
        <w:bidi w:val="0"/>
        <w:spacing w:line="360" w:lineRule="auto"/>
        <w:ind w:firstLine="560"/>
        <w:jc w:val="both"/>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浮游动物有43种。浮游动物数量年变幅在2.40-4.5ind./L，鱼类越冬期数量稍高，为4.5ind./L，育肥期和繁殖期数量较少，分别为2.4ind./L和3.6ind./L。各区段生物量最多的为轮虫，枝角类和桡足类数量很少。浮游动物生物量在位置分布和时间分布上无一定规律。</w:t>
      </w:r>
      <w:r>
        <w:rPr>
          <w:rFonts w:hint="default" w:ascii="Times New Roman" w:hAnsi="Times New Roman" w:eastAsia="宋体" w:cs="Times New Roman"/>
          <w:bCs/>
          <w:color w:val="auto"/>
          <w:sz w:val="24"/>
          <w:szCs w:val="24"/>
          <w:u w:val="none" w:color="auto"/>
          <w:lang w:eastAsia="zh-CN"/>
        </w:rPr>
        <w:t>岳阳县鹿角交通渔政综合执法码头 评价区域</w:t>
      </w:r>
      <w:r>
        <w:rPr>
          <w:rFonts w:hint="default" w:ascii="Times New Roman" w:hAnsi="Times New Roman" w:eastAsia="宋体" w:cs="Times New Roman"/>
          <w:bCs/>
          <w:color w:val="auto"/>
          <w:sz w:val="24"/>
          <w:szCs w:val="24"/>
          <w:u w:val="none" w:color="auto"/>
        </w:rPr>
        <w:t>浮游植物种类组成及分布见</w:t>
      </w:r>
      <w:r>
        <w:rPr>
          <w:rFonts w:hint="default" w:ascii="Times New Roman" w:hAnsi="Times New Roman" w:eastAsia="宋体" w:cs="Times New Roman"/>
          <w:bCs/>
          <w:color w:val="auto"/>
          <w:sz w:val="24"/>
          <w:szCs w:val="24"/>
          <w:u w:val="none" w:color="auto"/>
          <w:lang w:val="en-US" w:eastAsia="zh-CN"/>
        </w:rPr>
        <w:t>下表</w:t>
      </w:r>
      <w:r>
        <w:rPr>
          <w:rFonts w:hint="default" w:ascii="Times New Roman" w:hAnsi="Times New Roman" w:eastAsia="宋体" w:cs="Times New Roman"/>
          <w:bCs/>
          <w:color w:val="auto"/>
          <w:sz w:val="24"/>
          <w:szCs w:val="24"/>
          <w:u w:val="none" w:color="auto"/>
        </w:rPr>
        <w:t>。</w:t>
      </w:r>
    </w:p>
    <w:p w14:paraId="2233AAED">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p>
    <w:p w14:paraId="126E19A5">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p>
    <w:p w14:paraId="14EE70AA">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p>
    <w:p w14:paraId="6B318CA7">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eastAsia="zh-CN"/>
        </w:rPr>
      </w:pPr>
      <w:r>
        <w:rPr>
          <w:rFonts w:hint="default" w:ascii="Times New Roman" w:hAnsi="Times New Roman" w:eastAsia="宋体" w:cs="Times New Roman"/>
          <w:bCs/>
          <w:color w:val="auto"/>
          <w:sz w:val="24"/>
          <w:szCs w:val="24"/>
          <w:u w:val="none" w:color="auto"/>
          <w:lang w:val="en-US" w:eastAsia="zh-CN"/>
        </w:rPr>
        <w:t xml:space="preserve">表4.5-23  </w:t>
      </w:r>
      <w:r>
        <w:rPr>
          <w:rFonts w:hint="default" w:ascii="Times New Roman" w:hAnsi="Times New Roman" w:eastAsia="宋体" w:cs="Times New Roman"/>
          <w:bCs/>
          <w:color w:val="auto"/>
          <w:sz w:val="24"/>
          <w:szCs w:val="24"/>
          <w:u w:val="none" w:color="auto"/>
          <w:lang w:eastAsia="zh-CN"/>
        </w:rPr>
        <w:t>岳阳县鹿角交通渔政综合执法码头评价区域</w:t>
      </w:r>
    </w:p>
    <w:p w14:paraId="1D58D2D8">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浮游植物种类组成及分布</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2878"/>
        <w:gridCol w:w="1242"/>
        <w:gridCol w:w="1406"/>
        <w:gridCol w:w="1405"/>
        <w:gridCol w:w="1405"/>
      </w:tblGrid>
      <w:tr w14:paraId="68A8B6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43FD0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w:t>
            </w:r>
            <w:r>
              <w:rPr>
                <w:rStyle w:val="67"/>
                <w:rFonts w:hint="default" w:ascii="Times New Roman" w:hAnsi="Times New Roman" w:eastAsia="宋体" w:cs="Times New Roman"/>
                <w:color w:val="auto"/>
                <w:sz w:val="21"/>
                <w:szCs w:val="21"/>
                <w:u w:val="none" w:color="auto"/>
                <w:lang w:bidi="ar"/>
              </w:rPr>
              <w:t>类</w:t>
            </w:r>
          </w:p>
        </w:tc>
        <w:tc>
          <w:tcPr>
            <w:tcW w:w="1242" w:type="dxa"/>
            <w:noWrap w:val="0"/>
            <w:vAlign w:val="center"/>
          </w:tcPr>
          <w:p w14:paraId="74C08D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断面</w:t>
            </w:r>
            <w:r>
              <w:rPr>
                <w:rStyle w:val="68"/>
                <w:rFonts w:hint="default" w:ascii="Times New Roman" w:hAnsi="Times New Roman" w:eastAsia="宋体" w:cs="Times New Roman"/>
                <w:color w:val="auto"/>
                <w:sz w:val="21"/>
                <w:szCs w:val="21"/>
                <w:u w:val="none" w:color="auto"/>
                <w:lang w:bidi="ar"/>
              </w:rPr>
              <w:t>1</w:t>
            </w:r>
          </w:p>
        </w:tc>
        <w:tc>
          <w:tcPr>
            <w:tcW w:w="1406" w:type="dxa"/>
            <w:noWrap w:val="0"/>
            <w:vAlign w:val="center"/>
          </w:tcPr>
          <w:p w14:paraId="255674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断面2</w:t>
            </w:r>
          </w:p>
        </w:tc>
        <w:tc>
          <w:tcPr>
            <w:tcW w:w="1405" w:type="dxa"/>
            <w:noWrap w:val="0"/>
            <w:vAlign w:val="center"/>
          </w:tcPr>
          <w:p w14:paraId="67F3D0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断面</w:t>
            </w:r>
            <w:r>
              <w:rPr>
                <w:rStyle w:val="68"/>
                <w:rFonts w:hint="default" w:ascii="Times New Roman" w:hAnsi="Times New Roman" w:eastAsia="宋体" w:cs="Times New Roman"/>
                <w:color w:val="auto"/>
                <w:sz w:val="21"/>
                <w:szCs w:val="21"/>
                <w:u w:val="none" w:color="auto"/>
                <w:lang w:bidi="ar"/>
              </w:rPr>
              <w:t>2</w:t>
            </w:r>
          </w:p>
        </w:tc>
        <w:tc>
          <w:tcPr>
            <w:tcW w:w="1405" w:type="dxa"/>
            <w:noWrap w:val="0"/>
            <w:vAlign w:val="center"/>
          </w:tcPr>
          <w:p w14:paraId="708C56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断面</w:t>
            </w:r>
            <w:r>
              <w:rPr>
                <w:rStyle w:val="68"/>
                <w:rFonts w:hint="default" w:ascii="Times New Roman" w:hAnsi="Times New Roman" w:eastAsia="宋体" w:cs="Times New Roman"/>
                <w:color w:val="auto"/>
                <w:sz w:val="21"/>
                <w:szCs w:val="21"/>
                <w:u w:val="none" w:color="auto"/>
                <w:lang w:bidi="ar"/>
              </w:rPr>
              <w:t>2</w:t>
            </w:r>
          </w:p>
        </w:tc>
      </w:tr>
      <w:tr w14:paraId="11E27C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5FCBE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蓝藻门</w:t>
            </w:r>
            <w:r>
              <w:rPr>
                <w:rStyle w:val="69"/>
                <w:rFonts w:hint="default" w:ascii="Times New Roman" w:hAnsi="Times New Roman" w:eastAsia="宋体" w:cs="Times New Roman"/>
                <w:i/>
                <w:iCs/>
                <w:color w:val="auto"/>
                <w:sz w:val="21"/>
                <w:szCs w:val="21"/>
                <w:u w:val="none" w:color="auto"/>
                <w:lang w:bidi="ar"/>
              </w:rPr>
              <w:t>Cyanophyta</w:t>
            </w:r>
          </w:p>
        </w:tc>
        <w:tc>
          <w:tcPr>
            <w:tcW w:w="1242" w:type="dxa"/>
            <w:noWrap w:val="0"/>
            <w:vAlign w:val="center"/>
          </w:tcPr>
          <w:p w14:paraId="40FDF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0C9AFB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91FBD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2AE08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51E6C7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87DB3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色球藻</w:t>
            </w:r>
            <w:r>
              <w:rPr>
                <w:rStyle w:val="70"/>
                <w:rFonts w:hint="default" w:ascii="Times New Roman" w:hAnsi="Times New Roman" w:eastAsia="宋体" w:cs="Times New Roman"/>
                <w:i/>
                <w:iCs/>
                <w:color w:val="auto"/>
                <w:sz w:val="21"/>
                <w:szCs w:val="21"/>
                <w:u w:val="none" w:color="auto"/>
                <w:lang w:bidi="ar"/>
              </w:rPr>
              <w:t>Chroococcus.</w:t>
            </w:r>
          </w:p>
        </w:tc>
        <w:tc>
          <w:tcPr>
            <w:tcW w:w="1242" w:type="dxa"/>
            <w:noWrap w:val="0"/>
            <w:vAlign w:val="center"/>
          </w:tcPr>
          <w:p w14:paraId="200400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555A40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2668ED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6C220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46172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AD9FE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平裂藻</w:t>
            </w:r>
            <w:r>
              <w:rPr>
                <w:rStyle w:val="70"/>
                <w:rFonts w:hint="default" w:ascii="Times New Roman" w:hAnsi="Times New Roman" w:eastAsia="宋体" w:cs="Times New Roman"/>
                <w:i/>
                <w:iCs/>
                <w:color w:val="auto"/>
                <w:sz w:val="21"/>
                <w:szCs w:val="21"/>
                <w:u w:val="none" w:color="auto"/>
                <w:lang w:bidi="ar"/>
              </w:rPr>
              <w:t>Merismopedia</w:t>
            </w:r>
            <w:r>
              <w:rPr>
                <w:rStyle w:val="68"/>
                <w:rFonts w:hint="default" w:ascii="Times New Roman" w:hAnsi="Times New Roman" w:eastAsia="宋体" w:cs="Times New Roman"/>
                <w:i/>
                <w:iCs/>
                <w:color w:val="auto"/>
                <w:sz w:val="21"/>
                <w:szCs w:val="21"/>
                <w:u w:val="none" w:color="auto"/>
                <w:lang w:bidi="ar"/>
              </w:rPr>
              <w:t>．</w:t>
            </w:r>
          </w:p>
        </w:tc>
        <w:tc>
          <w:tcPr>
            <w:tcW w:w="1242" w:type="dxa"/>
            <w:noWrap w:val="0"/>
            <w:vAlign w:val="center"/>
          </w:tcPr>
          <w:p w14:paraId="0B4580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796178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0F8AE3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2F38D6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A857C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0DF80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微囊藻</w:t>
            </w:r>
            <w:r>
              <w:rPr>
                <w:rStyle w:val="70"/>
                <w:rFonts w:hint="default" w:ascii="Times New Roman" w:hAnsi="Times New Roman" w:eastAsia="宋体" w:cs="Times New Roman"/>
                <w:i/>
                <w:iCs/>
                <w:color w:val="auto"/>
                <w:sz w:val="21"/>
                <w:szCs w:val="21"/>
                <w:u w:val="none" w:color="auto"/>
                <w:lang w:bidi="ar"/>
              </w:rPr>
              <w:t>Microcytis</w:t>
            </w:r>
          </w:p>
        </w:tc>
        <w:tc>
          <w:tcPr>
            <w:tcW w:w="1242" w:type="dxa"/>
            <w:noWrap w:val="0"/>
            <w:vAlign w:val="center"/>
          </w:tcPr>
          <w:p w14:paraId="25B1E0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5ED33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164FF3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72397A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75A3979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70F08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螺旋藻</w:t>
            </w:r>
            <w:r>
              <w:rPr>
                <w:rStyle w:val="70"/>
                <w:rFonts w:hint="default" w:ascii="Times New Roman" w:hAnsi="Times New Roman" w:eastAsia="宋体" w:cs="Times New Roman"/>
                <w:i/>
                <w:iCs/>
                <w:color w:val="auto"/>
                <w:sz w:val="21"/>
                <w:szCs w:val="21"/>
                <w:u w:val="none" w:color="auto"/>
                <w:lang w:bidi="ar"/>
              </w:rPr>
              <w:t>Spirulina</w:t>
            </w:r>
          </w:p>
        </w:tc>
        <w:tc>
          <w:tcPr>
            <w:tcW w:w="1242" w:type="dxa"/>
            <w:noWrap w:val="0"/>
            <w:vAlign w:val="center"/>
          </w:tcPr>
          <w:p w14:paraId="0F1EB2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4E5174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5D324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BD798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BFC9B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643F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席藻</w:t>
            </w:r>
            <w:r>
              <w:rPr>
                <w:rStyle w:val="70"/>
                <w:rFonts w:hint="default" w:ascii="Times New Roman" w:hAnsi="Times New Roman" w:eastAsia="宋体" w:cs="Times New Roman"/>
                <w:i/>
                <w:iCs/>
                <w:color w:val="auto"/>
                <w:sz w:val="21"/>
                <w:szCs w:val="21"/>
                <w:u w:val="none" w:color="auto"/>
                <w:lang w:bidi="ar"/>
              </w:rPr>
              <w:t>Phormidium</w:t>
            </w:r>
          </w:p>
        </w:tc>
        <w:tc>
          <w:tcPr>
            <w:tcW w:w="1242" w:type="dxa"/>
            <w:noWrap w:val="0"/>
            <w:vAlign w:val="center"/>
          </w:tcPr>
          <w:p w14:paraId="43C559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574D24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08006E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D43B3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343BE3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D7F16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鱼腥藻</w:t>
            </w:r>
            <w:r>
              <w:rPr>
                <w:rStyle w:val="70"/>
                <w:rFonts w:hint="default" w:ascii="Times New Roman" w:hAnsi="Times New Roman" w:eastAsia="宋体" w:cs="Times New Roman"/>
                <w:i/>
                <w:iCs/>
                <w:color w:val="auto"/>
                <w:sz w:val="21"/>
                <w:szCs w:val="21"/>
                <w:u w:val="none" w:color="auto"/>
                <w:lang w:bidi="ar"/>
              </w:rPr>
              <w:t>Anabeana</w:t>
            </w:r>
          </w:p>
        </w:tc>
        <w:tc>
          <w:tcPr>
            <w:tcW w:w="1242" w:type="dxa"/>
            <w:noWrap w:val="0"/>
            <w:vAlign w:val="center"/>
          </w:tcPr>
          <w:p w14:paraId="5693F0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0B168D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C0403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03B1D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29204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A5A90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隐藻门</w:t>
            </w:r>
            <w:r>
              <w:rPr>
                <w:rStyle w:val="69"/>
                <w:rFonts w:hint="default" w:ascii="Times New Roman" w:hAnsi="Times New Roman" w:eastAsia="宋体" w:cs="Times New Roman"/>
                <w:i/>
                <w:iCs/>
                <w:color w:val="auto"/>
                <w:sz w:val="21"/>
                <w:szCs w:val="21"/>
                <w:u w:val="none" w:color="auto"/>
                <w:lang w:bidi="ar"/>
              </w:rPr>
              <w:t>Cryptophyta</w:t>
            </w:r>
          </w:p>
        </w:tc>
        <w:tc>
          <w:tcPr>
            <w:tcW w:w="1242" w:type="dxa"/>
            <w:noWrap w:val="0"/>
            <w:vAlign w:val="center"/>
          </w:tcPr>
          <w:p w14:paraId="5DBDE7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66F472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36938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3DF86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51AB92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306BA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卵形隐藻</w:t>
            </w:r>
            <w:r>
              <w:rPr>
                <w:rStyle w:val="70"/>
                <w:rFonts w:hint="default" w:ascii="Times New Roman" w:hAnsi="Times New Roman" w:eastAsia="宋体" w:cs="Times New Roman"/>
                <w:i/>
                <w:iCs/>
                <w:color w:val="auto"/>
                <w:sz w:val="21"/>
                <w:szCs w:val="21"/>
                <w:u w:val="none" w:color="auto"/>
                <w:lang w:bidi="ar"/>
              </w:rPr>
              <w:t>Cryptomonas ovata</w:t>
            </w:r>
          </w:p>
        </w:tc>
        <w:tc>
          <w:tcPr>
            <w:tcW w:w="1242" w:type="dxa"/>
            <w:noWrap w:val="0"/>
            <w:vAlign w:val="center"/>
          </w:tcPr>
          <w:p w14:paraId="1D68AC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1DB70D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BAE86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F12BC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2F262B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7656B2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硅藻门</w:t>
            </w:r>
            <w:r>
              <w:rPr>
                <w:rStyle w:val="69"/>
                <w:rFonts w:hint="default" w:ascii="Times New Roman" w:hAnsi="Times New Roman" w:eastAsia="宋体" w:cs="Times New Roman"/>
                <w:i/>
                <w:iCs/>
                <w:color w:val="auto"/>
                <w:sz w:val="21"/>
                <w:szCs w:val="21"/>
                <w:u w:val="none" w:color="auto"/>
                <w:lang w:bidi="ar"/>
              </w:rPr>
              <w:t>Bacillariophyta</w:t>
            </w:r>
          </w:p>
        </w:tc>
        <w:tc>
          <w:tcPr>
            <w:tcW w:w="1242" w:type="dxa"/>
            <w:noWrap w:val="0"/>
            <w:vAlign w:val="center"/>
          </w:tcPr>
          <w:p w14:paraId="40AFCE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359676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FF2A8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ECE78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FE4839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D901A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颗粒直链藻</w:t>
            </w:r>
            <w:r>
              <w:rPr>
                <w:rStyle w:val="70"/>
                <w:rFonts w:hint="default" w:ascii="Times New Roman" w:hAnsi="Times New Roman" w:eastAsia="宋体" w:cs="Times New Roman"/>
                <w:i/>
                <w:iCs/>
                <w:color w:val="auto"/>
                <w:sz w:val="21"/>
                <w:szCs w:val="21"/>
                <w:u w:val="none" w:color="auto"/>
                <w:lang w:bidi="ar"/>
              </w:rPr>
              <w:t>Melosira granulata</w:t>
            </w:r>
          </w:p>
        </w:tc>
        <w:tc>
          <w:tcPr>
            <w:tcW w:w="1242" w:type="dxa"/>
            <w:noWrap w:val="0"/>
            <w:vAlign w:val="center"/>
          </w:tcPr>
          <w:p w14:paraId="052599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666D22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797D9A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E59DE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56BBCB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5180D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具星小环藻</w:t>
            </w:r>
            <w:r>
              <w:rPr>
                <w:rStyle w:val="70"/>
                <w:rFonts w:hint="default" w:ascii="Times New Roman" w:hAnsi="Times New Roman" w:eastAsia="宋体" w:cs="Times New Roman"/>
                <w:i/>
                <w:iCs/>
                <w:color w:val="auto"/>
                <w:sz w:val="21"/>
                <w:szCs w:val="21"/>
                <w:u w:val="none" w:color="auto"/>
                <w:lang w:bidi="ar"/>
              </w:rPr>
              <w:t>Cyclotella stelligera</w:t>
            </w:r>
          </w:p>
        </w:tc>
        <w:tc>
          <w:tcPr>
            <w:tcW w:w="1242" w:type="dxa"/>
            <w:noWrap w:val="0"/>
            <w:vAlign w:val="center"/>
          </w:tcPr>
          <w:p w14:paraId="46950B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7857B1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DD4C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036A8D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FD272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782A63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脆杆藻</w:t>
            </w:r>
            <w:r>
              <w:rPr>
                <w:rStyle w:val="70"/>
                <w:rFonts w:hint="default" w:ascii="Times New Roman" w:hAnsi="Times New Roman" w:eastAsia="宋体" w:cs="Times New Roman"/>
                <w:i/>
                <w:iCs/>
                <w:color w:val="auto"/>
                <w:sz w:val="21"/>
                <w:szCs w:val="21"/>
                <w:u w:val="none" w:color="auto"/>
                <w:lang w:bidi="ar"/>
              </w:rPr>
              <w:t>Fragflaria</w:t>
            </w:r>
          </w:p>
        </w:tc>
        <w:tc>
          <w:tcPr>
            <w:tcW w:w="1242" w:type="dxa"/>
            <w:noWrap w:val="0"/>
            <w:vAlign w:val="center"/>
          </w:tcPr>
          <w:p w14:paraId="475917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2B7311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223EE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B724B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275D2EF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65EF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针杆藻</w:t>
            </w:r>
            <w:r>
              <w:rPr>
                <w:rStyle w:val="70"/>
                <w:rFonts w:hint="default" w:ascii="Times New Roman" w:hAnsi="Times New Roman" w:eastAsia="宋体" w:cs="Times New Roman"/>
                <w:i/>
                <w:iCs/>
                <w:color w:val="auto"/>
                <w:sz w:val="21"/>
                <w:szCs w:val="21"/>
                <w:u w:val="none" w:color="auto"/>
                <w:lang w:bidi="ar"/>
              </w:rPr>
              <w:t>Synedra</w:t>
            </w:r>
          </w:p>
        </w:tc>
        <w:tc>
          <w:tcPr>
            <w:tcW w:w="1242" w:type="dxa"/>
            <w:noWrap w:val="0"/>
            <w:vAlign w:val="center"/>
          </w:tcPr>
          <w:p w14:paraId="1B4B63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60F5CB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73592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1C4F4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72FAA1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72E3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舟形藻</w:t>
            </w:r>
            <w:r>
              <w:rPr>
                <w:rStyle w:val="70"/>
                <w:rFonts w:hint="default" w:ascii="Times New Roman" w:hAnsi="Times New Roman" w:eastAsia="宋体" w:cs="Times New Roman"/>
                <w:i/>
                <w:iCs/>
                <w:color w:val="auto"/>
                <w:sz w:val="21"/>
                <w:szCs w:val="21"/>
                <w:u w:val="none" w:color="auto"/>
                <w:lang w:bidi="ar"/>
              </w:rPr>
              <w:t>Navicula</w:t>
            </w:r>
          </w:p>
        </w:tc>
        <w:tc>
          <w:tcPr>
            <w:tcW w:w="1242" w:type="dxa"/>
            <w:noWrap w:val="0"/>
            <w:vAlign w:val="center"/>
          </w:tcPr>
          <w:p w14:paraId="669468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0604E5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CB5F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9199D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19B56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D8400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羽纹藻</w:t>
            </w:r>
            <w:r>
              <w:rPr>
                <w:rStyle w:val="70"/>
                <w:rFonts w:hint="default" w:ascii="Times New Roman" w:hAnsi="Times New Roman" w:eastAsia="宋体" w:cs="Times New Roman"/>
                <w:i/>
                <w:iCs/>
                <w:color w:val="auto"/>
                <w:sz w:val="21"/>
                <w:szCs w:val="21"/>
                <w:u w:val="none" w:color="auto"/>
                <w:lang w:bidi="ar"/>
              </w:rPr>
              <w:t>Pinnularia</w:t>
            </w:r>
          </w:p>
        </w:tc>
        <w:tc>
          <w:tcPr>
            <w:tcW w:w="1242" w:type="dxa"/>
            <w:noWrap w:val="0"/>
            <w:vAlign w:val="center"/>
          </w:tcPr>
          <w:p w14:paraId="39CE8A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4754C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66F24A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2EC1A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12147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7D3EE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桥弯藻</w:t>
            </w:r>
            <w:r>
              <w:rPr>
                <w:rStyle w:val="70"/>
                <w:rFonts w:hint="default" w:ascii="Times New Roman" w:hAnsi="Times New Roman" w:eastAsia="宋体" w:cs="Times New Roman"/>
                <w:i/>
                <w:iCs/>
                <w:color w:val="auto"/>
                <w:sz w:val="21"/>
                <w:szCs w:val="21"/>
                <w:u w:val="none" w:color="auto"/>
                <w:lang w:bidi="ar"/>
              </w:rPr>
              <w:t>Cymbella</w:t>
            </w:r>
          </w:p>
        </w:tc>
        <w:tc>
          <w:tcPr>
            <w:tcW w:w="1242" w:type="dxa"/>
            <w:noWrap w:val="0"/>
            <w:vAlign w:val="center"/>
          </w:tcPr>
          <w:p w14:paraId="04404D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75C719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DAFFE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277C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730BF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681F5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窗纹藻</w:t>
            </w:r>
            <w:r>
              <w:rPr>
                <w:rStyle w:val="70"/>
                <w:rFonts w:hint="default" w:ascii="Times New Roman" w:hAnsi="Times New Roman" w:eastAsia="宋体" w:cs="Times New Roman"/>
                <w:i/>
                <w:iCs/>
                <w:color w:val="auto"/>
                <w:sz w:val="21"/>
                <w:szCs w:val="21"/>
                <w:u w:val="none" w:color="auto"/>
                <w:lang w:bidi="ar"/>
              </w:rPr>
              <w:t>Epithemia</w:t>
            </w:r>
          </w:p>
        </w:tc>
        <w:tc>
          <w:tcPr>
            <w:tcW w:w="1242" w:type="dxa"/>
            <w:noWrap w:val="0"/>
            <w:vAlign w:val="center"/>
          </w:tcPr>
          <w:p w14:paraId="2568C0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6BDA01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29E02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49477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DBF44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C5838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布纹藻</w:t>
            </w:r>
            <w:r>
              <w:rPr>
                <w:rStyle w:val="70"/>
                <w:rFonts w:hint="default" w:ascii="Times New Roman" w:hAnsi="Times New Roman" w:eastAsia="宋体" w:cs="Times New Roman"/>
                <w:i/>
                <w:iCs/>
                <w:color w:val="auto"/>
                <w:sz w:val="21"/>
                <w:szCs w:val="21"/>
                <w:u w:val="none" w:color="auto"/>
                <w:lang w:bidi="ar"/>
              </w:rPr>
              <w:t>Gyrosigma</w:t>
            </w:r>
          </w:p>
        </w:tc>
        <w:tc>
          <w:tcPr>
            <w:tcW w:w="1242" w:type="dxa"/>
            <w:noWrap w:val="0"/>
            <w:vAlign w:val="center"/>
          </w:tcPr>
          <w:p w14:paraId="3B296B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1E282D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B100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869C4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0E564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18634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金藻门</w:t>
            </w:r>
            <w:r>
              <w:rPr>
                <w:rStyle w:val="69"/>
                <w:rFonts w:hint="default" w:ascii="Times New Roman" w:hAnsi="Times New Roman" w:eastAsia="宋体" w:cs="Times New Roman"/>
                <w:color w:val="auto"/>
                <w:sz w:val="21"/>
                <w:szCs w:val="21"/>
                <w:u w:val="none" w:color="auto"/>
                <w:lang w:bidi="ar"/>
              </w:rPr>
              <w:t>Chrysophyta</w:t>
            </w:r>
          </w:p>
        </w:tc>
        <w:tc>
          <w:tcPr>
            <w:tcW w:w="1242" w:type="dxa"/>
            <w:noWrap w:val="0"/>
            <w:vAlign w:val="center"/>
          </w:tcPr>
          <w:p w14:paraId="0AD086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3D8B64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29AE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71B1F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50D0D9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A1D9F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锥囊藻</w:t>
            </w:r>
            <w:r>
              <w:rPr>
                <w:rStyle w:val="70"/>
                <w:rFonts w:hint="default" w:ascii="Times New Roman" w:hAnsi="Times New Roman" w:eastAsia="宋体" w:cs="Times New Roman"/>
                <w:i/>
                <w:iCs/>
                <w:color w:val="auto"/>
                <w:sz w:val="21"/>
                <w:szCs w:val="21"/>
                <w:u w:val="none" w:color="auto"/>
                <w:lang w:bidi="ar"/>
              </w:rPr>
              <w:t>Dinobryonaceae</w:t>
            </w:r>
            <w:r>
              <w:rPr>
                <w:rStyle w:val="68"/>
                <w:rFonts w:hint="default" w:ascii="Times New Roman" w:hAnsi="Times New Roman" w:eastAsia="宋体" w:cs="Times New Roman"/>
                <w:i/>
                <w:iCs/>
                <w:color w:val="auto"/>
                <w:sz w:val="21"/>
                <w:szCs w:val="21"/>
                <w:u w:val="none" w:color="auto"/>
                <w:lang w:bidi="ar"/>
              </w:rPr>
              <w:t>．</w:t>
            </w:r>
          </w:p>
        </w:tc>
        <w:tc>
          <w:tcPr>
            <w:tcW w:w="1242" w:type="dxa"/>
            <w:noWrap w:val="0"/>
            <w:vAlign w:val="center"/>
          </w:tcPr>
          <w:p w14:paraId="289F13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566173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12AC5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A4864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714CF1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6D7AC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裸藻门</w:t>
            </w:r>
            <w:r>
              <w:rPr>
                <w:rStyle w:val="69"/>
                <w:rFonts w:hint="default" w:ascii="Times New Roman" w:hAnsi="Times New Roman" w:eastAsia="宋体" w:cs="Times New Roman"/>
                <w:i/>
                <w:iCs/>
                <w:color w:val="auto"/>
                <w:sz w:val="21"/>
                <w:szCs w:val="21"/>
                <w:u w:val="none" w:color="auto"/>
                <w:lang w:bidi="ar"/>
              </w:rPr>
              <w:t>Englenophyta</w:t>
            </w:r>
          </w:p>
        </w:tc>
        <w:tc>
          <w:tcPr>
            <w:tcW w:w="1242" w:type="dxa"/>
            <w:noWrap w:val="0"/>
            <w:vAlign w:val="center"/>
          </w:tcPr>
          <w:p w14:paraId="54D52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010A4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DEC7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2EBC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77DB27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D87BD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裸藻</w:t>
            </w:r>
            <w:r>
              <w:rPr>
                <w:rStyle w:val="70"/>
                <w:rFonts w:hint="default" w:ascii="Times New Roman" w:hAnsi="Times New Roman" w:eastAsia="宋体" w:cs="Times New Roman"/>
                <w:i/>
                <w:iCs/>
                <w:color w:val="auto"/>
                <w:sz w:val="21"/>
                <w:szCs w:val="21"/>
                <w:u w:val="none" w:color="auto"/>
                <w:lang w:bidi="ar"/>
              </w:rPr>
              <w:t>Euglena</w:t>
            </w:r>
          </w:p>
        </w:tc>
        <w:tc>
          <w:tcPr>
            <w:tcW w:w="1242" w:type="dxa"/>
            <w:noWrap w:val="0"/>
            <w:vAlign w:val="center"/>
          </w:tcPr>
          <w:p w14:paraId="1CA6D0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6E43F4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CF75A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E55A1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A1A2D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7A4E84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梭形裸藻</w:t>
            </w:r>
            <w:r>
              <w:rPr>
                <w:rStyle w:val="70"/>
                <w:rFonts w:hint="default" w:ascii="Times New Roman" w:hAnsi="Times New Roman" w:eastAsia="宋体" w:cs="Times New Roman"/>
                <w:i/>
                <w:iCs/>
                <w:color w:val="auto"/>
                <w:sz w:val="21"/>
                <w:szCs w:val="21"/>
                <w:u w:val="none" w:color="auto"/>
                <w:lang w:bidi="ar"/>
              </w:rPr>
              <w:t>Euglena acus</w:t>
            </w:r>
          </w:p>
        </w:tc>
        <w:tc>
          <w:tcPr>
            <w:tcW w:w="1242" w:type="dxa"/>
            <w:noWrap w:val="0"/>
            <w:vAlign w:val="center"/>
          </w:tcPr>
          <w:p w14:paraId="5AEBFD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24B59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E798E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D00B7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99D72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9FEC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尖尾裸藻</w:t>
            </w:r>
            <w:r>
              <w:rPr>
                <w:rFonts w:hint="default" w:ascii="Times New Roman" w:hAnsi="Times New Roman" w:eastAsia="宋体" w:cs="Times New Roman"/>
                <w:i/>
                <w:iCs/>
                <w:color w:val="auto"/>
                <w:sz w:val="21"/>
                <w:szCs w:val="21"/>
                <w:u w:val="none" w:color="auto"/>
                <w:lang w:bidi="ar"/>
              </w:rPr>
              <w:t>Euglena gasterosteus</w:t>
            </w:r>
          </w:p>
        </w:tc>
        <w:tc>
          <w:tcPr>
            <w:tcW w:w="1242" w:type="dxa"/>
            <w:noWrap w:val="0"/>
            <w:vAlign w:val="center"/>
          </w:tcPr>
          <w:p w14:paraId="247CC9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14880D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193DF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01F31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C809F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A53E3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扁裸藻</w:t>
            </w:r>
            <w:r>
              <w:rPr>
                <w:rStyle w:val="70"/>
                <w:rFonts w:hint="default" w:ascii="Times New Roman" w:hAnsi="Times New Roman" w:eastAsia="宋体" w:cs="Times New Roman"/>
                <w:i/>
                <w:iCs/>
                <w:color w:val="auto"/>
                <w:sz w:val="21"/>
                <w:szCs w:val="21"/>
                <w:u w:val="none" w:color="auto"/>
                <w:lang w:bidi="ar"/>
              </w:rPr>
              <w:t>Phacus</w:t>
            </w:r>
          </w:p>
        </w:tc>
        <w:tc>
          <w:tcPr>
            <w:tcW w:w="1242" w:type="dxa"/>
            <w:noWrap w:val="0"/>
            <w:vAlign w:val="center"/>
          </w:tcPr>
          <w:p w14:paraId="2CAE3A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51B836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BBF1B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72BD9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11F565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4422D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囊裸藻</w:t>
            </w:r>
            <w:r>
              <w:rPr>
                <w:rStyle w:val="70"/>
                <w:rFonts w:hint="default" w:ascii="Times New Roman" w:hAnsi="Times New Roman" w:eastAsia="宋体" w:cs="Times New Roman"/>
                <w:i/>
                <w:iCs/>
                <w:color w:val="auto"/>
                <w:sz w:val="21"/>
                <w:szCs w:val="21"/>
                <w:u w:val="none" w:color="auto"/>
                <w:lang w:bidi="ar"/>
              </w:rPr>
              <w:t>Trachelomonas</w:t>
            </w:r>
          </w:p>
        </w:tc>
        <w:tc>
          <w:tcPr>
            <w:tcW w:w="1242" w:type="dxa"/>
            <w:noWrap w:val="0"/>
            <w:vAlign w:val="center"/>
          </w:tcPr>
          <w:p w14:paraId="415090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22D138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0BD21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CA12C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6CED95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37863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甲藻门</w:t>
            </w:r>
            <w:r>
              <w:rPr>
                <w:rStyle w:val="69"/>
                <w:rFonts w:hint="default" w:ascii="Times New Roman" w:hAnsi="Times New Roman" w:eastAsia="宋体" w:cs="Times New Roman"/>
                <w:color w:val="auto"/>
                <w:sz w:val="21"/>
                <w:szCs w:val="21"/>
                <w:u w:val="none" w:color="auto"/>
                <w:lang w:bidi="ar"/>
              </w:rPr>
              <w:t>Pyrrophyta</w:t>
            </w:r>
          </w:p>
        </w:tc>
        <w:tc>
          <w:tcPr>
            <w:tcW w:w="1242" w:type="dxa"/>
            <w:noWrap w:val="0"/>
            <w:vAlign w:val="center"/>
          </w:tcPr>
          <w:p w14:paraId="053C3C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0E410E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9F178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5DF6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6D43B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98008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多甲藻</w:t>
            </w:r>
            <w:r>
              <w:rPr>
                <w:rStyle w:val="70"/>
                <w:rFonts w:hint="default" w:ascii="Times New Roman" w:hAnsi="Times New Roman" w:eastAsia="宋体" w:cs="Times New Roman"/>
                <w:i/>
                <w:iCs/>
                <w:color w:val="auto"/>
                <w:sz w:val="21"/>
                <w:szCs w:val="21"/>
                <w:u w:val="none" w:color="auto"/>
                <w:lang w:bidi="ar"/>
              </w:rPr>
              <w:t>Peridinium</w:t>
            </w:r>
          </w:p>
        </w:tc>
        <w:tc>
          <w:tcPr>
            <w:tcW w:w="1242" w:type="dxa"/>
            <w:noWrap w:val="0"/>
            <w:vAlign w:val="center"/>
          </w:tcPr>
          <w:p w14:paraId="62B1E4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3D1584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3B9453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F3805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E6081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25624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i/>
                <w:iCs/>
                <w:color w:val="auto"/>
                <w:sz w:val="21"/>
                <w:szCs w:val="21"/>
                <w:u w:val="none" w:color="auto"/>
              </w:rPr>
            </w:pPr>
            <w:r>
              <w:rPr>
                <w:rFonts w:hint="default" w:ascii="Times New Roman" w:hAnsi="Times New Roman" w:eastAsia="宋体" w:cs="Times New Roman"/>
                <w:b/>
                <w:color w:val="auto"/>
                <w:sz w:val="21"/>
                <w:szCs w:val="21"/>
                <w:u w:val="none" w:color="auto"/>
                <w:lang w:bidi="ar"/>
              </w:rPr>
              <w:t>绿藻门</w:t>
            </w:r>
            <w:r>
              <w:rPr>
                <w:rStyle w:val="69"/>
                <w:rFonts w:hint="default" w:ascii="Times New Roman" w:hAnsi="Times New Roman" w:eastAsia="宋体" w:cs="Times New Roman"/>
                <w:color w:val="auto"/>
                <w:sz w:val="21"/>
                <w:szCs w:val="21"/>
                <w:u w:val="none" w:color="auto"/>
                <w:lang w:bidi="ar"/>
              </w:rPr>
              <w:t>Chlorophyta</w:t>
            </w:r>
          </w:p>
        </w:tc>
        <w:tc>
          <w:tcPr>
            <w:tcW w:w="1242" w:type="dxa"/>
            <w:noWrap w:val="0"/>
            <w:vAlign w:val="center"/>
          </w:tcPr>
          <w:p w14:paraId="1801EA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6894F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7FB24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62E1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395C1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195AF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盘藻</w:t>
            </w:r>
            <w:r>
              <w:rPr>
                <w:rStyle w:val="70"/>
                <w:rFonts w:hint="default" w:ascii="Times New Roman" w:hAnsi="Times New Roman" w:eastAsia="宋体" w:cs="Times New Roman"/>
                <w:i/>
                <w:iCs/>
                <w:color w:val="auto"/>
                <w:sz w:val="21"/>
                <w:szCs w:val="21"/>
                <w:u w:val="none" w:color="auto"/>
                <w:lang w:bidi="ar"/>
              </w:rPr>
              <w:t>Gonium</w:t>
            </w:r>
          </w:p>
        </w:tc>
        <w:tc>
          <w:tcPr>
            <w:tcW w:w="1242" w:type="dxa"/>
            <w:noWrap w:val="0"/>
            <w:vAlign w:val="center"/>
          </w:tcPr>
          <w:p w14:paraId="064380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2095FF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165E33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6D0921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A55F7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8DA6A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杂球藻</w:t>
            </w:r>
            <w:r>
              <w:rPr>
                <w:rStyle w:val="70"/>
                <w:rFonts w:hint="default" w:ascii="Times New Roman" w:hAnsi="Times New Roman" w:eastAsia="宋体" w:cs="Times New Roman"/>
                <w:i/>
                <w:iCs/>
                <w:color w:val="auto"/>
                <w:sz w:val="21"/>
                <w:szCs w:val="21"/>
                <w:u w:val="none" w:color="auto"/>
                <w:lang w:bidi="ar"/>
              </w:rPr>
              <w:t>Pleodorina</w:t>
            </w:r>
          </w:p>
        </w:tc>
        <w:tc>
          <w:tcPr>
            <w:tcW w:w="1242" w:type="dxa"/>
            <w:noWrap w:val="0"/>
            <w:vAlign w:val="center"/>
          </w:tcPr>
          <w:p w14:paraId="14C249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1CC9B1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3D670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862AF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C31D0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2EA75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实球藻</w:t>
            </w:r>
            <w:r>
              <w:rPr>
                <w:rStyle w:val="70"/>
                <w:rFonts w:hint="default" w:ascii="Times New Roman" w:hAnsi="Times New Roman" w:eastAsia="宋体" w:cs="Times New Roman"/>
                <w:i/>
                <w:iCs/>
                <w:color w:val="auto"/>
                <w:sz w:val="21"/>
                <w:szCs w:val="21"/>
                <w:u w:val="none" w:color="auto"/>
                <w:lang w:bidi="ar"/>
              </w:rPr>
              <w:t>Pandorina</w:t>
            </w:r>
          </w:p>
        </w:tc>
        <w:tc>
          <w:tcPr>
            <w:tcW w:w="1242" w:type="dxa"/>
            <w:noWrap w:val="0"/>
            <w:vAlign w:val="center"/>
          </w:tcPr>
          <w:p w14:paraId="320ACA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08DE7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E07EC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171461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50541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EAAD6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空球藻</w:t>
            </w:r>
            <w:r>
              <w:rPr>
                <w:rStyle w:val="70"/>
                <w:rFonts w:hint="default" w:ascii="Times New Roman" w:hAnsi="Times New Roman" w:eastAsia="宋体" w:cs="Times New Roman"/>
                <w:i/>
                <w:iCs/>
                <w:color w:val="auto"/>
                <w:sz w:val="21"/>
                <w:szCs w:val="21"/>
                <w:u w:val="none" w:color="auto"/>
                <w:lang w:bidi="ar"/>
              </w:rPr>
              <w:t>Eudorina elegans</w:t>
            </w:r>
          </w:p>
        </w:tc>
        <w:tc>
          <w:tcPr>
            <w:tcW w:w="1242" w:type="dxa"/>
            <w:noWrap w:val="0"/>
            <w:vAlign w:val="center"/>
          </w:tcPr>
          <w:p w14:paraId="1A6A28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1976AC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DC71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E70F1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7DB7E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DD495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小球藻</w:t>
            </w:r>
            <w:r>
              <w:rPr>
                <w:rStyle w:val="70"/>
                <w:rFonts w:hint="default" w:ascii="Times New Roman" w:hAnsi="Times New Roman" w:eastAsia="宋体" w:cs="Times New Roman"/>
                <w:i/>
                <w:iCs/>
                <w:color w:val="auto"/>
                <w:sz w:val="21"/>
                <w:szCs w:val="21"/>
                <w:u w:val="none" w:color="auto"/>
                <w:lang w:bidi="ar"/>
              </w:rPr>
              <w:t>Chlorella vulgaris</w:t>
            </w:r>
          </w:p>
        </w:tc>
        <w:tc>
          <w:tcPr>
            <w:tcW w:w="1242" w:type="dxa"/>
            <w:noWrap w:val="0"/>
            <w:vAlign w:val="center"/>
          </w:tcPr>
          <w:p w14:paraId="04A599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21C31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CC5A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159E7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287A5B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3D710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多芒藻</w:t>
            </w:r>
            <w:r>
              <w:rPr>
                <w:rStyle w:val="70"/>
                <w:rFonts w:hint="default" w:ascii="Times New Roman" w:hAnsi="Times New Roman" w:eastAsia="宋体" w:cs="Times New Roman"/>
                <w:i/>
                <w:iCs/>
                <w:color w:val="auto"/>
                <w:sz w:val="21"/>
                <w:szCs w:val="21"/>
                <w:u w:val="none" w:color="auto"/>
                <w:lang w:bidi="ar"/>
              </w:rPr>
              <w:t>Golenkinia</w:t>
            </w:r>
          </w:p>
        </w:tc>
        <w:tc>
          <w:tcPr>
            <w:tcW w:w="1242" w:type="dxa"/>
            <w:noWrap w:val="0"/>
            <w:vAlign w:val="center"/>
          </w:tcPr>
          <w:p w14:paraId="61B2C9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334334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4D78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0F1FF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4E353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BD7CA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拟新月藻</w:t>
            </w:r>
            <w:r>
              <w:rPr>
                <w:rFonts w:hint="default" w:ascii="Times New Roman" w:hAnsi="Times New Roman" w:eastAsia="宋体" w:cs="Times New Roman"/>
                <w:i/>
                <w:iCs/>
                <w:color w:val="auto"/>
                <w:sz w:val="21"/>
                <w:szCs w:val="21"/>
                <w:u w:val="none" w:color="auto"/>
                <w:lang w:bidi="ar"/>
              </w:rPr>
              <w:t>Closteriopsis longissima</w:t>
            </w:r>
          </w:p>
        </w:tc>
        <w:tc>
          <w:tcPr>
            <w:tcW w:w="1242" w:type="dxa"/>
            <w:noWrap w:val="0"/>
            <w:vAlign w:val="center"/>
          </w:tcPr>
          <w:p w14:paraId="291CE1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B5A3A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32526E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4C9F0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CF546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0ECC7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纤维藻</w:t>
            </w:r>
            <w:r>
              <w:rPr>
                <w:rStyle w:val="70"/>
                <w:rFonts w:hint="default" w:ascii="Times New Roman" w:hAnsi="Times New Roman" w:eastAsia="宋体" w:cs="Times New Roman"/>
                <w:i/>
                <w:iCs/>
                <w:color w:val="auto"/>
                <w:sz w:val="21"/>
                <w:szCs w:val="21"/>
                <w:u w:val="none" w:color="auto"/>
                <w:lang w:bidi="ar"/>
              </w:rPr>
              <w:t>Ankistrodesmus</w:t>
            </w:r>
          </w:p>
        </w:tc>
        <w:tc>
          <w:tcPr>
            <w:tcW w:w="1242" w:type="dxa"/>
            <w:noWrap w:val="0"/>
            <w:vAlign w:val="center"/>
          </w:tcPr>
          <w:p w14:paraId="7A7E57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2BA80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FD406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63F76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CFF59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3E436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并联藻</w:t>
            </w:r>
            <w:r>
              <w:rPr>
                <w:rStyle w:val="70"/>
                <w:rFonts w:hint="default" w:ascii="Times New Roman" w:hAnsi="Times New Roman" w:eastAsia="宋体" w:cs="Times New Roman"/>
                <w:i/>
                <w:iCs/>
                <w:color w:val="auto"/>
                <w:sz w:val="21"/>
                <w:szCs w:val="21"/>
                <w:u w:val="none" w:color="auto"/>
                <w:lang w:bidi="ar"/>
              </w:rPr>
              <w:t>Quadrigula</w:t>
            </w:r>
          </w:p>
        </w:tc>
        <w:tc>
          <w:tcPr>
            <w:tcW w:w="1242" w:type="dxa"/>
            <w:noWrap w:val="0"/>
            <w:vAlign w:val="center"/>
          </w:tcPr>
          <w:p w14:paraId="03CA9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45C3C4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FC2B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7A275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10C96F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A6DDA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月牙藻</w:t>
            </w:r>
            <w:r>
              <w:rPr>
                <w:rStyle w:val="70"/>
                <w:rFonts w:hint="default" w:ascii="Times New Roman" w:hAnsi="Times New Roman" w:eastAsia="宋体" w:cs="Times New Roman"/>
                <w:i/>
                <w:iCs/>
                <w:color w:val="auto"/>
                <w:sz w:val="21"/>
                <w:szCs w:val="21"/>
                <w:u w:val="none" w:color="auto"/>
                <w:lang w:bidi="ar"/>
              </w:rPr>
              <w:t>Selenastrum</w:t>
            </w:r>
          </w:p>
        </w:tc>
        <w:tc>
          <w:tcPr>
            <w:tcW w:w="1242" w:type="dxa"/>
            <w:noWrap w:val="0"/>
            <w:vAlign w:val="center"/>
          </w:tcPr>
          <w:p w14:paraId="45D35A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1E433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412C2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9D906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925AA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718FA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蹄形藻</w:t>
            </w:r>
            <w:r>
              <w:rPr>
                <w:rStyle w:val="70"/>
                <w:rFonts w:hint="default" w:ascii="Times New Roman" w:hAnsi="Times New Roman" w:eastAsia="宋体" w:cs="Times New Roman"/>
                <w:i/>
                <w:iCs/>
                <w:color w:val="auto"/>
                <w:sz w:val="21"/>
                <w:szCs w:val="21"/>
                <w:u w:val="none" w:color="auto"/>
                <w:lang w:bidi="ar"/>
              </w:rPr>
              <w:t>Kirchneriella</w:t>
            </w:r>
          </w:p>
        </w:tc>
        <w:tc>
          <w:tcPr>
            <w:tcW w:w="1242" w:type="dxa"/>
            <w:noWrap w:val="0"/>
            <w:vAlign w:val="center"/>
          </w:tcPr>
          <w:p w14:paraId="7E5499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7CA3ED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57162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3AE2D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2EC165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34F0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四角盘星藻</w:t>
            </w:r>
            <w:r>
              <w:rPr>
                <w:rStyle w:val="70"/>
                <w:rFonts w:hint="default" w:ascii="Times New Roman" w:hAnsi="Times New Roman" w:eastAsia="宋体" w:cs="Times New Roman"/>
                <w:i/>
                <w:iCs/>
                <w:color w:val="auto"/>
                <w:sz w:val="21"/>
                <w:szCs w:val="21"/>
                <w:u w:val="none" w:color="auto"/>
                <w:lang w:bidi="ar"/>
              </w:rPr>
              <w:t>Pediastrum tetras</w:t>
            </w:r>
          </w:p>
        </w:tc>
        <w:tc>
          <w:tcPr>
            <w:tcW w:w="1242" w:type="dxa"/>
            <w:noWrap w:val="0"/>
            <w:vAlign w:val="center"/>
          </w:tcPr>
          <w:p w14:paraId="1B5E1A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333D80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9F0E6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6D55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87B2F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7D5DB1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二角盘星藻</w:t>
            </w:r>
            <w:r>
              <w:rPr>
                <w:rStyle w:val="70"/>
                <w:rFonts w:hint="default" w:ascii="Times New Roman" w:hAnsi="Times New Roman" w:eastAsia="宋体" w:cs="Times New Roman"/>
                <w:i/>
                <w:iCs/>
                <w:color w:val="auto"/>
                <w:sz w:val="21"/>
                <w:szCs w:val="21"/>
                <w:u w:val="none" w:color="auto"/>
                <w:lang w:bidi="ar"/>
              </w:rPr>
              <w:t>Pediastrum duplex</w:t>
            </w:r>
          </w:p>
        </w:tc>
        <w:tc>
          <w:tcPr>
            <w:tcW w:w="1242" w:type="dxa"/>
            <w:noWrap w:val="0"/>
            <w:vAlign w:val="center"/>
          </w:tcPr>
          <w:p w14:paraId="3A1ED6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AD854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62BA0F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729C82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4B0E10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EC755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单角盘星藻</w:t>
            </w:r>
            <w:r>
              <w:rPr>
                <w:rStyle w:val="70"/>
                <w:rFonts w:hint="default" w:ascii="Times New Roman" w:hAnsi="Times New Roman" w:eastAsia="宋体" w:cs="Times New Roman"/>
                <w:i/>
                <w:iCs/>
                <w:color w:val="auto"/>
                <w:sz w:val="21"/>
                <w:szCs w:val="21"/>
                <w:u w:val="none" w:color="auto"/>
                <w:lang w:bidi="ar"/>
              </w:rPr>
              <w:t>Pediastrum simplex</w:t>
            </w:r>
          </w:p>
        </w:tc>
        <w:tc>
          <w:tcPr>
            <w:tcW w:w="1242" w:type="dxa"/>
            <w:noWrap w:val="0"/>
            <w:vAlign w:val="center"/>
          </w:tcPr>
          <w:p w14:paraId="3A70F3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57EE0D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1232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9171D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14F3B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949FA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栅藻</w:t>
            </w:r>
            <w:r>
              <w:rPr>
                <w:rStyle w:val="70"/>
                <w:rFonts w:hint="default" w:ascii="Times New Roman" w:hAnsi="Times New Roman" w:eastAsia="宋体" w:cs="Times New Roman"/>
                <w:i/>
                <w:iCs/>
                <w:color w:val="auto"/>
                <w:sz w:val="21"/>
                <w:szCs w:val="21"/>
                <w:u w:val="none" w:color="auto"/>
                <w:lang w:bidi="ar"/>
              </w:rPr>
              <w:t>Scenedesmus</w:t>
            </w:r>
          </w:p>
        </w:tc>
        <w:tc>
          <w:tcPr>
            <w:tcW w:w="1242" w:type="dxa"/>
            <w:noWrap w:val="0"/>
            <w:vAlign w:val="center"/>
          </w:tcPr>
          <w:p w14:paraId="041DAB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8E7B6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217FFA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20F57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D555E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F29C3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十字藻</w:t>
            </w:r>
            <w:r>
              <w:rPr>
                <w:rStyle w:val="70"/>
                <w:rFonts w:hint="default" w:ascii="Times New Roman" w:hAnsi="Times New Roman" w:eastAsia="宋体" w:cs="Times New Roman"/>
                <w:i/>
                <w:iCs/>
                <w:color w:val="auto"/>
                <w:sz w:val="21"/>
                <w:szCs w:val="21"/>
                <w:u w:val="none" w:color="auto"/>
                <w:lang w:bidi="ar"/>
              </w:rPr>
              <w:t>Crucigenia.</w:t>
            </w:r>
          </w:p>
        </w:tc>
        <w:tc>
          <w:tcPr>
            <w:tcW w:w="1242" w:type="dxa"/>
            <w:noWrap w:val="0"/>
            <w:vAlign w:val="center"/>
          </w:tcPr>
          <w:p w14:paraId="37FEC4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46C023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97FE8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0A473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119D51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A9475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四角藻</w:t>
            </w:r>
            <w:r>
              <w:rPr>
                <w:rStyle w:val="70"/>
                <w:rFonts w:hint="default" w:ascii="Times New Roman" w:hAnsi="Times New Roman" w:eastAsia="宋体" w:cs="Times New Roman"/>
                <w:i/>
                <w:iCs/>
                <w:color w:val="auto"/>
                <w:sz w:val="21"/>
                <w:szCs w:val="21"/>
                <w:u w:val="none" w:color="auto"/>
                <w:lang w:bidi="ar"/>
              </w:rPr>
              <w:t>Tetraedron</w:t>
            </w:r>
          </w:p>
        </w:tc>
        <w:tc>
          <w:tcPr>
            <w:tcW w:w="1242" w:type="dxa"/>
            <w:noWrap w:val="0"/>
            <w:vAlign w:val="center"/>
          </w:tcPr>
          <w:p w14:paraId="10AE76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0178D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4C0FB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BF440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549515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1DAA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四星藻</w:t>
            </w:r>
            <w:r>
              <w:rPr>
                <w:rStyle w:val="70"/>
                <w:rFonts w:hint="default" w:ascii="Times New Roman" w:hAnsi="Times New Roman" w:eastAsia="宋体" w:cs="Times New Roman"/>
                <w:i/>
                <w:iCs/>
                <w:color w:val="auto"/>
                <w:sz w:val="21"/>
                <w:szCs w:val="21"/>
                <w:u w:val="none" w:color="auto"/>
                <w:lang w:bidi="ar"/>
              </w:rPr>
              <w:t>Tetratrum</w:t>
            </w:r>
          </w:p>
        </w:tc>
        <w:tc>
          <w:tcPr>
            <w:tcW w:w="1242" w:type="dxa"/>
            <w:noWrap w:val="0"/>
            <w:vAlign w:val="center"/>
          </w:tcPr>
          <w:p w14:paraId="25E33A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745F1C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691D61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608BF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73B6A4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553E92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集星藻</w:t>
            </w:r>
            <w:r>
              <w:rPr>
                <w:rStyle w:val="70"/>
                <w:rFonts w:hint="default" w:ascii="Times New Roman" w:hAnsi="Times New Roman" w:eastAsia="宋体" w:cs="Times New Roman"/>
                <w:i/>
                <w:iCs/>
                <w:color w:val="auto"/>
                <w:sz w:val="21"/>
                <w:szCs w:val="21"/>
                <w:u w:val="none" w:color="auto"/>
                <w:lang w:bidi="ar"/>
              </w:rPr>
              <w:t>Actinastrum</w:t>
            </w:r>
          </w:p>
        </w:tc>
        <w:tc>
          <w:tcPr>
            <w:tcW w:w="1242" w:type="dxa"/>
            <w:noWrap w:val="0"/>
            <w:vAlign w:val="center"/>
          </w:tcPr>
          <w:p w14:paraId="72A7C3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43D316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DC844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638B6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46D1C11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4B7F4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网状空星藻</w:t>
            </w:r>
            <w:r>
              <w:rPr>
                <w:rStyle w:val="70"/>
                <w:rFonts w:hint="default" w:ascii="Times New Roman" w:hAnsi="Times New Roman" w:eastAsia="宋体" w:cs="Times New Roman"/>
                <w:i/>
                <w:iCs/>
                <w:color w:val="auto"/>
                <w:sz w:val="21"/>
                <w:szCs w:val="21"/>
                <w:u w:val="none" w:color="auto"/>
                <w:lang w:bidi="ar"/>
              </w:rPr>
              <w:t>Coelastr reticulatum</w:t>
            </w:r>
          </w:p>
        </w:tc>
        <w:tc>
          <w:tcPr>
            <w:tcW w:w="1242" w:type="dxa"/>
            <w:noWrap w:val="0"/>
            <w:vAlign w:val="center"/>
          </w:tcPr>
          <w:p w14:paraId="414140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4AC401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9F63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37DB89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BED9A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4AE787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空星藻</w:t>
            </w:r>
            <w:r>
              <w:rPr>
                <w:rStyle w:val="70"/>
                <w:rFonts w:hint="default" w:ascii="Times New Roman" w:hAnsi="Times New Roman" w:eastAsia="宋体" w:cs="Times New Roman"/>
                <w:i/>
                <w:iCs/>
                <w:color w:val="auto"/>
                <w:sz w:val="21"/>
                <w:szCs w:val="21"/>
                <w:u w:val="none" w:color="auto"/>
                <w:lang w:bidi="ar"/>
              </w:rPr>
              <w:t>Coelastrum</w:t>
            </w:r>
          </w:p>
        </w:tc>
        <w:tc>
          <w:tcPr>
            <w:tcW w:w="1242" w:type="dxa"/>
            <w:noWrap w:val="0"/>
            <w:vAlign w:val="center"/>
          </w:tcPr>
          <w:p w14:paraId="60FC63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643FBD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3F4A49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7D324A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7B4D4D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0DB2C6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丝藻</w:t>
            </w:r>
            <w:r>
              <w:rPr>
                <w:rStyle w:val="70"/>
                <w:rFonts w:hint="default" w:ascii="Times New Roman" w:hAnsi="Times New Roman" w:eastAsia="宋体" w:cs="Times New Roman"/>
                <w:i/>
                <w:iCs/>
                <w:color w:val="auto"/>
                <w:sz w:val="21"/>
                <w:szCs w:val="21"/>
                <w:u w:val="none" w:color="auto"/>
                <w:lang w:bidi="ar"/>
              </w:rPr>
              <w:t>Ulothrix</w:t>
            </w:r>
          </w:p>
        </w:tc>
        <w:tc>
          <w:tcPr>
            <w:tcW w:w="1242" w:type="dxa"/>
            <w:noWrap w:val="0"/>
            <w:vAlign w:val="center"/>
          </w:tcPr>
          <w:p w14:paraId="76AD52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73B209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45CF9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590AD5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5EBAAE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86BFA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转板藻</w:t>
            </w:r>
            <w:r>
              <w:rPr>
                <w:rStyle w:val="70"/>
                <w:rFonts w:hint="default" w:ascii="Times New Roman" w:hAnsi="Times New Roman" w:eastAsia="宋体" w:cs="Times New Roman"/>
                <w:i/>
                <w:iCs/>
                <w:color w:val="auto"/>
                <w:sz w:val="21"/>
                <w:szCs w:val="21"/>
                <w:u w:val="none" w:color="auto"/>
                <w:lang w:bidi="ar"/>
              </w:rPr>
              <w:t>Mougeotia</w:t>
            </w:r>
          </w:p>
        </w:tc>
        <w:tc>
          <w:tcPr>
            <w:tcW w:w="1242" w:type="dxa"/>
            <w:noWrap w:val="0"/>
            <w:vAlign w:val="center"/>
          </w:tcPr>
          <w:p w14:paraId="75360E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2FFEE2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7DF2F7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17C407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F578A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33BAAF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鼓藻</w:t>
            </w:r>
            <w:r>
              <w:rPr>
                <w:rStyle w:val="70"/>
                <w:rFonts w:hint="default" w:ascii="Times New Roman" w:hAnsi="Times New Roman" w:eastAsia="宋体" w:cs="Times New Roman"/>
                <w:i/>
                <w:iCs/>
                <w:color w:val="auto"/>
                <w:sz w:val="21"/>
                <w:szCs w:val="21"/>
                <w:u w:val="none" w:color="auto"/>
                <w:lang w:bidi="ar"/>
              </w:rPr>
              <w:t>Cosmarium</w:t>
            </w:r>
          </w:p>
        </w:tc>
        <w:tc>
          <w:tcPr>
            <w:tcW w:w="1242" w:type="dxa"/>
            <w:noWrap w:val="0"/>
            <w:vAlign w:val="center"/>
          </w:tcPr>
          <w:p w14:paraId="2036D2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6873B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426018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0E911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4B04E3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1037CB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新月藻</w:t>
            </w:r>
            <w:r>
              <w:rPr>
                <w:rStyle w:val="70"/>
                <w:rFonts w:hint="default" w:ascii="Times New Roman" w:hAnsi="Times New Roman" w:eastAsia="宋体" w:cs="Times New Roman"/>
                <w:i/>
                <w:iCs/>
                <w:color w:val="auto"/>
                <w:sz w:val="21"/>
                <w:szCs w:val="21"/>
                <w:u w:val="none" w:color="auto"/>
                <w:lang w:bidi="ar"/>
              </w:rPr>
              <w:t>Closterium</w:t>
            </w:r>
          </w:p>
        </w:tc>
        <w:tc>
          <w:tcPr>
            <w:tcW w:w="1242" w:type="dxa"/>
            <w:noWrap w:val="0"/>
            <w:vAlign w:val="center"/>
          </w:tcPr>
          <w:p w14:paraId="452BC9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6" w:type="dxa"/>
            <w:noWrap w:val="0"/>
            <w:vAlign w:val="center"/>
          </w:tcPr>
          <w:p w14:paraId="31FF29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6FFE3D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624D28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6FAB9E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878" w:type="dxa"/>
            <w:noWrap w:val="0"/>
            <w:vAlign w:val="center"/>
          </w:tcPr>
          <w:p w14:paraId="6EE3DD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iCs/>
                <w:color w:val="auto"/>
                <w:sz w:val="21"/>
                <w:szCs w:val="21"/>
                <w:u w:val="none" w:color="auto"/>
              </w:rPr>
            </w:pPr>
            <w:r>
              <w:rPr>
                <w:rFonts w:hint="default" w:ascii="Times New Roman" w:hAnsi="Times New Roman" w:eastAsia="宋体" w:cs="Times New Roman"/>
                <w:color w:val="auto"/>
                <w:sz w:val="21"/>
                <w:szCs w:val="21"/>
                <w:u w:val="none" w:color="auto"/>
                <w:lang w:bidi="ar"/>
              </w:rPr>
              <w:t>角星鼓藻</w:t>
            </w:r>
            <w:r>
              <w:rPr>
                <w:rStyle w:val="70"/>
                <w:rFonts w:hint="default" w:ascii="Times New Roman" w:hAnsi="Times New Roman" w:eastAsia="宋体" w:cs="Times New Roman"/>
                <w:i/>
                <w:iCs/>
                <w:color w:val="auto"/>
                <w:sz w:val="21"/>
                <w:szCs w:val="21"/>
                <w:u w:val="none" w:color="auto"/>
                <w:lang w:bidi="ar"/>
              </w:rPr>
              <w:t>Staurastrum</w:t>
            </w:r>
          </w:p>
        </w:tc>
        <w:tc>
          <w:tcPr>
            <w:tcW w:w="1242" w:type="dxa"/>
            <w:noWrap w:val="0"/>
            <w:vAlign w:val="center"/>
          </w:tcPr>
          <w:p w14:paraId="62775A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6" w:type="dxa"/>
            <w:noWrap w:val="0"/>
            <w:vAlign w:val="center"/>
          </w:tcPr>
          <w:p w14:paraId="4860A3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c>
          <w:tcPr>
            <w:tcW w:w="1405" w:type="dxa"/>
            <w:noWrap w:val="0"/>
            <w:vAlign w:val="center"/>
          </w:tcPr>
          <w:p w14:paraId="3BF171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405" w:type="dxa"/>
            <w:noWrap w:val="0"/>
            <w:vAlign w:val="center"/>
          </w:tcPr>
          <w:p w14:paraId="20C578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bl>
    <w:p w14:paraId="5F07B904">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25" w:name="_Toc17322"/>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底栖动物</w:t>
      </w:r>
      <w:bookmarkEnd w:id="625"/>
    </w:p>
    <w:p w14:paraId="1C7A516B">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湖南东洞庭湖国家级自然保护区内底栖动物有4大类，共62种，其中，水生昆虫和软体动物为优势种群，环节动物和甲壳动物次之。寡毛类及水生昆虫17种，其平均密度986.03个/m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，平均生物量为0.9398g/m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。有单壳类软体动物10种，分别隶属于腹足纲的3科6属，其优势种群为环棱螺；有双壳类25种，分别隶属于瓣鳃纲的3科13属，其优势种群为三角帆蚌、丽蚌、河蚬等，底栖软体动物平均生物量为38.92g/m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。游泳亚目虾类6种，分属2科3属，其优势种群为青虾、秀丽白虾；爬行亚目虾类1种，即克氏螯虾，为优势种；有爬行亚目蟹类3种，分属2科2属。底栖动物种类和数量分布见表</w:t>
      </w:r>
      <w:r>
        <w:rPr>
          <w:rFonts w:hint="default" w:ascii="Times New Roman" w:hAnsi="Times New Roman" w:eastAsia="宋体" w:cs="Times New Roman"/>
          <w:color w:val="auto"/>
          <w:sz w:val="24"/>
          <w:szCs w:val="24"/>
          <w:u w:val="none" w:color="auto"/>
          <w:lang w:val="en-US" w:eastAsia="zh-CN"/>
        </w:rPr>
        <w:t>4.5-24</w:t>
      </w:r>
      <w:r>
        <w:rPr>
          <w:rFonts w:hint="default" w:ascii="Times New Roman" w:hAnsi="Times New Roman" w:eastAsia="宋体" w:cs="Times New Roman"/>
          <w:color w:val="auto"/>
          <w:sz w:val="24"/>
          <w:szCs w:val="24"/>
          <w:u w:val="none" w:color="auto"/>
        </w:rPr>
        <w:t>至表</w:t>
      </w:r>
      <w:r>
        <w:rPr>
          <w:rFonts w:hint="default" w:ascii="Times New Roman" w:hAnsi="Times New Roman" w:eastAsia="宋体" w:cs="Times New Roman"/>
          <w:color w:val="auto"/>
          <w:sz w:val="24"/>
          <w:szCs w:val="24"/>
          <w:u w:val="none" w:color="auto"/>
          <w:lang w:val="en-US" w:eastAsia="zh-CN"/>
        </w:rPr>
        <w:t>4.5-27</w:t>
      </w:r>
      <w:r>
        <w:rPr>
          <w:rFonts w:hint="default" w:ascii="Times New Roman" w:hAnsi="Times New Roman" w:eastAsia="宋体" w:cs="Times New Roman"/>
          <w:color w:val="auto"/>
          <w:sz w:val="24"/>
          <w:szCs w:val="24"/>
          <w:u w:val="none" w:color="auto"/>
        </w:rPr>
        <w:t>。</w:t>
      </w:r>
    </w:p>
    <w:p w14:paraId="32C7B456">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lang w:val="en-US" w:eastAsia="zh-CN"/>
        </w:rPr>
      </w:pPr>
    </w:p>
    <w:p w14:paraId="674E0231">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表4.5-24 </w:t>
      </w:r>
      <w:r>
        <w:rPr>
          <w:rFonts w:hint="default" w:ascii="Times New Roman" w:hAnsi="Times New Roman" w:eastAsia="宋体" w:cs="Times New Roman"/>
          <w:color w:val="auto"/>
          <w:sz w:val="24"/>
          <w:szCs w:val="24"/>
          <w:u w:val="none" w:color="auto"/>
        </w:rPr>
        <w:t>水生寡毛类摇蚊幼虫其它水生昆虫种类</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5527"/>
        <w:gridCol w:w="1885"/>
      </w:tblGrid>
      <w:tr w14:paraId="5A0CFF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21" w:type="dxa"/>
            <w:gridSpan w:val="2"/>
            <w:noWrap w:val="0"/>
            <w:vAlign w:val="center"/>
          </w:tcPr>
          <w:p w14:paraId="28D3A7EA">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种类名称</w:t>
            </w:r>
          </w:p>
        </w:tc>
        <w:tc>
          <w:tcPr>
            <w:tcW w:w="1885" w:type="dxa"/>
            <w:noWrap w:val="0"/>
            <w:vAlign w:val="center"/>
          </w:tcPr>
          <w:p w14:paraId="6A7EF603">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种群数量</w:t>
            </w:r>
          </w:p>
        </w:tc>
      </w:tr>
      <w:tr w14:paraId="375D45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6CCE4448">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5527" w:type="dxa"/>
            <w:noWrap w:val="0"/>
            <w:vAlign w:val="center"/>
          </w:tcPr>
          <w:p w14:paraId="6A648FDA">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盘水蚓属</w:t>
            </w:r>
            <w:r>
              <w:rPr>
                <w:rFonts w:hint="default" w:ascii="Times New Roman" w:hAnsi="Times New Roman" w:eastAsia="宋体" w:cs="Times New Roman"/>
                <w:i/>
                <w:color w:val="auto"/>
                <w:spacing w:val="-1"/>
                <w:sz w:val="21"/>
                <w:szCs w:val="21"/>
                <w:u w:val="none" w:color="auto"/>
              </w:rPr>
              <w:t>Bothrioneurum</w:t>
            </w:r>
          </w:p>
        </w:tc>
        <w:tc>
          <w:tcPr>
            <w:tcW w:w="1885" w:type="dxa"/>
            <w:noWrap w:val="0"/>
            <w:vAlign w:val="center"/>
          </w:tcPr>
          <w:p w14:paraId="6583FC41">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EC0A0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7B261185">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5527" w:type="dxa"/>
            <w:noWrap w:val="0"/>
            <w:vAlign w:val="center"/>
          </w:tcPr>
          <w:p w14:paraId="137513F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管水蚓属</w:t>
            </w:r>
            <w:r>
              <w:rPr>
                <w:rFonts w:hint="default" w:ascii="Times New Roman" w:hAnsi="Times New Roman" w:eastAsia="宋体" w:cs="Times New Roman"/>
                <w:i/>
                <w:color w:val="auto"/>
                <w:spacing w:val="-1"/>
                <w:sz w:val="21"/>
                <w:szCs w:val="21"/>
                <w:u w:val="none" w:color="auto"/>
              </w:rPr>
              <w:t>Aulcdrilus</w:t>
            </w:r>
          </w:p>
        </w:tc>
        <w:tc>
          <w:tcPr>
            <w:tcW w:w="1885" w:type="dxa"/>
            <w:noWrap w:val="0"/>
            <w:vAlign w:val="center"/>
          </w:tcPr>
          <w:p w14:paraId="0F26C05F">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4FF93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0E0429F4">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5527" w:type="dxa"/>
            <w:noWrap w:val="0"/>
            <w:vAlign w:val="center"/>
          </w:tcPr>
          <w:p w14:paraId="4B19D6B7">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水丝蚓属</w:t>
            </w:r>
            <w:r>
              <w:rPr>
                <w:rFonts w:hint="default" w:ascii="Times New Roman" w:hAnsi="Times New Roman" w:eastAsia="宋体" w:cs="Times New Roman"/>
                <w:i/>
                <w:color w:val="auto"/>
                <w:sz w:val="21"/>
                <w:szCs w:val="21"/>
                <w:u w:val="none" w:color="auto"/>
              </w:rPr>
              <w:t>Limnodrilus</w:t>
            </w:r>
          </w:p>
        </w:tc>
        <w:tc>
          <w:tcPr>
            <w:tcW w:w="1885" w:type="dxa"/>
            <w:noWrap w:val="0"/>
            <w:vAlign w:val="center"/>
          </w:tcPr>
          <w:p w14:paraId="45333D9F">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5C893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6FED936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5527" w:type="dxa"/>
            <w:noWrap w:val="0"/>
            <w:vAlign w:val="center"/>
          </w:tcPr>
          <w:p w14:paraId="5D633C5F">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尾鳃蚓属</w:t>
            </w:r>
            <w:r>
              <w:rPr>
                <w:rFonts w:hint="default" w:ascii="Times New Roman" w:hAnsi="Times New Roman" w:eastAsia="宋体" w:cs="Times New Roman"/>
                <w:i/>
                <w:color w:val="auto"/>
                <w:spacing w:val="-1"/>
                <w:sz w:val="21"/>
                <w:szCs w:val="21"/>
                <w:u w:val="none" w:color="auto"/>
              </w:rPr>
              <w:t>Branchiura</w:t>
            </w:r>
          </w:p>
        </w:tc>
        <w:tc>
          <w:tcPr>
            <w:tcW w:w="1885" w:type="dxa"/>
            <w:noWrap w:val="0"/>
            <w:vAlign w:val="center"/>
          </w:tcPr>
          <w:p w14:paraId="4150AE97">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529D14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3B9D3BCA">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5527" w:type="dxa"/>
            <w:noWrap w:val="0"/>
            <w:vAlign w:val="center"/>
          </w:tcPr>
          <w:p w14:paraId="689F9BDB">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颤蚓属</w:t>
            </w:r>
            <w:r>
              <w:rPr>
                <w:rFonts w:hint="default" w:ascii="Times New Roman" w:hAnsi="Times New Roman" w:eastAsia="宋体" w:cs="Times New Roman"/>
                <w:i/>
                <w:color w:val="auto"/>
                <w:sz w:val="21"/>
                <w:szCs w:val="21"/>
                <w:u w:val="none" w:color="auto"/>
              </w:rPr>
              <w:t>Tubifex</w:t>
            </w:r>
          </w:p>
        </w:tc>
        <w:tc>
          <w:tcPr>
            <w:tcW w:w="1885" w:type="dxa"/>
            <w:noWrap w:val="0"/>
            <w:vAlign w:val="center"/>
          </w:tcPr>
          <w:p w14:paraId="786AC2FB">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B4C34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1B6D33DF">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5527" w:type="dxa"/>
            <w:noWrap w:val="0"/>
            <w:vAlign w:val="center"/>
          </w:tcPr>
          <w:p w14:paraId="189319D6">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单孔蚓属</w:t>
            </w:r>
            <w:r>
              <w:rPr>
                <w:rFonts w:hint="default" w:ascii="Times New Roman" w:hAnsi="Times New Roman" w:eastAsia="宋体" w:cs="Times New Roman"/>
                <w:i/>
                <w:color w:val="auto"/>
                <w:spacing w:val="-1"/>
                <w:sz w:val="21"/>
                <w:szCs w:val="21"/>
                <w:u w:val="none" w:color="auto"/>
              </w:rPr>
              <w:t>Monopylephoru</w:t>
            </w:r>
          </w:p>
        </w:tc>
        <w:tc>
          <w:tcPr>
            <w:tcW w:w="1885" w:type="dxa"/>
            <w:noWrap w:val="0"/>
            <w:vAlign w:val="center"/>
          </w:tcPr>
          <w:p w14:paraId="27946C86">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0A897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3319764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w:t>
            </w:r>
          </w:p>
        </w:tc>
        <w:tc>
          <w:tcPr>
            <w:tcW w:w="5527" w:type="dxa"/>
            <w:noWrap w:val="0"/>
            <w:vAlign w:val="center"/>
          </w:tcPr>
          <w:p w14:paraId="7FB7A4F0">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仙女虫科</w:t>
            </w:r>
            <w:r>
              <w:rPr>
                <w:rFonts w:hint="default" w:ascii="Times New Roman" w:hAnsi="Times New Roman" w:eastAsia="宋体" w:cs="Times New Roman"/>
                <w:iCs/>
                <w:color w:val="auto"/>
                <w:spacing w:val="-1"/>
                <w:sz w:val="21"/>
                <w:szCs w:val="21"/>
                <w:u w:val="none" w:color="auto"/>
              </w:rPr>
              <w:t>Naididae</w:t>
            </w:r>
          </w:p>
        </w:tc>
        <w:tc>
          <w:tcPr>
            <w:tcW w:w="1885" w:type="dxa"/>
            <w:noWrap w:val="0"/>
            <w:vAlign w:val="center"/>
          </w:tcPr>
          <w:p w14:paraId="6936EFD9">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54532A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0167A967">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c>
          <w:tcPr>
            <w:tcW w:w="5527" w:type="dxa"/>
            <w:noWrap w:val="0"/>
            <w:vAlign w:val="center"/>
          </w:tcPr>
          <w:p w14:paraId="116EAA72">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粗腹摇蚊属</w:t>
            </w:r>
            <w:r>
              <w:rPr>
                <w:rFonts w:hint="default" w:ascii="Times New Roman" w:hAnsi="Times New Roman" w:eastAsia="宋体" w:cs="Times New Roman"/>
                <w:i/>
                <w:color w:val="auto"/>
                <w:spacing w:val="-1"/>
                <w:sz w:val="21"/>
                <w:szCs w:val="21"/>
                <w:u w:val="none" w:color="auto"/>
              </w:rPr>
              <w:t>Pelopia</w:t>
            </w:r>
          </w:p>
        </w:tc>
        <w:tc>
          <w:tcPr>
            <w:tcW w:w="1885" w:type="dxa"/>
            <w:noWrap w:val="0"/>
            <w:vAlign w:val="center"/>
          </w:tcPr>
          <w:p w14:paraId="0F864F50">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0A4ED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24E89635">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9</w:t>
            </w:r>
          </w:p>
        </w:tc>
        <w:tc>
          <w:tcPr>
            <w:tcW w:w="5527" w:type="dxa"/>
            <w:noWrap w:val="0"/>
            <w:vAlign w:val="center"/>
          </w:tcPr>
          <w:p w14:paraId="48B5A116">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菱跗摇蚊属</w:t>
            </w:r>
            <w:r>
              <w:rPr>
                <w:rFonts w:hint="default" w:ascii="Times New Roman" w:hAnsi="Times New Roman" w:eastAsia="宋体" w:cs="Times New Roman"/>
                <w:i/>
                <w:color w:val="auto"/>
                <w:spacing w:val="-1"/>
                <w:sz w:val="21"/>
                <w:szCs w:val="21"/>
                <w:u w:val="none" w:color="auto"/>
              </w:rPr>
              <w:t>clinotanypus</w:t>
            </w:r>
          </w:p>
        </w:tc>
        <w:tc>
          <w:tcPr>
            <w:tcW w:w="1885" w:type="dxa"/>
            <w:noWrap w:val="0"/>
            <w:vAlign w:val="center"/>
          </w:tcPr>
          <w:p w14:paraId="111A287B">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FEA7C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1BECE539">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c>
          <w:tcPr>
            <w:tcW w:w="5527" w:type="dxa"/>
            <w:noWrap w:val="0"/>
            <w:vAlign w:val="center"/>
          </w:tcPr>
          <w:p w14:paraId="2DC59C38">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多足摇蚊属</w:t>
            </w:r>
            <w:r>
              <w:rPr>
                <w:rFonts w:hint="default" w:ascii="Times New Roman" w:hAnsi="Times New Roman" w:eastAsia="宋体" w:cs="Times New Roman"/>
                <w:i/>
                <w:color w:val="auto"/>
                <w:spacing w:val="-1"/>
                <w:sz w:val="21"/>
                <w:szCs w:val="21"/>
                <w:u w:val="none" w:color="auto"/>
              </w:rPr>
              <w:t>polypedilum</w:t>
            </w:r>
          </w:p>
        </w:tc>
        <w:tc>
          <w:tcPr>
            <w:tcW w:w="1885" w:type="dxa"/>
            <w:noWrap w:val="0"/>
            <w:vAlign w:val="center"/>
          </w:tcPr>
          <w:p w14:paraId="69C966E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05087F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0ED5DB7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11</w:t>
            </w:r>
          </w:p>
        </w:tc>
        <w:tc>
          <w:tcPr>
            <w:tcW w:w="5527" w:type="dxa"/>
            <w:noWrap w:val="0"/>
            <w:vAlign w:val="center"/>
          </w:tcPr>
          <w:p w14:paraId="76B312B5">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内摇蚊属</w:t>
            </w:r>
            <w:r>
              <w:rPr>
                <w:rFonts w:hint="default" w:ascii="Times New Roman" w:hAnsi="Times New Roman" w:eastAsia="宋体" w:cs="Times New Roman"/>
                <w:i/>
                <w:color w:val="auto"/>
                <w:spacing w:val="-1"/>
                <w:sz w:val="21"/>
                <w:szCs w:val="21"/>
                <w:u w:val="none" w:color="auto"/>
              </w:rPr>
              <w:t>Endochironomus</w:t>
            </w:r>
          </w:p>
        </w:tc>
        <w:tc>
          <w:tcPr>
            <w:tcW w:w="1885" w:type="dxa"/>
            <w:noWrap w:val="0"/>
            <w:vAlign w:val="center"/>
          </w:tcPr>
          <w:p w14:paraId="55E17FF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0F1A4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3757DF8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5527" w:type="dxa"/>
            <w:noWrap w:val="0"/>
            <w:vAlign w:val="center"/>
          </w:tcPr>
          <w:p w14:paraId="17C6D5B4">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前突摇蚊属</w:t>
            </w:r>
            <w:r>
              <w:rPr>
                <w:rFonts w:hint="default" w:ascii="Times New Roman" w:hAnsi="Times New Roman" w:eastAsia="宋体" w:cs="Times New Roman"/>
                <w:i/>
                <w:color w:val="auto"/>
                <w:spacing w:val="-1"/>
                <w:sz w:val="21"/>
                <w:szCs w:val="21"/>
                <w:u w:val="none" w:color="auto"/>
              </w:rPr>
              <w:t>Procladius</w:t>
            </w:r>
          </w:p>
        </w:tc>
        <w:tc>
          <w:tcPr>
            <w:tcW w:w="1885" w:type="dxa"/>
            <w:noWrap w:val="0"/>
            <w:vAlign w:val="center"/>
          </w:tcPr>
          <w:p w14:paraId="3872C6B6">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57FF4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3906A777">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5527" w:type="dxa"/>
            <w:noWrap w:val="0"/>
            <w:vAlign w:val="center"/>
          </w:tcPr>
          <w:p w14:paraId="0600AC8D">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隐摇蚊属</w:t>
            </w:r>
            <w:r>
              <w:rPr>
                <w:rFonts w:hint="default" w:ascii="Times New Roman" w:hAnsi="Times New Roman" w:eastAsia="宋体" w:cs="Times New Roman"/>
                <w:i/>
                <w:color w:val="auto"/>
                <w:spacing w:val="-1"/>
                <w:sz w:val="21"/>
                <w:szCs w:val="21"/>
                <w:u w:val="none" w:color="auto"/>
              </w:rPr>
              <w:t>Cryptochironomus</w:t>
            </w:r>
          </w:p>
        </w:tc>
        <w:tc>
          <w:tcPr>
            <w:tcW w:w="1885" w:type="dxa"/>
            <w:noWrap w:val="0"/>
            <w:vAlign w:val="center"/>
          </w:tcPr>
          <w:p w14:paraId="022ED89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8DDBD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4AC09090">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14</w:t>
            </w:r>
          </w:p>
        </w:tc>
        <w:tc>
          <w:tcPr>
            <w:tcW w:w="5527" w:type="dxa"/>
            <w:noWrap w:val="0"/>
            <w:vAlign w:val="center"/>
          </w:tcPr>
          <w:p w14:paraId="7F4A75D4">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共生突摇蚊属</w:t>
            </w:r>
            <w:r>
              <w:rPr>
                <w:rFonts w:hint="default" w:ascii="Times New Roman" w:hAnsi="Times New Roman" w:eastAsia="宋体" w:cs="Times New Roman"/>
                <w:i/>
                <w:color w:val="auto"/>
                <w:spacing w:val="-1"/>
                <w:sz w:val="21"/>
                <w:szCs w:val="21"/>
                <w:u w:val="none" w:color="auto"/>
              </w:rPr>
              <w:t>Symbiocladius</w:t>
            </w:r>
          </w:p>
        </w:tc>
        <w:tc>
          <w:tcPr>
            <w:tcW w:w="1885" w:type="dxa"/>
            <w:noWrap w:val="0"/>
            <w:vAlign w:val="center"/>
          </w:tcPr>
          <w:p w14:paraId="7725901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C5B35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367858A9">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15</w:t>
            </w:r>
          </w:p>
        </w:tc>
        <w:tc>
          <w:tcPr>
            <w:tcW w:w="5527" w:type="dxa"/>
            <w:noWrap w:val="0"/>
            <w:vAlign w:val="center"/>
          </w:tcPr>
          <w:p w14:paraId="667FA1AC">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蛭纲</w:t>
            </w:r>
            <w:r>
              <w:rPr>
                <w:rFonts w:hint="default" w:ascii="Times New Roman" w:hAnsi="Times New Roman" w:eastAsia="宋体" w:cs="Times New Roman"/>
                <w:iCs/>
                <w:color w:val="auto"/>
                <w:sz w:val="21"/>
                <w:szCs w:val="21"/>
                <w:u w:val="none" w:color="auto"/>
              </w:rPr>
              <w:t>Hirudinea</w:t>
            </w:r>
          </w:p>
        </w:tc>
        <w:tc>
          <w:tcPr>
            <w:tcW w:w="1885" w:type="dxa"/>
            <w:noWrap w:val="0"/>
            <w:vAlign w:val="center"/>
          </w:tcPr>
          <w:p w14:paraId="4AC6353A">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3BA009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7A06408A">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5527" w:type="dxa"/>
            <w:noWrap w:val="0"/>
            <w:vAlign w:val="center"/>
          </w:tcPr>
          <w:p w14:paraId="0875655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毛翅目</w:t>
            </w:r>
            <w:r>
              <w:rPr>
                <w:rFonts w:hint="default" w:ascii="Times New Roman" w:hAnsi="Times New Roman" w:eastAsia="宋体" w:cs="Times New Roman"/>
                <w:iCs/>
                <w:color w:val="auto"/>
                <w:sz w:val="21"/>
                <w:szCs w:val="21"/>
                <w:u w:val="none" w:color="auto"/>
              </w:rPr>
              <w:t>Trichoptera</w:t>
            </w:r>
          </w:p>
        </w:tc>
        <w:tc>
          <w:tcPr>
            <w:tcW w:w="1885" w:type="dxa"/>
            <w:noWrap w:val="0"/>
            <w:vAlign w:val="center"/>
          </w:tcPr>
          <w:p w14:paraId="18257ABD">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C72BB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noWrap w:val="0"/>
            <w:vAlign w:val="center"/>
          </w:tcPr>
          <w:p w14:paraId="0E1559AD">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17</w:t>
            </w:r>
          </w:p>
        </w:tc>
        <w:tc>
          <w:tcPr>
            <w:tcW w:w="5527" w:type="dxa"/>
            <w:noWrap w:val="0"/>
            <w:vAlign w:val="center"/>
          </w:tcPr>
          <w:p w14:paraId="6261027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钩虾亚目</w:t>
            </w:r>
            <w:r>
              <w:rPr>
                <w:rFonts w:hint="default" w:ascii="Times New Roman" w:hAnsi="Times New Roman" w:eastAsia="宋体" w:cs="Times New Roman"/>
                <w:iCs/>
                <w:color w:val="auto"/>
                <w:spacing w:val="-1"/>
                <w:sz w:val="21"/>
                <w:szCs w:val="21"/>
                <w:u w:val="none" w:color="auto"/>
              </w:rPr>
              <w:t>Gammaridea</w:t>
            </w:r>
          </w:p>
        </w:tc>
        <w:tc>
          <w:tcPr>
            <w:tcW w:w="1885" w:type="dxa"/>
            <w:noWrap w:val="0"/>
            <w:vAlign w:val="center"/>
          </w:tcPr>
          <w:p w14:paraId="0CD59D9E">
            <w:pPr>
              <w:pStyle w:val="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bl>
    <w:p w14:paraId="0223B287">
      <w:pPr>
        <w:keepNext w:val="0"/>
        <w:keepLines w:val="0"/>
        <w:pageBreakBefore w:val="0"/>
        <w:widowControl w:val="0"/>
        <w:kinsoku/>
        <w:wordWrap/>
        <w:overflowPunct/>
        <w:topLinePunct w:val="0"/>
        <w:autoSpaceDE/>
        <w:autoSpaceDN/>
        <w:bidi w:val="0"/>
        <w:adjustRightInd/>
        <w:snapToGrid/>
        <w:spacing w:line="240" w:lineRule="auto"/>
        <w:ind w:left="317" w:firstLine="422"/>
        <w:textAlignment w:val="auto"/>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注：</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表示丰富、</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表示一般、</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表示较少。</w:t>
      </w:r>
    </w:p>
    <w:p w14:paraId="1388C1DD">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表4.5-25  </w:t>
      </w:r>
      <w:r>
        <w:rPr>
          <w:rFonts w:hint="default" w:ascii="Times New Roman" w:hAnsi="Times New Roman" w:eastAsia="宋体" w:cs="Times New Roman"/>
          <w:color w:val="auto"/>
          <w:sz w:val="24"/>
          <w:szCs w:val="24"/>
          <w:u w:val="none" w:color="auto"/>
        </w:rPr>
        <w:t>螺类种类和数量分布</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5527"/>
        <w:gridCol w:w="1885"/>
      </w:tblGrid>
      <w:tr w14:paraId="34677E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21" w:type="dxa"/>
            <w:gridSpan w:val="2"/>
            <w:noWrap w:val="0"/>
            <w:vAlign w:val="center"/>
          </w:tcPr>
          <w:p w14:paraId="6446737F">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种类名称</w:t>
            </w:r>
          </w:p>
        </w:tc>
        <w:tc>
          <w:tcPr>
            <w:tcW w:w="1885" w:type="dxa"/>
            <w:noWrap w:val="0"/>
            <w:vAlign w:val="center"/>
          </w:tcPr>
          <w:p w14:paraId="09CF14D5">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种群数量</w:t>
            </w:r>
          </w:p>
        </w:tc>
      </w:tr>
      <w:tr w14:paraId="25F0737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restart"/>
            <w:noWrap w:val="0"/>
            <w:vAlign w:val="center"/>
          </w:tcPr>
          <w:p w14:paraId="56F170F9">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5527" w:type="dxa"/>
            <w:noWrap w:val="0"/>
            <w:vAlign w:val="center"/>
          </w:tcPr>
          <w:p w14:paraId="7C1774AD">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田螺科</w:t>
            </w:r>
            <w:r>
              <w:rPr>
                <w:rFonts w:hint="default" w:ascii="Times New Roman" w:hAnsi="Times New Roman" w:eastAsia="宋体" w:cs="Times New Roman"/>
                <w:iCs/>
                <w:color w:val="auto"/>
                <w:sz w:val="21"/>
                <w:szCs w:val="21"/>
                <w:u w:val="none" w:color="auto"/>
              </w:rPr>
              <w:t>Viviparidae</w:t>
            </w:r>
          </w:p>
        </w:tc>
        <w:tc>
          <w:tcPr>
            <w:tcW w:w="1885" w:type="dxa"/>
            <w:noWrap w:val="0"/>
            <w:vAlign w:val="center"/>
          </w:tcPr>
          <w:p w14:paraId="799F76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r>
      <w:tr w14:paraId="53F268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3DCE61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2945F228">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（1）中国圆田螺</w:t>
            </w:r>
            <w:r>
              <w:rPr>
                <w:rFonts w:hint="default" w:ascii="Times New Roman" w:hAnsi="Times New Roman" w:eastAsia="宋体" w:cs="Times New Roman"/>
                <w:i/>
                <w:color w:val="auto"/>
                <w:sz w:val="21"/>
                <w:szCs w:val="21"/>
                <w:u w:val="none" w:color="auto"/>
              </w:rPr>
              <w:t>Cipangonaludina cahayensis</w:t>
            </w:r>
          </w:p>
        </w:tc>
        <w:tc>
          <w:tcPr>
            <w:tcW w:w="1885" w:type="dxa"/>
            <w:noWrap w:val="0"/>
            <w:vAlign w:val="center"/>
          </w:tcPr>
          <w:p w14:paraId="38C4C2CF">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58633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66FE45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1698FD3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（2）梨形环棱螺</w:t>
            </w:r>
            <w:r>
              <w:rPr>
                <w:rFonts w:hint="default" w:ascii="Times New Roman" w:hAnsi="Times New Roman" w:eastAsia="宋体" w:cs="Times New Roman"/>
                <w:i/>
                <w:color w:val="auto"/>
                <w:spacing w:val="-1"/>
                <w:sz w:val="21"/>
                <w:szCs w:val="21"/>
                <w:u w:val="none" w:color="auto"/>
              </w:rPr>
              <w:t>Bellamya purificata</w:t>
            </w:r>
          </w:p>
        </w:tc>
        <w:tc>
          <w:tcPr>
            <w:tcW w:w="1885" w:type="dxa"/>
            <w:noWrap w:val="0"/>
            <w:vAlign w:val="center"/>
          </w:tcPr>
          <w:p w14:paraId="35F56305">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352CA6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515BE9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42989E1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（3）铜锈环棱螺</w:t>
            </w:r>
            <w:r>
              <w:rPr>
                <w:rFonts w:hint="default" w:ascii="Times New Roman" w:hAnsi="Times New Roman" w:eastAsia="宋体" w:cs="Times New Roman"/>
                <w:i/>
                <w:color w:val="auto"/>
                <w:spacing w:val="-1"/>
                <w:sz w:val="21"/>
                <w:szCs w:val="21"/>
                <w:u w:val="none" w:color="auto"/>
              </w:rPr>
              <w:t>Bellamya aeruginosa</w:t>
            </w:r>
          </w:p>
        </w:tc>
        <w:tc>
          <w:tcPr>
            <w:tcW w:w="1885" w:type="dxa"/>
            <w:noWrap w:val="0"/>
            <w:vAlign w:val="center"/>
          </w:tcPr>
          <w:p w14:paraId="5B7B88A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79D2FB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3BC1DD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7F7FBD84">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（4）耳河螺</w:t>
            </w:r>
            <w:r>
              <w:rPr>
                <w:rFonts w:hint="default" w:ascii="Times New Roman" w:hAnsi="Times New Roman" w:eastAsia="宋体" w:cs="Times New Roman"/>
                <w:i/>
                <w:color w:val="auto"/>
                <w:spacing w:val="-1"/>
                <w:sz w:val="21"/>
                <w:szCs w:val="21"/>
                <w:u w:val="none" w:color="auto"/>
              </w:rPr>
              <w:t>Rivularia curiculata</w:t>
            </w:r>
          </w:p>
        </w:tc>
        <w:tc>
          <w:tcPr>
            <w:tcW w:w="1885" w:type="dxa"/>
            <w:noWrap w:val="0"/>
            <w:vAlign w:val="center"/>
          </w:tcPr>
          <w:p w14:paraId="048D74A5">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60B3F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235E67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39AC51F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（5）长河螺</w:t>
            </w:r>
            <w:r>
              <w:rPr>
                <w:rFonts w:hint="default" w:ascii="Times New Roman" w:hAnsi="Times New Roman" w:eastAsia="宋体" w:cs="Times New Roman"/>
                <w:i/>
                <w:color w:val="auto"/>
                <w:sz w:val="21"/>
                <w:szCs w:val="21"/>
                <w:u w:val="none" w:color="auto"/>
              </w:rPr>
              <w:t xml:space="preserve">Rivularia </w:t>
            </w:r>
            <w:r>
              <w:rPr>
                <w:rFonts w:hint="default" w:ascii="Times New Roman" w:hAnsi="Times New Roman" w:eastAsia="宋体" w:cs="Times New Roman"/>
                <w:i/>
                <w:color w:val="auto"/>
                <w:spacing w:val="-1"/>
                <w:sz w:val="21"/>
                <w:szCs w:val="21"/>
                <w:u w:val="none" w:color="auto"/>
              </w:rPr>
              <w:t>elongateHeude</w:t>
            </w:r>
          </w:p>
        </w:tc>
        <w:tc>
          <w:tcPr>
            <w:tcW w:w="1885" w:type="dxa"/>
            <w:noWrap w:val="0"/>
            <w:vAlign w:val="center"/>
          </w:tcPr>
          <w:p w14:paraId="1E424594">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7AA3CD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686DF0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1EA8E9DE">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（6）河螺一种</w:t>
            </w:r>
          </w:p>
        </w:tc>
        <w:tc>
          <w:tcPr>
            <w:tcW w:w="1885" w:type="dxa"/>
            <w:noWrap w:val="0"/>
            <w:vAlign w:val="center"/>
          </w:tcPr>
          <w:p w14:paraId="23837205">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7F312D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669AD2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5087DD5E">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（7）田螺一种</w:t>
            </w:r>
          </w:p>
        </w:tc>
        <w:tc>
          <w:tcPr>
            <w:tcW w:w="1885" w:type="dxa"/>
            <w:noWrap w:val="0"/>
            <w:vAlign w:val="center"/>
          </w:tcPr>
          <w:p w14:paraId="3042A599">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7EC907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restart"/>
            <w:noWrap w:val="0"/>
            <w:vAlign w:val="center"/>
          </w:tcPr>
          <w:p w14:paraId="03D717EC">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5527" w:type="dxa"/>
            <w:noWrap w:val="0"/>
            <w:vAlign w:val="center"/>
          </w:tcPr>
          <w:p w14:paraId="4837945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黑螺科</w:t>
            </w:r>
            <w:r>
              <w:rPr>
                <w:rFonts w:hint="default" w:ascii="Times New Roman" w:hAnsi="Times New Roman" w:eastAsia="宋体" w:cs="Times New Roman"/>
                <w:iCs/>
                <w:color w:val="auto"/>
                <w:spacing w:val="-1"/>
                <w:sz w:val="21"/>
                <w:szCs w:val="21"/>
                <w:u w:val="none" w:color="auto"/>
              </w:rPr>
              <w:t>Semisulcospira</w:t>
            </w:r>
          </w:p>
        </w:tc>
        <w:tc>
          <w:tcPr>
            <w:tcW w:w="1885" w:type="dxa"/>
            <w:noWrap w:val="0"/>
            <w:vAlign w:val="center"/>
          </w:tcPr>
          <w:p w14:paraId="11E0DCD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r>
      <w:tr w14:paraId="4B0EBE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7CD6F70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4074C6D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（8）方格短沟卷</w:t>
            </w:r>
            <w:r>
              <w:rPr>
                <w:rFonts w:hint="default" w:ascii="Times New Roman" w:hAnsi="Times New Roman" w:eastAsia="宋体" w:cs="Times New Roman"/>
                <w:i/>
                <w:color w:val="auto"/>
                <w:spacing w:val="-1"/>
                <w:sz w:val="21"/>
                <w:szCs w:val="21"/>
                <w:u w:val="none" w:color="auto"/>
              </w:rPr>
              <w:t>Semisulcospira cancellata</w:t>
            </w:r>
          </w:p>
        </w:tc>
        <w:tc>
          <w:tcPr>
            <w:tcW w:w="1885" w:type="dxa"/>
            <w:noWrap w:val="0"/>
            <w:vAlign w:val="center"/>
          </w:tcPr>
          <w:p w14:paraId="3DA0252D">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04FCB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785C63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3CF54F01">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（9）黑龙江短沟蜷</w:t>
            </w:r>
            <w:r>
              <w:rPr>
                <w:rFonts w:hint="default" w:ascii="Times New Roman" w:hAnsi="Times New Roman" w:eastAsia="宋体" w:cs="Times New Roman"/>
                <w:i/>
                <w:color w:val="auto"/>
                <w:spacing w:val="-1"/>
                <w:sz w:val="21"/>
                <w:szCs w:val="21"/>
                <w:u w:val="none" w:color="auto"/>
              </w:rPr>
              <w:t xml:space="preserve">Semisulcospira </w:t>
            </w:r>
            <w:r>
              <w:rPr>
                <w:rFonts w:hint="default" w:ascii="Times New Roman" w:hAnsi="Times New Roman" w:eastAsia="宋体" w:cs="Times New Roman"/>
                <w:i/>
                <w:color w:val="auto"/>
                <w:sz w:val="21"/>
                <w:szCs w:val="21"/>
                <w:u w:val="none" w:color="auto"/>
              </w:rPr>
              <w:t>amurensis</w:t>
            </w:r>
          </w:p>
        </w:tc>
        <w:tc>
          <w:tcPr>
            <w:tcW w:w="1885" w:type="dxa"/>
            <w:noWrap w:val="0"/>
            <w:vAlign w:val="center"/>
          </w:tcPr>
          <w:p w14:paraId="0879E85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40DA3A1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restart"/>
            <w:noWrap w:val="0"/>
            <w:vAlign w:val="center"/>
          </w:tcPr>
          <w:p w14:paraId="54D6F15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5527" w:type="dxa"/>
            <w:noWrap w:val="0"/>
            <w:vAlign w:val="center"/>
          </w:tcPr>
          <w:p w14:paraId="0272650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觿螺科</w:t>
            </w:r>
            <w:r>
              <w:rPr>
                <w:rFonts w:hint="default" w:ascii="Times New Roman" w:hAnsi="Times New Roman" w:eastAsia="宋体" w:cs="Times New Roman"/>
                <w:iCs/>
                <w:color w:val="auto"/>
                <w:spacing w:val="-1"/>
                <w:sz w:val="21"/>
                <w:szCs w:val="21"/>
                <w:u w:val="none" w:color="auto"/>
              </w:rPr>
              <w:t>Hydrobiidae</w:t>
            </w:r>
          </w:p>
        </w:tc>
        <w:tc>
          <w:tcPr>
            <w:tcW w:w="1885" w:type="dxa"/>
            <w:noWrap w:val="0"/>
            <w:vAlign w:val="center"/>
          </w:tcPr>
          <w:p w14:paraId="07A4F6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r>
      <w:tr w14:paraId="10CBA5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4" w:type="dxa"/>
            <w:vMerge w:val="continue"/>
            <w:noWrap w:val="0"/>
            <w:vAlign w:val="center"/>
          </w:tcPr>
          <w:p w14:paraId="0671E59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5527" w:type="dxa"/>
            <w:noWrap w:val="0"/>
            <w:vAlign w:val="center"/>
          </w:tcPr>
          <w:p w14:paraId="36C202E6">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（10）大绍螺</w:t>
            </w:r>
            <w:r>
              <w:rPr>
                <w:rFonts w:hint="default" w:ascii="Times New Roman" w:hAnsi="Times New Roman" w:eastAsia="宋体" w:cs="Times New Roman"/>
                <w:i/>
                <w:color w:val="auto"/>
                <w:spacing w:val="-1"/>
                <w:sz w:val="21"/>
                <w:szCs w:val="21"/>
                <w:u w:val="none" w:color="auto"/>
              </w:rPr>
              <w:t>Porafossaruluss eximius</w:t>
            </w:r>
          </w:p>
        </w:tc>
        <w:tc>
          <w:tcPr>
            <w:tcW w:w="1885" w:type="dxa"/>
            <w:noWrap w:val="0"/>
            <w:vAlign w:val="center"/>
          </w:tcPr>
          <w:p w14:paraId="30023C5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bl>
    <w:p w14:paraId="1B4F482B">
      <w:pPr>
        <w:keepNext w:val="0"/>
        <w:keepLines w:val="0"/>
        <w:pageBreakBefore w:val="0"/>
        <w:widowControl w:val="0"/>
        <w:kinsoku/>
        <w:wordWrap/>
        <w:overflowPunct/>
        <w:topLinePunct w:val="0"/>
        <w:autoSpaceDE/>
        <w:autoSpaceDN/>
        <w:bidi w:val="0"/>
        <w:adjustRightInd/>
        <w:snapToGrid/>
        <w:spacing w:line="240" w:lineRule="auto"/>
        <w:ind w:left="317" w:firstLine="422"/>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b/>
          <w:bCs/>
          <w:color w:val="auto"/>
          <w:sz w:val="18"/>
          <w:szCs w:val="18"/>
          <w:u w:val="none" w:color="auto"/>
        </w:rPr>
        <w:t>注：</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表示丰富、</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表示一般、</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表示较少。</w:t>
      </w:r>
    </w:p>
    <w:p w14:paraId="6EE36AF2">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表4.5-26  </w:t>
      </w:r>
      <w:r>
        <w:rPr>
          <w:rFonts w:hint="default" w:ascii="Times New Roman" w:hAnsi="Times New Roman" w:eastAsia="宋体" w:cs="Times New Roman"/>
          <w:color w:val="auto"/>
          <w:sz w:val="24"/>
          <w:szCs w:val="24"/>
          <w:u w:val="none" w:color="auto"/>
        </w:rPr>
        <w:t>蚌类种类和数量分布</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638"/>
        <w:gridCol w:w="4766"/>
        <w:gridCol w:w="1932"/>
      </w:tblGrid>
      <w:tr w14:paraId="36281B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404" w:type="dxa"/>
            <w:gridSpan w:val="2"/>
            <w:noWrap w:val="0"/>
            <w:vAlign w:val="center"/>
          </w:tcPr>
          <w:p w14:paraId="73CFDA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种类名称</w:t>
            </w:r>
          </w:p>
        </w:tc>
        <w:tc>
          <w:tcPr>
            <w:tcW w:w="1932" w:type="dxa"/>
            <w:noWrap w:val="0"/>
            <w:vAlign w:val="center"/>
          </w:tcPr>
          <w:p w14:paraId="057821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种群数量</w:t>
            </w:r>
          </w:p>
        </w:tc>
      </w:tr>
      <w:tr w14:paraId="023F1F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restart"/>
            <w:noWrap w:val="0"/>
            <w:vAlign w:val="center"/>
          </w:tcPr>
          <w:p w14:paraId="3A2DA8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w:t>
            </w:r>
          </w:p>
        </w:tc>
        <w:tc>
          <w:tcPr>
            <w:tcW w:w="4766" w:type="dxa"/>
            <w:noWrap w:val="0"/>
            <w:vAlign w:val="center"/>
          </w:tcPr>
          <w:p w14:paraId="2E4D3B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贻贝科</w:t>
            </w:r>
            <w:r>
              <w:rPr>
                <w:rFonts w:hint="default" w:ascii="Times New Roman" w:hAnsi="Times New Roman" w:eastAsia="宋体" w:cs="Times New Roman"/>
                <w:iCs/>
                <w:color w:val="auto"/>
                <w:sz w:val="21"/>
                <w:szCs w:val="21"/>
                <w:u w:val="none" w:color="auto"/>
                <w:lang w:bidi="ar"/>
              </w:rPr>
              <w:t>Mytilidae</w:t>
            </w:r>
          </w:p>
        </w:tc>
        <w:tc>
          <w:tcPr>
            <w:tcW w:w="1932" w:type="dxa"/>
            <w:noWrap w:val="0"/>
            <w:vAlign w:val="center"/>
          </w:tcPr>
          <w:p w14:paraId="446D30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0A5693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F540F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1A4FBC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（1）淡水壳菜</w:t>
            </w:r>
            <w:r>
              <w:rPr>
                <w:rFonts w:hint="default" w:ascii="Times New Roman" w:hAnsi="Times New Roman" w:eastAsia="宋体" w:cs="Times New Roman"/>
                <w:i/>
                <w:color w:val="auto"/>
                <w:sz w:val="21"/>
                <w:szCs w:val="21"/>
                <w:u w:val="none" w:color="auto"/>
                <w:lang w:bidi="ar"/>
              </w:rPr>
              <w:t>Limnoperna Lacustris</w:t>
            </w:r>
          </w:p>
        </w:tc>
        <w:tc>
          <w:tcPr>
            <w:tcW w:w="1932" w:type="dxa"/>
            <w:noWrap w:val="0"/>
            <w:vAlign w:val="center"/>
          </w:tcPr>
          <w:p w14:paraId="79D36D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5D5C3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restart"/>
            <w:noWrap w:val="0"/>
            <w:vAlign w:val="center"/>
          </w:tcPr>
          <w:p w14:paraId="5F7207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w:t>
            </w:r>
          </w:p>
        </w:tc>
        <w:tc>
          <w:tcPr>
            <w:tcW w:w="4766" w:type="dxa"/>
            <w:noWrap w:val="0"/>
            <w:vAlign w:val="center"/>
          </w:tcPr>
          <w:p w14:paraId="65BEED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蚌科</w:t>
            </w:r>
            <w:r>
              <w:rPr>
                <w:rFonts w:hint="default" w:ascii="Times New Roman" w:hAnsi="Times New Roman" w:eastAsia="宋体" w:cs="Times New Roman"/>
                <w:iCs/>
                <w:color w:val="auto"/>
                <w:sz w:val="21"/>
                <w:szCs w:val="21"/>
                <w:u w:val="none" w:color="auto"/>
                <w:lang w:bidi="ar"/>
              </w:rPr>
              <w:t>Unionidae</w:t>
            </w:r>
          </w:p>
        </w:tc>
        <w:tc>
          <w:tcPr>
            <w:tcW w:w="1932" w:type="dxa"/>
            <w:noWrap w:val="0"/>
            <w:vAlign w:val="center"/>
          </w:tcPr>
          <w:p w14:paraId="4D380E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45A88A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25A3C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366BC9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（2）圆顶珠蚌</w:t>
            </w:r>
            <w:r>
              <w:rPr>
                <w:rFonts w:hint="default" w:ascii="Times New Roman" w:hAnsi="Times New Roman" w:eastAsia="宋体" w:cs="Times New Roman"/>
                <w:i/>
                <w:color w:val="auto"/>
                <w:sz w:val="21"/>
                <w:szCs w:val="21"/>
                <w:u w:val="none" w:color="auto"/>
                <w:lang w:bidi="ar"/>
              </w:rPr>
              <w:t>Unio douglasiae</w:t>
            </w:r>
          </w:p>
        </w:tc>
        <w:tc>
          <w:tcPr>
            <w:tcW w:w="1932" w:type="dxa"/>
            <w:noWrap w:val="0"/>
            <w:vAlign w:val="center"/>
          </w:tcPr>
          <w:p w14:paraId="69ED9B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4B396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930E3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9EB7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（3）杜氏珠蚌</w:t>
            </w:r>
            <w:r>
              <w:rPr>
                <w:rFonts w:hint="default" w:ascii="Times New Roman" w:hAnsi="Times New Roman" w:eastAsia="宋体" w:cs="Times New Roman"/>
                <w:i/>
                <w:color w:val="auto"/>
                <w:sz w:val="21"/>
                <w:szCs w:val="21"/>
                <w:u w:val="none" w:color="auto"/>
                <w:lang w:bidi="ar"/>
              </w:rPr>
              <w:t>Linioacuglasiae</w:t>
            </w:r>
          </w:p>
        </w:tc>
        <w:tc>
          <w:tcPr>
            <w:tcW w:w="1932" w:type="dxa"/>
            <w:noWrap w:val="0"/>
            <w:vAlign w:val="center"/>
          </w:tcPr>
          <w:p w14:paraId="0F9606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77B6A6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0B631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34403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（4）圆头楔蚌</w:t>
            </w:r>
            <w:r>
              <w:rPr>
                <w:rFonts w:hint="default" w:ascii="Times New Roman" w:hAnsi="Times New Roman" w:eastAsia="宋体" w:cs="Times New Roman"/>
                <w:i/>
                <w:color w:val="auto"/>
                <w:sz w:val="21"/>
                <w:szCs w:val="21"/>
                <w:u w:val="none" w:color="auto"/>
                <w:lang w:bidi="ar"/>
              </w:rPr>
              <w:t>Cuneopsis heudei</w:t>
            </w:r>
          </w:p>
        </w:tc>
        <w:tc>
          <w:tcPr>
            <w:tcW w:w="1932" w:type="dxa"/>
            <w:noWrap w:val="0"/>
            <w:vAlign w:val="center"/>
          </w:tcPr>
          <w:p w14:paraId="4D0B3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6E656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6D40C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5E560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（5）鱼尾楔蚌</w:t>
            </w:r>
            <w:r>
              <w:rPr>
                <w:rFonts w:hint="default" w:ascii="Times New Roman" w:hAnsi="Times New Roman" w:eastAsia="宋体" w:cs="Times New Roman"/>
                <w:i/>
                <w:color w:val="auto"/>
                <w:sz w:val="21"/>
                <w:szCs w:val="21"/>
                <w:u w:val="none" w:color="auto"/>
                <w:lang w:bidi="ar"/>
              </w:rPr>
              <w:t>Cuneopsis pisciculus</w:t>
            </w:r>
          </w:p>
        </w:tc>
        <w:tc>
          <w:tcPr>
            <w:tcW w:w="1932" w:type="dxa"/>
            <w:noWrap w:val="0"/>
            <w:vAlign w:val="center"/>
          </w:tcPr>
          <w:p w14:paraId="1DB1F0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203F2C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78BF47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4E8457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（6）剑状矛蚌</w:t>
            </w:r>
            <w:r>
              <w:rPr>
                <w:rFonts w:hint="default" w:ascii="Times New Roman" w:hAnsi="Times New Roman" w:eastAsia="宋体" w:cs="Times New Roman"/>
                <w:i/>
                <w:color w:val="auto"/>
                <w:sz w:val="21"/>
                <w:szCs w:val="21"/>
                <w:u w:val="none" w:color="auto"/>
                <w:lang w:bidi="ar"/>
              </w:rPr>
              <w:t>Lanceolaria gladiola</w:t>
            </w:r>
          </w:p>
        </w:tc>
        <w:tc>
          <w:tcPr>
            <w:tcW w:w="1932" w:type="dxa"/>
            <w:noWrap w:val="0"/>
            <w:vAlign w:val="center"/>
          </w:tcPr>
          <w:p w14:paraId="3A1669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5CDF32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7EB29D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E0D90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（7）短褶矛蚌</w:t>
            </w:r>
            <w:r>
              <w:rPr>
                <w:rFonts w:hint="default" w:ascii="Times New Roman" w:hAnsi="Times New Roman" w:eastAsia="宋体" w:cs="Times New Roman"/>
                <w:i/>
                <w:color w:val="auto"/>
                <w:sz w:val="21"/>
                <w:szCs w:val="21"/>
                <w:u w:val="none" w:color="auto"/>
                <w:lang w:bidi="ar"/>
              </w:rPr>
              <w:t>Lanceolaria grayana</w:t>
            </w:r>
          </w:p>
        </w:tc>
        <w:tc>
          <w:tcPr>
            <w:tcW w:w="1932" w:type="dxa"/>
            <w:noWrap w:val="0"/>
            <w:vAlign w:val="center"/>
          </w:tcPr>
          <w:p w14:paraId="47B14F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39698D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5E3191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B8D5B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（8）三型矛蚌</w:t>
            </w:r>
            <w:r>
              <w:rPr>
                <w:rFonts w:hint="default" w:ascii="Times New Roman" w:hAnsi="Times New Roman" w:eastAsia="宋体" w:cs="Times New Roman"/>
                <w:i/>
                <w:color w:val="auto"/>
                <w:sz w:val="21"/>
                <w:szCs w:val="21"/>
                <w:u w:val="none" w:color="auto"/>
                <w:lang w:bidi="ar"/>
              </w:rPr>
              <w:t>Lanceolaria triformis</w:t>
            </w:r>
          </w:p>
        </w:tc>
        <w:tc>
          <w:tcPr>
            <w:tcW w:w="1932" w:type="dxa"/>
            <w:noWrap w:val="0"/>
            <w:vAlign w:val="center"/>
          </w:tcPr>
          <w:p w14:paraId="2F73A7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3D9DA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513EF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48C5E9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（9）扭蚌（右）</w:t>
            </w:r>
            <w:r>
              <w:rPr>
                <w:rFonts w:hint="default" w:ascii="Times New Roman" w:hAnsi="Times New Roman" w:eastAsia="宋体" w:cs="Times New Roman"/>
                <w:i/>
                <w:color w:val="auto"/>
                <w:sz w:val="21"/>
                <w:szCs w:val="21"/>
                <w:u w:val="none" w:color="auto"/>
                <w:lang w:bidi="ar"/>
              </w:rPr>
              <w:t>Arconaia lanceolata</w:t>
            </w:r>
          </w:p>
        </w:tc>
        <w:tc>
          <w:tcPr>
            <w:tcW w:w="1932" w:type="dxa"/>
            <w:noWrap w:val="0"/>
            <w:vAlign w:val="center"/>
          </w:tcPr>
          <w:p w14:paraId="6EF1A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99148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0781E2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1AD20C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（10）扭蚌（左）</w:t>
            </w:r>
            <w:r>
              <w:rPr>
                <w:rFonts w:hint="default" w:ascii="Times New Roman" w:hAnsi="Times New Roman" w:eastAsia="宋体" w:cs="Times New Roman"/>
                <w:i/>
                <w:color w:val="auto"/>
                <w:sz w:val="21"/>
                <w:szCs w:val="21"/>
                <w:u w:val="none" w:color="auto"/>
                <w:lang w:bidi="ar"/>
              </w:rPr>
              <w:t>Arconaia lanceolata</w:t>
            </w:r>
          </w:p>
        </w:tc>
        <w:tc>
          <w:tcPr>
            <w:tcW w:w="1932" w:type="dxa"/>
            <w:noWrap w:val="0"/>
            <w:vAlign w:val="center"/>
          </w:tcPr>
          <w:p w14:paraId="21C7CB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39F4DF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223AF8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2CAE00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（11）中国尖嵴蚌</w:t>
            </w:r>
            <w:r>
              <w:rPr>
                <w:rFonts w:hint="default" w:ascii="Times New Roman" w:hAnsi="Times New Roman" w:eastAsia="宋体" w:cs="Times New Roman"/>
                <w:i/>
                <w:color w:val="auto"/>
                <w:sz w:val="21"/>
                <w:szCs w:val="21"/>
                <w:u w:val="none" w:color="auto"/>
                <w:lang w:bidi="ar"/>
              </w:rPr>
              <w:t>Acuticosta Chinensis</w:t>
            </w:r>
          </w:p>
        </w:tc>
        <w:tc>
          <w:tcPr>
            <w:tcW w:w="1932" w:type="dxa"/>
            <w:noWrap w:val="0"/>
            <w:vAlign w:val="center"/>
          </w:tcPr>
          <w:p w14:paraId="501280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7EA1AE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6DC69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63334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（12）卵形尖嵴蚌</w:t>
            </w:r>
            <w:r>
              <w:rPr>
                <w:rFonts w:hint="default" w:ascii="Times New Roman" w:hAnsi="Times New Roman" w:eastAsia="宋体" w:cs="Times New Roman"/>
                <w:i/>
                <w:color w:val="auto"/>
                <w:sz w:val="21"/>
                <w:szCs w:val="21"/>
                <w:u w:val="none" w:color="auto"/>
                <w:lang w:bidi="ar"/>
              </w:rPr>
              <w:t>Acuticosta ovata</w:t>
            </w:r>
          </w:p>
        </w:tc>
        <w:tc>
          <w:tcPr>
            <w:tcW w:w="1932" w:type="dxa"/>
            <w:noWrap w:val="0"/>
            <w:vAlign w:val="center"/>
          </w:tcPr>
          <w:p w14:paraId="4C1049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07485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2F86E2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13CD75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（13）三槽尖嵴蚌</w:t>
            </w:r>
            <w:r>
              <w:rPr>
                <w:rFonts w:hint="default" w:ascii="Times New Roman" w:hAnsi="Times New Roman" w:eastAsia="宋体" w:cs="Times New Roman"/>
                <w:i/>
                <w:color w:val="auto"/>
                <w:sz w:val="21"/>
                <w:szCs w:val="21"/>
                <w:u w:val="none" w:color="auto"/>
                <w:lang w:bidi="ar"/>
              </w:rPr>
              <w:t>AcutiCoosta trlsulcata</w:t>
            </w:r>
          </w:p>
        </w:tc>
        <w:tc>
          <w:tcPr>
            <w:tcW w:w="1932" w:type="dxa"/>
            <w:noWrap w:val="0"/>
            <w:vAlign w:val="center"/>
          </w:tcPr>
          <w:p w14:paraId="77D4F1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5B4763E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6F98E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51507E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（14）射线裂嵴蚌</w:t>
            </w:r>
            <w:r>
              <w:rPr>
                <w:rFonts w:hint="default" w:ascii="Times New Roman" w:hAnsi="Times New Roman" w:eastAsia="宋体" w:cs="Times New Roman"/>
                <w:i/>
                <w:color w:val="auto"/>
                <w:sz w:val="21"/>
                <w:szCs w:val="21"/>
                <w:u w:val="none" w:color="auto"/>
                <w:lang w:bidi="ar"/>
              </w:rPr>
              <w:t>Schistodesmus lampreyanus</w:t>
            </w:r>
          </w:p>
        </w:tc>
        <w:tc>
          <w:tcPr>
            <w:tcW w:w="1932" w:type="dxa"/>
            <w:noWrap w:val="0"/>
            <w:vAlign w:val="center"/>
          </w:tcPr>
          <w:p w14:paraId="457576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4D0A64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1D866F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400FAE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（15）三角帆蚌</w:t>
            </w:r>
            <w:r>
              <w:rPr>
                <w:rFonts w:hint="default" w:ascii="Times New Roman" w:hAnsi="Times New Roman" w:eastAsia="宋体" w:cs="Times New Roman"/>
                <w:i/>
                <w:color w:val="auto"/>
                <w:sz w:val="21"/>
                <w:szCs w:val="21"/>
                <w:u w:val="none" w:color="auto"/>
                <w:lang w:bidi="ar"/>
              </w:rPr>
              <w:t>Hyriopsis cuningii</w:t>
            </w:r>
          </w:p>
        </w:tc>
        <w:tc>
          <w:tcPr>
            <w:tcW w:w="1932" w:type="dxa"/>
            <w:noWrap w:val="0"/>
            <w:vAlign w:val="center"/>
          </w:tcPr>
          <w:p w14:paraId="252F7F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24F35D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210272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10C4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（16）背瘤丽蚌</w:t>
            </w:r>
            <w:r>
              <w:rPr>
                <w:rFonts w:hint="default" w:ascii="Times New Roman" w:hAnsi="Times New Roman" w:eastAsia="宋体" w:cs="Times New Roman"/>
                <w:i/>
                <w:color w:val="auto"/>
                <w:sz w:val="21"/>
                <w:szCs w:val="21"/>
                <w:u w:val="none" w:color="auto"/>
                <w:lang w:bidi="ar"/>
              </w:rPr>
              <w:t>Lamprotula leai</w:t>
            </w:r>
          </w:p>
        </w:tc>
        <w:tc>
          <w:tcPr>
            <w:tcW w:w="1932" w:type="dxa"/>
            <w:noWrap w:val="0"/>
            <w:vAlign w:val="center"/>
          </w:tcPr>
          <w:p w14:paraId="168351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5CF28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2D4E3A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5743F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（17）洞穴丽蚌</w:t>
            </w:r>
            <w:r>
              <w:rPr>
                <w:rFonts w:hint="default" w:ascii="Times New Roman" w:hAnsi="Times New Roman" w:eastAsia="宋体" w:cs="Times New Roman"/>
                <w:i/>
                <w:color w:val="auto"/>
                <w:sz w:val="21"/>
                <w:szCs w:val="21"/>
                <w:u w:val="none" w:color="auto"/>
                <w:lang w:bidi="ar"/>
              </w:rPr>
              <w:t>Lamprotula caveata</w:t>
            </w:r>
          </w:p>
        </w:tc>
        <w:tc>
          <w:tcPr>
            <w:tcW w:w="1932" w:type="dxa"/>
            <w:noWrap w:val="0"/>
            <w:vAlign w:val="center"/>
          </w:tcPr>
          <w:p w14:paraId="5A106F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6D8B87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312E2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39F82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（18）猪耳丽蚌</w:t>
            </w:r>
            <w:r>
              <w:rPr>
                <w:rFonts w:hint="default" w:ascii="Times New Roman" w:hAnsi="Times New Roman" w:eastAsia="宋体" w:cs="Times New Roman"/>
                <w:i/>
                <w:color w:val="auto"/>
                <w:sz w:val="21"/>
                <w:szCs w:val="21"/>
                <w:u w:val="none" w:color="auto"/>
                <w:lang w:bidi="ar"/>
              </w:rPr>
              <w:t>Lamprotula rochechouarti</w:t>
            </w:r>
          </w:p>
        </w:tc>
        <w:tc>
          <w:tcPr>
            <w:tcW w:w="1932" w:type="dxa"/>
            <w:noWrap w:val="0"/>
            <w:vAlign w:val="center"/>
          </w:tcPr>
          <w:p w14:paraId="7776A5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DF635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05D536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2F137C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（19）刻裂尖丽蚌</w:t>
            </w:r>
            <w:r>
              <w:rPr>
                <w:rFonts w:hint="default" w:ascii="Times New Roman" w:hAnsi="Times New Roman" w:eastAsia="宋体" w:cs="Times New Roman"/>
                <w:i/>
                <w:color w:val="auto"/>
                <w:sz w:val="21"/>
                <w:szCs w:val="21"/>
                <w:u w:val="none" w:color="auto"/>
                <w:lang w:bidi="ar"/>
              </w:rPr>
              <w:t>Lamprotula scripta</w:t>
            </w:r>
          </w:p>
        </w:tc>
        <w:tc>
          <w:tcPr>
            <w:tcW w:w="1932" w:type="dxa"/>
            <w:noWrap w:val="0"/>
            <w:vAlign w:val="center"/>
          </w:tcPr>
          <w:p w14:paraId="762AED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3CA745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3D7326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4F9957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（20）背角无齿蚌</w:t>
            </w:r>
            <w:r>
              <w:rPr>
                <w:rFonts w:hint="default" w:ascii="Times New Roman" w:hAnsi="Times New Roman" w:eastAsia="宋体" w:cs="Times New Roman"/>
                <w:i/>
                <w:color w:val="auto"/>
                <w:sz w:val="21"/>
                <w:szCs w:val="21"/>
                <w:u w:val="none" w:color="auto"/>
                <w:lang w:bidi="ar"/>
              </w:rPr>
              <w:t>Anodonta Woodiana</w:t>
            </w:r>
          </w:p>
        </w:tc>
        <w:tc>
          <w:tcPr>
            <w:tcW w:w="1932" w:type="dxa"/>
            <w:noWrap w:val="0"/>
            <w:vAlign w:val="center"/>
          </w:tcPr>
          <w:p w14:paraId="7F463F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E0B36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05659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173F25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（21）球形无齿蚌</w:t>
            </w:r>
            <w:r>
              <w:rPr>
                <w:rFonts w:hint="default" w:ascii="Times New Roman" w:hAnsi="Times New Roman" w:eastAsia="宋体" w:cs="Times New Roman"/>
                <w:i/>
                <w:color w:val="auto"/>
                <w:sz w:val="21"/>
                <w:szCs w:val="21"/>
                <w:u w:val="none" w:color="auto"/>
                <w:lang w:bidi="ar"/>
              </w:rPr>
              <w:t>Anodonta globosula</w:t>
            </w:r>
          </w:p>
        </w:tc>
        <w:tc>
          <w:tcPr>
            <w:tcW w:w="1932" w:type="dxa"/>
            <w:noWrap w:val="0"/>
            <w:vAlign w:val="center"/>
          </w:tcPr>
          <w:p w14:paraId="51550F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16E270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59218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A60CF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（22）蚶形无齿蚌</w:t>
            </w:r>
            <w:r>
              <w:rPr>
                <w:rFonts w:hint="default" w:ascii="Times New Roman" w:hAnsi="Times New Roman" w:eastAsia="宋体" w:cs="Times New Roman"/>
                <w:i/>
                <w:color w:val="auto"/>
                <w:sz w:val="21"/>
                <w:szCs w:val="21"/>
                <w:u w:val="none" w:color="auto"/>
                <w:lang w:bidi="ar"/>
              </w:rPr>
              <w:t>Anodonta arcaeformis</w:t>
            </w:r>
          </w:p>
        </w:tc>
        <w:tc>
          <w:tcPr>
            <w:tcW w:w="1932" w:type="dxa"/>
            <w:noWrap w:val="0"/>
            <w:vAlign w:val="center"/>
          </w:tcPr>
          <w:p w14:paraId="6C66E4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0FFDBA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4A8CD1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26D60E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（23）高顶鳞皮蚌</w:t>
            </w:r>
            <w:r>
              <w:rPr>
                <w:rFonts w:hint="default" w:ascii="Times New Roman" w:hAnsi="Times New Roman" w:eastAsia="宋体" w:cs="Times New Roman"/>
                <w:i/>
                <w:color w:val="auto"/>
                <w:sz w:val="21"/>
                <w:szCs w:val="21"/>
                <w:u w:val="none" w:color="auto"/>
                <w:lang w:bidi="ar"/>
              </w:rPr>
              <w:t>Lepidodesma languilati</w:t>
            </w:r>
          </w:p>
        </w:tc>
        <w:tc>
          <w:tcPr>
            <w:tcW w:w="1932" w:type="dxa"/>
            <w:noWrap w:val="0"/>
            <w:vAlign w:val="center"/>
          </w:tcPr>
          <w:p w14:paraId="68C130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215335C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52050F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66B7F1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（24）褶纹冠蚌</w:t>
            </w:r>
            <w:r>
              <w:rPr>
                <w:rFonts w:hint="default" w:ascii="Times New Roman" w:hAnsi="Times New Roman" w:eastAsia="宋体" w:cs="Times New Roman"/>
                <w:i/>
                <w:color w:val="auto"/>
                <w:sz w:val="21"/>
                <w:szCs w:val="21"/>
                <w:u w:val="none" w:color="auto"/>
                <w:lang w:bidi="ar"/>
              </w:rPr>
              <w:t>Cristaria plicata</w:t>
            </w:r>
          </w:p>
        </w:tc>
        <w:tc>
          <w:tcPr>
            <w:tcW w:w="1932" w:type="dxa"/>
            <w:noWrap w:val="0"/>
            <w:vAlign w:val="center"/>
          </w:tcPr>
          <w:p w14:paraId="59BF3F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r w14:paraId="78E323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restart"/>
            <w:noWrap w:val="0"/>
            <w:vAlign w:val="center"/>
          </w:tcPr>
          <w:p w14:paraId="7F311A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w:t>
            </w:r>
          </w:p>
        </w:tc>
        <w:tc>
          <w:tcPr>
            <w:tcW w:w="4766" w:type="dxa"/>
            <w:noWrap w:val="0"/>
            <w:vAlign w:val="center"/>
          </w:tcPr>
          <w:p w14:paraId="6892AA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蚬科</w:t>
            </w:r>
            <w:r>
              <w:rPr>
                <w:rFonts w:hint="default" w:ascii="Times New Roman" w:hAnsi="Times New Roman" w:eastAsia="宋体" w:cs="Times New Roman"/>
                <w:iCs/>
                <w:color w:val="auto"/>
                <w:sz w:val="21"/>
                <w:szCs w:val="21"/>
                <w:u w:val="none" w:color="auto"/>
                <w:lang w:bidi="ar"/>
              </w:rPr>
              <w:t>Corbiculidae</w:t>
            </w:r>
          </w:p>
        </w:tc>
        <w:tc>
          <w:tcPr>
            <w:tcW w:w="1932" w:type="dxa"/>
            <w:noWrap w:val="0"/>
            <w:vAlign w:val="center"/>
          </w:tcPr>
          <w:p w14:paraId="468B66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26BB4E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638" w:type="dxa"/>
            <w:vMerge w:val="continue"/>
            <w:noWrap w:val="0"/>
            <w:vAlign w:val="center"/>
          </w:tcPr>
          <w:p w14:paraId="64832D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4766" w:type="dxa"/>
            <w:noWrap w:val="0"/>
            <w:vAlign w:val="center"/>
          </w:tcPr>
          <w:p w14:paraId="74BD3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（25）河蚬</w:t>
            </w:r>
            <w:r>
              <w:rPr>
                <w:rFonts w:hint="default" w:ascii="Times New Roman" w:hAnsi="Times New Roman" w:eastAsia="宋体" w:cs="Times New Roman"/>
                <w:i/>
                <w:color w:val="auto"/>
                <w:sz w:val="21"/>
                <w:szCs w:val="21"/>
                <w:u w:val="none" w:color="auto"/>
                <w:lang w:bidi="ar"/>
              </w:rPr>
              <w:t>Corbicula fluminea</w:t>
            </w:r>
          </w:p>
        </w:tc>
        <w:tc>
          <w:tcPr>
            <w:tcW w:w="1932" w:type="dxa"/>
            <w:noWrap w:val="0"/>
            <w:vAlign w:val="center"/>
          </w:tcPr>
          <w:p w14:paraId="7AA271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w:t>
            </w:r>
          </w:p>
        </w:tc>
      </w:tr>
    </w:tbl>
    <w:p w14:paraId="78D4AD26">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注：</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表示丰富、</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表示一般、</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w:t>
      </w:r>
      <w:r>
        <w:rPr>
          <w:rFonts w:hint="default" w:ascii="Times New Roman" w:hAnsi="Times New Roman" w:eastAsia="宋体" w:cs="Times New Roman"/>
          <w:color w:val="auto"/>
          <w:sz w:val="18"/>
          <w:szCs w:val="18"/>
          <w:u w:val="none" w:color="auto"/>
          <w:lang w:eastAsia="zh-CN"/>
        </w:rPr>
        <w:t>”</w:t>
      </w:r>
      <w:r>
        <w:rPr>
          <w:rFonts w:hint="default" w:ascii="Times New Roman" w:hAnsi="Times New Roman" w:eastAsia="宋体" w:cs="Times New Roman"/>
          <w:color w:val="auto"/>
          <w:sz w:val="18"/>
          <w:szCs w:val="18"/>
          <w:u w:val="none" w:color="auto"/>
        </w:rPr>
        <w:t>表示较少。</w:t>
      </w:r>
    </w:p>
    <w:p w14:paraId="27A850FD">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表4.5-27   </w:t>
      </w:r>
      <w:r>
        <w:rPr>
          <w:rFonts w:hint="default" w:ascii="Times New Roman" w:hAnsi="Times New Roman" w:eastAsia="宋体" w:cs="Times New Roman"/>
          <w:color w:val="auto"/>
          <w:sz w:val="24"/>
          <w:szCs w:val="24"/>
          <w:u w:val="none" w:color="auto"/>
        </w:rPr>
        <w:t>虾蟹种类及种群数量</w:t>
      </w:r>
    </w:p>
    <w:tbl>
      <w:tblPr>
        <w:tblStyle w:val="29"/>
        <w:tblW w:w="0" w:type="auto"/>
        <w:tblInd w:w="-6"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5549"/>
        <w:gridCol w:w="1908"/>
      </w:tblGrid>
      <w:tr w14:paraId="31C5758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trPr>
        <w:tc>
          <w:tcPr>
            <w:tcW w:w="6408" w:type="dxa"/>
            <w:gridSpan w:val="2"/>
            <w:noWrap w:val="0"/>
            <w:vAlign w:val="center"/>
          </w:tcPr>
          <w:p w14:paraId="4B9D5442">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b/>
                <w:bCs/>
                <w:color w:val="auto"/>
                <w:spacing w:val="1"/>
                <w:sz w:val="18"/>
                <w:szCs w:val="18"/>
                <w:u w:val="none" w:color="auto"/>
              </w:rPr>
              <w:t>种类名称</w:t>
            </w:r>
          </w:p>
        </w:tc>
        <w:tc>
          <w:tcPr>
            <w:tcW w:w="1908" w:type="dxa"/>
            <w:noWrap w:val="0"/>
            <w:vAlign w:val="center"/>
          </w:tcPr>
          <w:p w14:paraId="15A8D5CC">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b/>
                <w:bCs/>
                <w:color w:val="auto"/>
                <w:spacing w:val="1"/>
                <w:sz w:val="18"/>
                <w:szCs w:val="18"/>
                <w:u w:val="none" w:color="auto"/>
              </w:rPr>
              <w:t>种群数量</w:t>
            </w:r>
          </w:p>
        </w:tc>
      </w:tr>
      <w:tr w14:paraId="7B1941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01BAA115">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1</w:t>
            </w:r>
          </w:p>
        </w:tc>
        <w:tc>
          <w:tcPr>
            <w:tcW w:w="5549" w:type="dxa"/>
            <w:noWrap w:val="0"/>
            <w:vAlign w:val="center"/>
          </w:tcPr>
          <w:p w14:paraId="5D68EB82">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游泳亚目</w:t>
            </w:r>
            <w:r>
              <w:rPr>
                <w:rFonts w:hint="default" w:ascii="Times New Roman" w:hAnsi="Times New Roman" w:eastAsia="宋体" w:cs="Times New Roman"/>
                <w:b/>
                <w:bCs/>
                <w:iCs/>
                <w:color w:val="auto"/>
                <w:spacing w:val="-1"/>
                <w:sz w:val="18"/>
                <w:szCs w:val="18"/>
                <w:u w:val="none" w:color="auto"/>
              </w:rPr>
              <w:t>Natantia</w:t>
            </w:r>
          </w:p>
        </w:tc>
        <w:tc>
          <w:tcPr>
            <w:tcW w:w="1908" w:type="dxa"/>
            <w:noWrap w:val="0"/>
            <w:vAlign w:val="center"/>
          </w:tcPr>
          <w:p w14:paraId="3B5A52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r>
      <w:tr w14:paraId="297967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2F9C7F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2C49FF1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（1）日本沼虾</w:t>
            </w:r>
            <w:r>
              <w:rPr>
                <w:rFonts w:hint="default" w:ascii="Times New Roman" w:hAnsi="Times New Roman" w:eastAsia="宋体" w:cs="Times New Roman"/>
                <w:i/>
                <w:iCs/>
                <w:color w:val="auto"/>
                <w:spacing w:val="-1"/>
                <w:sz w:val="18"/>
                <w:szCs w:val="18"/>
                <w:u w:val="none" w:color="auto"/>
              </w:rPr>
              <w:t xml:space="preserve">Macrobrachium </w:t>
            </w:r>
            <w:r>
              <w:rPr>
                <w:rFonts w:hint="default" w:ascii="Times New Roman" w:hAnsi="Times New Roman" w:eastAsia="宋体" w:cs="Times New Roman"/>
                <w:i/>
                <w:color w:val="auto"/>
                <w:sz w:val="18"/>
                <w:szCs w:val="18"/>
                <w:u w:val="none" w:color="auto"/>
              </w:rPr>
              <w:t>nipponensis</w:t>
            </w:r>
          </w:p>
        </w:tc>
        <w:tc>
          <w:tcPr>
            <w:tcW w:w="1908" w:type="dxa"/>
            <w:noWrap w:val="0"/>
            <w:vAlign w:val="center"/>
          </w:tcPr>
          <w:p w14:paraId="179353A9">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6D0368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1823BB8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163EEDD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（2）喻氏沼虾</w:t>
            </w:r>
            <w:r>
              <w:rPr>
                <w:rFonts w:hint="default" w:ascii="Times New Roman" w:hAnsi="Times New Roman" w:eastAsia="宋体" w:cs="Times New Roman"/>
                <w:i/>
                <w:iCs/>
                <w:color w:val="auto"/>
                <w:spacing w:val="-1"/>
                <w:sz w:val="18"/>
                <w:szCs w:val="18"/>
                <w:u w:val="none" w:color="auto"/>
              </w:rPr>
              <w:t>Macrobrachium</w:t>
            </w:r>
            <w:r>
              <w:rPr>
                <w:rFonts w:hint="default" w:ascii="Times New Roman" w:hAnsi="Times New Roman" w:eastAsia="宋体" w:cs="Times New Roman"/>
                <w:i/>
                <w:color w:val="auto"/>
                <w:sz w:val="18"/>
                <w:szCs w:val="18"/>
                <w:u w:val="none" w:color="auto"/>
              </w:rPr>
              <w:t>yui</w:t>
            </w:r>
          </w:p>
        </w:tc>
        <w:tc>
          <w:tcPr>
            <w:tcW w:w="1908" w:type="dxa"/>
            <w:noWrap w:val="0"/>
            <w:vAlign w:val="center"/>
          </w:tcPr>
          <w:p w14:paraId="0A2F8CBC">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55B9FEC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3441E5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432FC4F6">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（3）细螯沼虾</w:t>
            </w:r>
            <w:r>
              <w:rPr>
                <w:rFonts w:hint="default" w:ascii="Times New Roman" w:hAnsi="Times New Roman" w:eastAsia="宋体" w:cs="Times New Roman"/>
                <w:i/>
                <w:iCs/>
                <w:color w:val="auto"/>
                <w:spacing w:val="-1"/>
                <w:sz w:val="18"/>
                <w:szCs w:val="18"/>
                <w:u w:val="none" w:color="auto"/>
              </w:rPr>
              <w:t>Macrobrachium superbum</w:t>
            </w:r>
          </w:p>
        </w:tc>
        <w:tc>
          <w:tcPr>
            <w:tcW w:w="1908" w:type="dxa"/>
            <w:noWrap w:val="0"/>
            <w:vAlign w:val="center"/>
          </w:tcPr>
          <w:p w14:paraId="77B827D2">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3FAADD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03ED55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408DDC60">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（4）粗糙沼虾</w:t>
            </w:r>
            <w:r>
              <w:rPr>
                <w:rFonts w:hint="default" w:ascii="Times New Roman" w:hAnsi="Times New Roman" w:eastAsia="宋体" w:cs="Times New Roman"/>
                <w:i/>
                <w:iCs/>
                <w:color w:val="auto"/>
                <w:spacing w:val="-1"/>
                <w:sz w:val="18"/>
                <w:szCs w:val="18"/>
                <w:u w:val="none" w:color="auto"/>
              </w:rPr>
              <w:t xml:space="preserve">Macrobrachium </w:t>
            </w:r>
            <w:r>
              <w:rPr>
                <w:rFonts w:hint="default" w:ascii="Times New Roman" w:hAnsi="Times New Roman" w:eastAsia="宋体" w:cs="Times New Roman"/>
                <w:i/>
                <w:color w:val="auto"/>
                <w:spacing w:val="-1"/>
                <w:sz w:val="18"/>
                <w:szCs w:val="18"/>
                <w:u w:val="none" w:color="auto"/>
              </w:rPr>
              <w:t>asperulum</w:t>
            </w:r>
          </w:p>
        </w:tc>
        <w:tc>
          <w:tcPr>
            <w:tcW w:w="1908" w:type="dxa"/>
            <w:noWrap w:val="0"/>
            <w:vAlign w:val="center"/>
          </w:tcPr>
          <w:p w14:paraId="3392233F">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0FAF82F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52A80C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6C4ACB9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（5）秀丽白虾</w:t>
            </w:r>
            <w:r>
              <w:rPr>
                <w:rFonts w:hint="default" w:ascii="Times New Roman" w:hAnsi="Times New Roman" w:eastAsia="宋体" w:cs="Times New Roman"/>
                <w:i/>
                <w:iCs/>
                <w:color w:val="auto"/>
                <w:sz w:val="18"/>
                <w:szCs w:val="18"/>
                <w:u w:val="none" w:color="auto"/>
              </w:rPr>
              <w:t xml:space="preserve">Exopalaemon </w:t>
            </w:r>
            <w:r>
              <w:rPr>
                <w:rFonts w:hint="default" w:ascii="Times New Roman" w:hAnsi="Times New Roman" w:eastAsia="宋体" w:cs="Times New Roman"/>
                <w:i/>
                <w:color w:val="auto"/>
                <w:sz w:val="18"/>
                <w:szCs w:val="18"/>
                <w:u w:val="none" w:color="auto"/>
              </w:rPr>
              <w:t>modestus</w:t>
            </w:r>
          </w:p>
        </w:tc>
        <w:tc>
          <w:tcPr>
            <w:tcW w:w="1908" w:type="dxa"/>
            <w:noWrap w:val="0"/>
            <w:vAlign w:val="center"/>
          </w:tcPr>
          <w:p w14:paraId="238A27B8">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2C932E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559F3E8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706A961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（6）中华齿米虾</w:t>
            </w:r>
            <w:r>
              <w:rPr>
                <w:rFonts w:hint="default" w:ascii="Times New Roman" w:hAnsi="Times New Roman" w:eastAsia="宋体" w:cs="Times New Roman"/>
                <w:i/>
                <w:iCs/>
                <w:color w:val="auto"/>
                <w:spacing w:val="-1"/>
                <w:sz w:val="18"/>
                <w:szCs w:val="18"/>
                <w:u w:val="none" w:color="auto"/>
              </w:rPr>
              <w:t>Caridina</w:t>
            </w:r>
            <w:r>
              <w:rPr>
                <w:rFonts w:hint="default" w:ascii="Times New Roman" w:hAnsi="Times New Roman" w:eastAsia="宋体" w:cs="Times New Roman"/>
                <w:i/>
                <w:color w:val="auto"/>
                <w:spacing w:val="-1"/>
                <w:sz w:val="18"/>
                <w:szCs w:val="18"/>
                <w:u w:val="none" w:color="auto"/>
              </w:rPr>
              <w:t xml:space="preserve"> denticulata </w:t>
            </w:r>
            <w:r>
              <w:rPr>
                <w:rFonts w:hint="default" w:ascii="Times New Roman" w:hAnsi="Times New Roman" w:eastAsia="宋体" w:cs="Times New Roman"/>
                <w:i/>
                <w:color w:val="auto"/>
                <w:sz w:val="18"/>
                <w:szCs w:val="18"/>
                <w:u w:val="none" w:color="auto"/>
              </w:rPr>
              <w:t>sinensis</w:t>
            </w:r>
          </w:p>
        </w:tc>
        <w:tc>
          <w:tcPr>
            <w:tcW w:w="1908" w:type="dxa"/>
            <w:noWrap w:val="0"/>
            <w:vAlign w:val="center"/>
          </w:tcPr>
          <w:p w14:paraId="098541BB">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322CE9F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671529F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2</w:t>
            </w:r>
          </w:p>
        </w:tc>
        <w:tc>
          <w:tcPr>
            <w:tcW w:w="5549" w:type="dxa"/>
            <w:noWrap w:val="0"/>
            <w:vAlign w:val="center"/>
          </w:tcPr>
          <w:p w14:paraId="1B808473">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爬行亚目</w:t>
            </w:r>
            <w:r>
              <w:rPr>
                <w:rFonts w:hint="default" w:ascii="Times New Roman" w:hAnsi="Times New Roman" w:eastAsia="宋体" w:cs="Times New Roman"/>
                <w:b/>
                <w:bCs/>
                <w:iCs/>
                <w:color w:val="auto"/>
                <w:spacing w:val="-1"/>
                <w:sz w:val="18"/>
                <w:szCs w:val="18"/>
                <w:u w:val="none" w:color="auto"/>
              </w:rPr>
              <w:t>Reptantia</w:t>
            </w:r>
          </w:p>
        </w:tc>
        <w:tc>
          <w:tcPr>
            <w:tcW w:w="1908" w:type="dxa"/>
            <w:noWrap w:val="0"/>
            <w:vAlign w:val="center"/>
          </w:tcPr>
          <w:p w14:paraId="2F8952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r>
      <w:tr w14:paraId="2A1F4C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079E77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744CA2C2">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（7）克氏螯虾</w:t>
            </w:r>
            <w:r>
              <w:rPr>
                <w:rFonts w:hint="default" w:ascii="Times New Roman" w:hAnsi="Times New Roman" w:eastAsia="宋体" w:cs="Times New Roman"/>
                <w:i/>
                <w:color w:val="auto"/>
                <w:spacing w:val="-1"/>
                <w:sz w:val="18"/>
                <w:szCs w:val="18"/>
                <w:u w:val="none" w:color="auto"/>
              </w:rPr>
              <w:t xml:space="preserve">Porcambarus </w:t>
            </w:r>
            <w:r>
              <w:rPr>
                <w:rFonts w:hint="default" w:ascii="Times New Roman" w:hAnsi="Times New Roman" w:eastAsia="宋体" w:cs="Times New Roman"/>
                <w:i/>
                <w:color w:val="auto"/>
                <w:sz w:val="18"/>
                <w:szCs w:val="18"/>
                <w:u w:val="none" w:color="auto"/>
              </w:rPr>
              <w:t>clarkia</w:t>
            </w:r>
          </w:p>
        </w:tc>
        <w:tc>
          <w:tcPr>
            <w:tcW w:w="1908" w:type="dxa"/>
            <w:noWrap w:val="0"/>
            <w:vAlign w:val="center"/>
          </w:tcPr>
          <w:p w14:paraId="68E1B04D">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16F68E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29C10D8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46FDF31F">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（8）锯齿溪蟹</w:t>
            </w:r>
            <w:r>
              <w:rPr>
                <w:rFonts w:hint="default" w:ascii="Times New Roman" w:hAnsi="Times New Roman" w:eastAsia="宋体" w:cs="Times New Roman"/>
                <w:i/>
                <w:color w:val="auto"/>
                <w:spacing w:val="-1"/>
                <w:sz w:val="18"/>
                <w:szCs w:val="18"/>
                <w:u w:val="none" w:color="auto"/>
              </w:rPr>
              <w:t>Potamon denticulatus</w:t>
            </w:r>
          </w:p>
        </w:tc>
        <w:tc>
          <w:tcPr>
            <w:tcW w:w="1908" w:type="dxa"/>
            <w:noWrap w:val="0"/>
            <w:vAlign w:val="center"/>
          </w:tcPr>
          <w:p w14:paraId="27A7641A">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09B9FBA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2D6448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197862EC">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（9）鳃刺溪蟹</w:t>
            </w:r>
            <w:r>
              <w:rPr>
                <w:rFonts w:hint="default" w:ascii="Times New Roman" w:hAnsi="Times New Roman" w:eastAsia="宋体" w:cs="Times New Roman"/>
                <w:i/>
                <w:color w:val="auto"/>
                <w:spacing w:val="-1"/>
                <w:sz w:val="18"/>
                <w:szCs w:val="18"/>
                <w:u w:val="none" w:color="auto"/>
              </w:rPr>
              <w:t>Potamon anacoluthon</w:t>
            </w:r>
          </w:p>
        </w:tc>
        <w:tc>
          <w:tcPr>
            <w:tcW w:w="1908" w:type="dxa"/>
            <w:noWrap w:val="0"/>
            <w:vAlign w:val="center"/>
          </w:tcPr>
          <w:p w14:paraId="58073934">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r w14:paraId="4D8DC6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59" w:type="dxa"/>
            <w:noWrap w:val="0"/>
            <w:vAlign w:val="center"/>
          </w:tcPr>
          <w:p w14:paraId="589762F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p>
        </w:tc>
        <w:tc>
          <w:tcPr>
            <w:tcW w:w="5549" w:type="dxa"/>
            <w:noWrap w:val="0"/>
            <w:vAlign w:val="center"/>
          </w:tcPr>
          <w:p w14:paraId="3FC08686">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pacing w:val="-1"/>
                <w:sz w:val="18"/>
                <w:szCs w:val="18"/>
                <w:u w:val="none" w:color="auto"/>
              </w:rPr>
              <w:t>（10）中华绒螯蟹</w:t>
            </w:r>
            <w:r>
              <w:rPr>
                <w:rFonts w:hint="default" w:ascii="Times New Roman" w:hAnsi="Times New Roman" w:eastAsia="宋体" w:cs="Times New Roman"/>
                <w:i/>
                <w:color w:val="auto"/>
                <w:spacing w:val="-1"/>
                <w:sz w:val="18"/>
                <w:szCs w:val="18"/>
                <w:u w:val="none" w:color="auto"/>
              </w:rPr>
              <w:t>Eriocheir sinensis</w:t>
            </w:r>
          </w:p>
        </w:tc>
        <w:tc>
          <w:tcPr>
            <w:tcW w:w="1908" w:type="dxa"/>
            <w:noWrap w:val="0"/>
            <w:vAlign w:val="center"/>
          </w:tcPr>
          <w:p w14:paraId="51921956">
            <w:pPr>
              <w:pStyle w:val="5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w:t>
            </w:r>
          </w:p>
        </w:tc>
      </w:tr>
    </w:tbl>
    <w:p w14:paraId="5E9F6354">
      <w:pPr>
        <w:pageBreakBefore w:val="0"/>
        <w:kinsoku/>
        <w:wordWrap/>
        <w:overflowPunct/>
        <w:topLinePunct w:val="0"/>
        <w:bidi w:val="0"/>
        <w:spacing w:line="360" w:lineRule="auto"/>
        <w:ind w:left="560" w:firstLine="422"/>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注：</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表示丰富、</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表示一般、</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w:t>
      </w:r>
      <w:r>
        <w:rPr>
          <w:rFonts w:hint="default" w:ascii="Times New Roman" w:hAnsi="Times New Roman" w:eastAsia="宋体" w:cs="Times New Roman"/>
          <w:b/>
          <w:bCs/>
          <w:color w:val="auto"/>
          <w:sz w:val="18"/>
          <w:szCs w:val="18"/>
          <w:u w:val="none" w:color="auto"/>
          <w:lang w:eastAsia="zh-CN"/>
        </w:rPr>
        <w:t>”</w:t>
      </w:r>
      <w:r>
        <w:rPr>
          <w:rFonts w:hint="default" w:ascii="Times New Roman" w:hAnsi="Times New Roman" w:eastAsia="宋体" w:cs="Times New Roman"/>
          <w:b/>
          <w:bCs/>
          <w:color w:val="auto"/>
          <w:sz w:val="18"/>
          <w:szCs w:val="18"/>
          <w:u w:val="none" w:color="auto"/>
        </w:rPr>
        <w:t>表示较少。</w:t>
      </w:r>
    </w:p>
    <w:p w14:paraId="2D268DF9">
      <w:pPr>
        <w:pageBreakBefore w:val="0"/>
        <w:numPr>
          <w:ilvl w:val="0"/>
          <w:numId w:val="0"/>
        </w:numPr>
        <w:kinsoku/>
        <w:wordWrap/>
        <w:overflowPunct/>
        <w:topLinePunct w:val="0"/>
        <w:bidi w:val="0"/>
        <w:spacing w:before="0" w:after="0" w:line="360" w:lineRule="auto"/>
        <w:ind w:left="480" w:leftChars="0" w:right="0" w:rightChars="0"/>
        <w:outlineLvl w:val="9"/>
        <w:rPr>
          <w:rFonts w:hint="default" w:ascii="Times New Roman" w:hAnsi="Times New Roman" w:eastAsia="宋体" w:cs="Times New Roman"/>
          <w:color w:val="auto"/>
          <w:sz w:val="24"/>
          <w:szCs w:val="24"/>
          <w:u w:val="none" w:color="auto"/>
        </w:rPr>
      </w:pPr>
      <w:bookmarkStart w:id="626" w:name="_Toc14948"/>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水生野生保护动物</w:t>
      </w:r>
      <w:bookmarkEnd w:id="626"/>
    </w:p>
    <w:p w14:paraId="4820D869">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东洞庭湖记录的水生野生保护动物11目19科31种，其中，属于国家重点保护野生动物名录Ⅰ级种类3种、Ⅱ级保护种类3种，列入《中国濒危动物红皮书（1998）》的有8种，列入《湖南省地方重点保护野生动植物名录》的有25种，其中白鳍豚</w:t>
      </w:r>
      <w:r>
        <w:rPr>
          <w:rFonts w:hint="default" w:ascii="Times New Roman" w:hAnsi="Times New Roman" w:eastAsia="宋体" w:cs="Times New Roman"/>
          <w:i/>
          <w:iCs/>
          <w:color w:val="auto"/>
          <w:sz w:val="24"/>
          <w:szCs w:val="24"/>
          <w:u w:val="none" w:color="auto"/>
        </w:rPr>
        <w:t>（Lipotes vexillifer）</w:t>
      </w:r>
      <w:r>
        <w:rPr>
          <w:rFonts w:hint="default" w:ascii="Times New Roman" w:hAnsi="Times New Roman" w:eastAsia="宋体" w:cs="Times New Roman"/>
          <w:color w:val="auto"/>
          <w:sz w:val="24"/>
          <w:szCs w:val="24"/>
          <w:u w:val="none" w:color="auto"/>
        </w:rPr>
        <w:t>、鲥和白鲟3种则在近20年内未发现；长薄鳅</w:t>
      </w:r>
      <w:r>
        <w:rPr>
          <w:rFonts w:hint="default" w:ascii="Times New Roman" w:hAnsi="Times New Roman" w:eastAsia="宋体" w:cs="Times New Roman"/>
          <w:i/>
          <w:iCs/>
          <w:color w:val="auto"/>
          <w:sz w:val="24"/>
          <w:szCs w:val="24"/>
          <w:u w:val="none" w:color="auto"/>
        </w:rPr>
        <w:t>（Leptobotia elongata）</w:t>
      </w:r>
      <w:r>
        <w:rPr>
          <w:rFonts w:hint="default" w:ascii="Times New Roman" w:hAnsi="Times New Roman" w:eastAsia="宋体" w:cs="Times New Roman"/>
          <w:color w:val="auto"/>
          <w:sz w:val="24"/>
          <w:szCs w:val="24"/>
          <w:u w:val="none" w:color="auto"/>
        </w:rPr>
        <w:t>、鯮、鳤</w:t>
      </w:r>
      <w:r>
        <w:rPr>
          <w:rFonts w:hint="default" w:ascii="Times New Roman" w:hAnsi="Times New Roman" w:eastAsia="宋体" w:cs="Times New Roman"/>
          <w:i/>
          <w:iCs/>
          <w:color w:val="auto"/>
          <w:sz w:val="24"/>
          <w:szCs w:val="24"/>
          <w:u w:val="none" w:color="auto"/>
        </w:rPr>
        <w:t>（Ochetobibus elongatus）</w:t>
      </w:r>
      <w:r>
        <w:rPr>
          <w:rFonts w:hint="default" w:ascii="Times New Roman" w:hAnsi="Times New Roman" w:eastAsia="宋体" w:cs="Times New Roman"/>
          <w:color w:val="auto"/>
          <w:sz w:val="24"/>
          <w:szCs w:val="24"/>
          <w:u w:val="none" w:color="auto"/>
        </w:rPr>
        <w:t>、中华倒刺鲃</w:t>
      </w:r>
      <w:r>
        <w:rPr>
          <w:rFonts w:hint="default" w:ascii="Times New Roman" w:hAnsi="Times New Roman" w:eastAsia="宋体" w:cs="Times New Roman"/>
          <w:i/>
          <w:iCs/>
          <w:color w:val="auto"/>
          <w:sz w:val="24"/>
          <w:szCs w:val="24"/>
          <w:u w:val="none" w:color="auto"/>
        </w:rPr>
        <w:t>（Spinibarbus sinensis）</w:t>
      </w:r>
      <w:r>
        <w:rPr>
          <w:rFonts w:hint="default" w:ascii="Times New Roman" w:hAnsi="Times New Roman" w:eastAsia="宋体" w:cs="Times New Roman"/>
          <w:color w:val="auto"/>
          <w:sz w:val="24"/>
          <w:szCs w:val="24"/>
          <w:u w:val="none" w:color="auto"/>
        </w:rPr>
        <w:t>、白甲鱼</w:t>
      </w:r>
      <w:r>
        <w:rPr>
          <w:rFonts w:hint="default" w:ascii="Times New Roman" w:hAnsi="Times New Roman" w:eastAsia="宋体" w:cs="Times New Roman"/>
          <w:i/>
          <w:iCs/>
          <w:color w:val="auto"/>
          <w:sz w:val="24"/>
          <w:szCs w:val="24"/>
          <w:u w:val="none" w:color="auto"/>
        </w:rPr>
        <w:t>（Onychostoma sima）</w:t>
      </w:r>
      <w:r>
        <w:rPr>
          <w:rFonts w:hint="default" w:ascii="Times New Roman" w:hAnsi="Times New Roman" w:eastAsia="宋体" w:cs="Times New Roman"/>
          <w:color w:val="auto"/>
          <w:sz w:val="24"/>
          <w:szCs w:val="24"/>
          <w:u w:val="none" w:color="auto"/>
        </w:rPr>
        <w:t>、稀有白甲鱼</w:t>
      </w:r>
      <w:r>
        <w:rPr>
          <w:rFonts w:hint="default" w:ascii="Times New Roman" w:hAnsi="Times New Roman" w:eastAsia="宋体" w:cs="Times New Roman"/>
          <w:i/>
          <w:iCs/>
          <w:color w:val="auto"/>
          <w:sz w:val="24"/>
          <w:szCs w:val="24"/>
          <w:u w:val="none" w:color="auto"/>
        </w:rPr>
        <w:t>（Onychostoma rarum）</w:t>
      </w:r>
      <w:r>
        <w:rPr>
          <w:rFonts w:hint="default" w:ascii="Times New Roman" w:hAnsi="Times New Roman" w:eastAsia="宋体" w:cs="Times New Roman"/>
          <w:color w:val="auto"/>
          <w:sz w:val="24"/>
          <w:szCs w:val="24"/>
          <w:u w:val="none" w:color="auto"/>
        </w:rPr>
        <w:t>、洞庭孟加拉鲮</w:t>
      </w:r>
      <w:r>
        <w:rPr>
          <w:rFonts w:hint="default" w:ascii="Times New Roman" w:hAnsi="Times New Roman" w:eastAsia="宋体" w:cs="Times New Roman"/>
          <w:i/>
          <w:iCs/>
          <w:color w:val="auto"/>
          <w:sz w:val="24"/>
          <w:szCs w:val="24"/>
          <w:u w:val="none" w:color="auto"/>
        </w:rPr>
        <w:t>（Bangana tungting）</w:t>
      </w:r>
      <w:r>
        <w:rPr>
          <w:rFonts w:hint="default" w:ascii="Times New Roman" w:hAnsi="Times New Roman" w:eastAsia="宋体" w:cs="Times New Roman"/>
          <w:color w:val="auto"/>
          <w:sz w:val="24"/>
          <w:szCs w:val="24"/>
          <w:u w:val="none" w:color="auto"/>
        </w:rPr>
        <w:t>和岩原鲤</w:t>
      </w:r>
      <w:r>
        <w:rPr>
          <w:rFonts w:hint="default" w:ascii="Times New Roman" w:hAnsi="Times New Roman" w:eastAsia="宋体" w:cs="Times New Roman"/>
          <w:i/>
          <w:iCs/>
          <w:color w:val="auto"/>
          <w:sz w:val="24"/>
          <w:szCs w:val="24"/>
          <w:u w:val="none" w:color="auto"/>
        </w:rPr>
        <w:t>（Procypris rabaudi）</w:t>
      </w:r>
      <w:r>
        <w:rPr>
          <w:rFonts w:hint="default" w:ascii="Times New Roman" w:hAnsi="Times New Roman" w:eastAsia="宋体" w:cs="Times New Roman"/>
          <w:color w:val="auto"/>
          <w:sz w:val="24"/>
          <w:szCs w:val="24"/>
          <w:u w:val="none" w:color="auto"/>
        </w:rPr>
        <w:t>8种在近10年内未发现；江豚、水獭</w:t>
      </w:r>
      <w:r>
        <w:rPr>
          <w:rFonts w:hint="default" w:ascii="Times New Roman" w:hAnsi="Times New Roman" w:eastAsia="宋体" w:cs="Times New Roman"/>
          <w:i/>
          <w:iCs/>
          <w:color w:val="auto"/>
          <w:sz w:val="24"/>
          <w:szCs w:val="24"/>
          <w:u w:val="none" w:color="auto"/>
        </w:rPr>
        <w:t>（Lutra lutra）</w:t>
      </w:r>
      <w:r>
        <w:rPr>
          <w:rFonts w:hint="default" w:ascii="Times New Roman" w:hAnsi="Times New Roman" w:eastAsia="宋体" w:cs="Times New Roman"/>
          <w:color w:val="auto"/>
          <w:sz w:val="24"/>
          <w:szCs w:val="24"/>
          <w:u w:val="none" w:color="auto"/>
        </w:rPr>
        <w:t>、中华鲟、胭脂鱼、猪耳丽蚌</w:t>
      </w:r>
      <w:r>
        <w:rPr>
          <w:rFonts w:hint="default" w:ascii="Times New Roman" w:hAnsi="Times New Roman" w:eastAsia="宋体" w:cs="Times New Roman"/>
          <w:i/>
          <w:iCs/>
          <w:color w:val="auto"/>
          <w:sz w:val="24"/>
          <w:szCs w:val="24"/>
          <w:u w:val="none" w:color="auto"/>
        </w:rPr>
        <w:t>（Lamprotula rochechouarti）</w:t>
      </w:r>
      <w:r>
        <w:rPr>
          <w:rFonts w:hint="default" w:ascii="Times New Roman" w:hAnsi="Times New Roman" w:eastAsia="宋体" w:cs="Times New Roman"/>
          <w:color w:val="auto"/>
          <w:sz w:val="24"/>
          <w:szCs w:val="24"/>
          <w:u w:val="none" w:color="auto"/>
        </w:rPr>
        <w:t>5种资源量已经非常少，种群已处于濒危状态；刀鲚</w:t>
      </w:r>
      <w:r>
        <w:rPr>
          <w:rFonts w:hint="default" w:ascii="Times New Roman" w:hAnsi="Times New Roman" w:eastAsia="宋体" w:cs="Times New Roman"/>
          <w:i/>
          <w:iCs/>
          <w:color w:val="auto"/>
          <w:sz w:val="24"/>
          <w:szCs w:val="24"/>
          <w:u w:val="none" w:color="auto"/>
        </w:rPr>
        <w:t>（Coilia nasus）</w:t>
      </w:r>
      <w:r>
        <w:rPr>
          <w:rFonts w:hint="default" w:ascii="Times New Roman" w:hAnsi="Times New Roman" w:eastAsia="宋体" w:cs="Times New Roman"/>
          <w:color w:val="auto"/>
          <w:sz w:val="24"/>
          <w:szCs w:val="24"/>
          <w:u w:val="none" w:color="auto"/>
        </w:rPr>
        <w:t>、太湖新银鱼</w:t>
      </w:r>
      <w:r>
        <w:rPr>
          <w:rFonts w:hint="default" w:ascii="Times New Roman" w:hAnsi="Times New Roman" w:eastAsia="宋体" w:cs="Times New Roman"/>
          <w:i/>
          <w:iCs/>
          <w:color w:val="auto"/>
          <w:sz w:val="24"/>
          <w:szCs w:val="24"/>
          <w:u w:val="none" w:color="auto"/>
        </w:rPr>
        <w:t>（Neosalanx taihuensis）</w:t>
      </w:r>
      <w:r>
        <w:rPr>
          <w:rFonts w:hint="default" w:ascii="Times New Roman" w:hAnsi="Times New Roman" w:eastAsia="宋体" w:cs="Times New Roman"/>
          <w:color w:val="auto"/>
          <w:sz w:val="24"/>
          <w:szCs w:val="24"/>
          <w:u w:val="none" w:color="auto"/>
        </w:rPr>
        <w:t>、湘江蛇鮈</w:t>
      </w:r>
      <w:r>
        <w:rPr>
          <w:rFonts w:hint="default" w:ascii="Times New Roman" w:hAnsi="Times New Roman" w:eastAsia="宋体" w:cs="Times New Roman"/>
          <w:i/>
          <w:iCs/>
          <w:color w:val="auto"/>
          <w:sz w:val="24"/>
          <w:szCs w:val="24"/>
          <w:u w:val="none" w:color="auto"/>
        </w:rPr>
        <w:t>（Saurogobio xiangjiangensis）</w:t>
      </w:r>
      <w:r>
        <w:rPr>
          <w:rFonts w:hint="default" w:ascii="Times New Roman" w:hAnsi="Times New Roman" w:eastAsia="宋体" w:cs="Times New Roman"/>
          <w:color w:val="auto"/>
          <w:sz w:val="24"/>
          <w:szCs w:val="24"/>
          <w:u w:val="none" w:color="auto"/>
        </w:rPr>
        <w:t>、洞庭小鳔鮈</w:t>
      </w:r>
      <w:r>
        <w:rPr>
          <w:rFonts w:hint="default" w:ascii="Times New Roman" w:hAnsi="Times New Roman" w:eastAsia="宋体" w:cs="Times New Roman"/>
          <w:i/>
          <w:iCs/>
          <w:color w:val="auto"/>
          <w:sz w:val="24"/>
          <w:szCs w:val="24"/>
          <w:u w:val="none" w:color="auto"/>
        </w:rPr>
        <w:t>（Microphysogobio tungtingensis）</w:t>
      </w:r>
      <w:r>
        <w:rPr>
          <w:rFonts w:hint="default" w:ascii="Times New Roman" w:hAnsi="Times New Roman" w:eastAsia="宋体" w:cs="Times New Roman"/>
          <w:color w:val="auto"/>
          <w:sz w:val="24"/>
          <w:szCs w:val="24"/>
          <w:u w:val="none" w:color="auto"/>
        </w:rPr>
        <w:t>、胡子鲇</w:t>
      </w:r>
      <w:r>
        <w:rPr>
          <w:rFonts w:hint="default" w:ascii="Times New Roman" w:hAnsi="Times New Roman" w:eastAsia="宋体" w:cs="Times New Roman"/>
          <w:i/>
          <w:iCs/>
          <w:color w:val="auto"/>
          <w:sz w:val="24"/>
          <w:szCs w:val="24"/>
          <w:u w:val="none" w:color="auto"/>
        </w:rPr>
        <w:t>（Clarias fuscus）</w:t>
      </w:r>
      <w:r>
        <w:rPr>
          <w:rFonts w:hint="default" w:ascii="Times New Roman" w:hAnsi="Times New Roman" w:eastAsia="宋体" w:cs="Times New Roman"/>
          <w:color w:val="auto"/>
          <w:sz w:val="24"/>
          <w:szCs w:val="24"/>
          <w:u w:val="none" w:color="auto"/>
        </w:rPr>
        <w:t>、长体鳜</w:t>
      </w:r>
      <w:r>
        <w:rPr>
          <w:rFonts w:hint="default" w:ascii="Times New Roman" w:hAnsi="Times New Roman" w:eastAsia="宋体" w:cs="Times New Roman"/>
          <w:i/>
          <w:iCs/>
          <w:color w:val="auto"/>
          <w:sz w:val="24"/>
          <w:szCs w:val="24"/>
          <w:u w:val="none" w:color="auto"/>
        </w:rPr>
        <w:t>（Coreosiniperca roulei）</w:t>
      </w:r>
      <w:r>
        <w:rPr>
          <w:rFonts w:hint="default" w:ascii="Times New Roman" w:hAnsi="Times New Roman" w:eastAsia="宋体" w:cs="Times New Roman"/>
          <w:color w:val="auto"/>
          <w:sz w:val="24"/>
          <w:szCs w:val="24"/>
          <w:u w:val="none" w:color="auto"/>
        </w:rPr>
        <w:t>、叉尾斗鱼</w:t>
      </w:r>
      <w:r>
        <w:rPr>
          <w:rFonts w:hint="default" w:ascii="Times New Roman" w:hAnsi="Times New Roman" w:eastAsia="宋体" w:cs="Times New Roman"/>
          <w:i/>
          <w:iCs/>
          <w:color w:val="auto"/>
          <w:sz w:val="24"/>
          <w:szCs w:val="24"/>
          <w:u w:val="none" w:color="auto"/>
        </w:rPr>
        <w:t>（Macropodus opercularis）</w:t>
      </w:r>
      <w:r>
        <w:rPr>
          <w:rFonts w:hint="default" w:ascii="Times New Roman" w:hAnsi="Times New Roman" w:eastAsia="宋体" w:cs="Times New Roman"/>
          <w:color w:val="auto"/>
          <w:sz w:val="24"/>
          <w:szCs w:val="24"/>
          <w:u w:val="none" w:color="auto"/>
        </w:rPr>
        <w:t>、乌龟、中华鳖、中华圆田螺</w:t>
      </w:r>
      <w:r>
        <w:rPr>
          <w:rFonts w:hint="default" w:ascii="Times New Roman" w:hAnsi="Times New Roman" w:eastAsia="宋体" w:cs="Times New Roman"/>
          <w:i/>
          <w:iCs/>
          <w:color w:val="auto"/>
          <w:sz w:val="24"/>
          <w:szCs w:val="24"/>
          <w:u w:val="none" w:color="auto"/>
        </w:rPr>
        <w:t>（Cipangopaludina cahayensis）</w:t>
      </w:r>
      <w:r>
        <w:rPr>
          <w:rFonts w:hint="default" w:ascii="Times New Roman" w:hAnsi="Times New Roman" w:eastAsia="宋体" w:cs="Times New Roman"/>
          <w:color w:val="auto"/>
          <w:sz w:val="24"/>
          <w:szCs w:val="24"/>
          <w:u w:val="none" w:color="auto"/>
        </w:rPr>
        <w:t>、卵河螺</w:t>
      </w:r>
      <w:r>
        <w:rPr>
          <w:rFonts w:hint="default" w:ascii="Times New Roman" w:hAnsi="Times New Roman" w:eastAsia="宋体" w:cs="Times New Roman"/>
          <w:i/>
          <w:iCs/>
          <w:color w:val="auto"/>
          <w:sz w:val="24"/>
          <w:szCs w:val="24"/>
          <w:u w:val="none" w:color="auto"/>
        </w:rPr>
        <w:t>（Rivularia ovum）</w:t>
      </w:r>
      <w:r>
        <w:rPr>
          <w:rFonts w:hint="default" w:ascii="Times New Roman" w:hAnsi="Times New Roman" w:eastAsia="宋体" w:cs="Times New Roman"/>
          <w:color w:val="auto"/>
          <w:sz w:val="24"/>
          <w:szCs w:val="24"/>
          <w:u w:val="none" w:color="auto"/>
        </w:rPr>
        <w:t>、中国小豆螺</w:t>
      </w:r>
      <w:r>
        <w:rPr>
          <w:rFonts w:hint="default" w:ascii="Times New Roman" w:hAnsi="Times New Roman" w:eastAsia="宋体" w:cs="Times New Roman"/>
          <w:i/>
          <w:iCs/>
          <w:color w:val="auto"/>
          <w:sz w:val="24"/>
          <w:szCs w:val="24"/>
          <w:u w:val="none" w:color="auto"/>
        </w:rPr>
        <w:t>（Bythinella chinensis）</w:t>
      </w:r>
      <w:r>
        <w:rPr>
          <w:rFonts w:hint="default" w:ascii="Times New Roman" w:hAnsi="Times New Roman" w:eastAsia="宋体" w:cs="Times New Roman"/>
          <w:color w:val="auto"/>
          <w:sz w:val="24"/>
          <w:szCs w:val="24"/>
          <w:u w:val="none" w:color="auto"/>
        </w:rPr>
        <w:t>、微红楔蚌</w:t>
      </w:r>
      <w:r>
        <w:rPr>
          <w:rFonts w:hint="default" w:ascii="Times New Roman" w:hAnsi="Times New Roman" w:eastAsia="宋体" w:cs="Times New Roman"/>
          <w:i/>
          <w:iCs/>
          <w:color w:val="auto"/>
          <w:sz w:val="24"/>
          <w:szCs w:val="24"/>
          <w:u w:val="none" w:color="auto"/>
        </w:rPr>
        <w:t>（Cuneopsis rufescens）</w:t>
      </w:r>
      <w:r>
        <w:rPr>
          <w:rFonts w:hint="default" w:ascii="Times New Roman" w:hAnsi="Times New Roman" w:eastAsia="宋体" w:cs="Times New Roman"/>
          <w:color w:val="auto"/>
          <w:sz w:val="24"/>
          <w:szCs w:val="24"/>
          <w:u w:val="none" w:color="auto"/>
        </w:rPr>
        <w:t>、三型矛蚌</w:t>
      </w:r>
      <w:r>
        <w:rPr>
          <w:rFonts w:hint="default" w:ascii="Times New Roman" w:hAnsi="Times New Roman" w:eastAsia="宋体" w:cs="Times New Roman"/>
          <w:i/>
          <w:iCs/>
          <w:color w:val="auto"/>
          <w:sz w:val="24"/>
          <w:szCs w:val="24"/>
          <w:u w:val="none" w:color="auto"/>
        </w:rPr>
        <w:t>（Lanceolaria triformis）</w:t>
      </w:r>
      <w:r>
        <w:rPr>
          <w:rFonts w:hint="default" w:ascii="Times New Roman" w:hAnsi="Times New Roman" w:eastAsia="宋体" w:cs="Times New Roman"/>
          <w:color w:val="auto"/>
          <w:sz w:val="24"/>
          <w:szCs w:val="24"/>
          <w:u w:val="none" w:color="auto"/>
        </w:rPr>
        <w:t>和背瘤丽蚌</w:t>
      </w:r>
      <w:r>
        <w:rPr>
          <w:rFonts w:hint="default" w:ascii="Times New Roman" w:hAnsi="Times New Roman" w:eastAsia="宋体" w:cs="Times New Roman"/>
          <w:i/>
          <w:iCs/>
          <w:color w:val="auto"/>
          <w:sz w:val="24"/>
          <w:szCs w:val="24"/>
          <w:u w:val="none" w:color="auto"/>
        </w:rPr>
        <w:t>（Lamprotula leai）</w:t>
      </w:r>
      <w:r>
        <w:rPr>
          <w:rFonts w:hint="default" w:ascii="Times New Roman" w:hAnsi="Times New Roman" w:eastAsia="宋体" w:cs="Times New Roman"/>
          <w:color w:val="auto"/>
          <w:sz w:val="24"/>
          <w:szCs w:val="24"/>
          <w:u w:val="none" w:color="auto"/>
        </w:rPr>
        <w:t>15种尚有一定资源量。湖南东洞庭湖国家级自然保护区水生野生动物保护名录及现状分布见</w:t>
      </w:r>
      <w:r>
        <w:rPr>
          <w:rFonts w:hint="default" w:ascii="Times New Roman" w:hAnsi="Times New Roman" w:eastAsia="宋体" w:cs="Times New Roman"/>
          <w:color w:val="auto"/>
          <w:sz w:val="24"/>
          <w:szCs w:val="24"/>
          <w:u w:val="none" w:color="auto"/>
          <w:lang w:val="en-US" w:eastAsia="zh-CN"/>
        </w:rPr>
        <w:t>下表</w:t>
      </w:r>
      <w:r>
        <w:rPr>
          <w:rFonts w:hint="default" w:ascii="Times New Roman" w:hAnsi="Times New Roman" w:eastAsia="宋体" w:cs="Times New Roman"/>
          <w:color w:val="auto"/>
          <w:sz w:val="24"/>
          <w:szCs w:val="24"/>
          <w:u w:val="none" w:color="auto"/>
        </w:rPr>
        <w:t>。</w:t>
      </w:r>
    </w:p>
    <w:p w14:paraId="7E4E766B">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表4.5-28 </w:t>
      </w:r>
      <w:r>
        <w:rPr>
          <w:rFonts w:hint="default" w:ascii="Times New Roman" w:hAnsi="Times New Roman" w:eastAsia="宋体" w:cs="Times New Roman"/>
          <w:color w:val="auto"/>
          <w:sz w:val="24"/>
          <w:szCs w:val="24"/>
          <w:u w:val="none" w:color="auto"/>
          <w:lang w:eastAsia="zh-CN"/>
        </w:rPr>
        <w:t>湖南东洞庭湖国家级自然保护区</w:t>
      </w:r>
      <w:r>
        <w:rPr>
          <w:rFonts w:hint="default" w:ascii="Times New Roman" w:hAnsi="Times New Roman" w:eastAsia="宋体" w:cs="Times New Roman"/>
          <w:color w:val="auto"/>
          <w:sz w:val="24"/>
          <w:szCs w:val="24"/>
          <w:u w:val="none" w:color="auto"/>
        </w:rPr>
        <w:t>水生野生动物保护名录及现状分布</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895"/>
        <w:gridCol w:w="1395"/>
        <w:gridCol w:w="1920"/>
        <w:gridCol w:w="1860"/>
        <w:gridCol w:w="2203"/>
      </w:tblGrid>
      <w:tr w14:paraId="74B0C5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noWrap w:val="0"/>
            <w:vAlign w:val="center"/>
          </w:tcPr>
          <w:p w14:paraId="17F3BE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目</w:t>
            </w:r>
          </w:p>
        </w:tc>
        <w:tc>
          <w:tcPr>
            <w:tcW w:w="1395" w:type="dxa"/>
            <w:noWrap w:val="0"/>
            <w:vAlign w:val="center"/>
          </w:tcPr>
          <w:p w14:paraId="2AA990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科</w:t>
            </w:r>
          </w:p>
        </w:tc>
        <w:tc>
          <w:tcPr>
            <w:tcW w:w="1920" w:type="dxa"/>
            <w:noWrap w:val="0"/>
            <w:vAlign w:val="center"/>
          </w:tcPr>
          <w:p w14:paraId="2FC98D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记录种</w:t>
            </w:r>
          </w:p>
        </w:tc>
        <w:tc>
          <w:tcPr>
            <w:tcW w:w="1860" w:type="dxa"/>
            <w:noWrap w:val="0"/>
            <w:vAlign w:val="center"/>
          </w:tcPr>
          <w:p w14:paraId="1A97A5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保护级别</w:t>
            </w:r>
          </w:p>
        </w:tc>
        <w:tc>
          <w:tcPr>
            <w:tcW w:w="2203" w:type="dxa"/>
            <w:noWrap w:val="0"/>
            <w:vAlign w:val="center"/>
          </w:tcPr>
          <w:p w14:paraId="38DB44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lang w:bidi="ar"/>
              </w:rPr>
              <w:t>种群现状</w:t>
            </w:r>
          </w:p>
        </w:tc>
      </w:tr>
      <w:tr w14:paraId="57B4C9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1D48BA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鲸目</w:t>
            </w:r>
          </w:p>
        </w:tc>
        <w:tc>
          <w:tcPr>
            <w:tcW w:w="1395" w:type="dxa"/>
            <w:noWrap w:val="0"/>
            <w:vAlign w:val="center"/>
          </w:tcPr>
          <w:p w14:paraId="4508AE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1.白鱀豚科</w:t>
            </w:r>
          </w:p>
        </w:tc>
        <w:tc>
          <w:tcPr>
            <w:tcW w:w="1920" w:type="dxa"/>
            <w:noWrap w:val="0"/>
            <w:vAlign w:val="center"/>
          </w:tcPr>
          <w:p w14:paraId="03FF33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1.白鱀豚</w:t>
            </w:r>
          </w:p>
        </w:tc>
        <w:tc>
          <w:tcPr>
            <w:tcW w:w="1860" w:type="dxa"/>
            <w:noWrap w:val="0"/>
            <w:vAlign w:val="center"/>
          </w:tcPr>
          <w:p w14:paraId="0B153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国家Ⅰ级</w:t>
            </w:r>
          </w:p>
        </w:tc>
        <w:tc>
          <w:tcPr>
            <w:tcW w:w="2203" w:type="dxa"/>
            <w:noWrap w:val="0"/>
            <w:vAlign w:val="center"/>
          </w:tcPr>
          <w:p w14:paraId="54A097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0F58C35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660D5A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395" w:type="dxa"/>
            <w:noWrap w:val="0"/>
            <w:vAlign w:val="center"/>
          </w:tcPr>
          <w:p w14:paraId="17E100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2.鼠海豚科</w:t>
            </w:r>
          </w:p>
        </w:tc>
        <w:tc>
          <w:tcPr>
            <w:tcW w:w="1920" w:type="dxa"/>
            <w:noWrap w:val="0"/>
            <w:vAlign w:val="center"/>
          </w:tcPr>
          <w:p w14:paraId="0B16C7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2.江豚</w:t>
            </w:r>
          </w:p>
        </w:tc>
        <w:tc>
          <w:tcPr>
            <w:tcW w:w="1860" w:type="dxa"/>
            <w:noWrap w:val="0"/>
            <w:vAlign w:val="center"/>
          </w:tcPr>
          <w:p w14:paraId="776ED3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国家Ⅱ级</w:t>
            </w:r>
          </w:p>
        </w:tc>
        <w:tc>
          <w:tcPr>
            <w:tcW w:w="2203" w:type="dxa"/>
            <w:noWrap w:val="0"/>
            <w:vAlign w:val="center"/>
          </w:tcPr>
          <w:p w14:paraId="7D45C5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濒危，东洞庭湖约90头</w:t>
            </w:r>
          </w:p>
        </w:tc>
      </w:tr>
      <w:tr w14:paraId="2D4AE9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noWrap w:val="0"/>
            <w:vAlign w:val="center"/>
          </w:tcPr>
          <w:p w14:paraId="1A1CF1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食肉目</w:t>
            </w:r>
          </w:p>
        </w:tc>
        <w:tc>
          <w:tcPr>
            <w:tcW w:w="1395" w:type="dxa"/>
            <w:noWrap w:val="0"/>
            <w:vAlign w:val="center"/>
          </w:tcPr>
          <w:p w14:paraId="2C4B0C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3.鼬科</w:t>
            </w:r>
          </w:p>
        </w:tc>
        <w:tc>
          <w:tcPr>
            <w:tcW w:w="1920" w:type="dxa"/>
            <w:noWrap w:val="0"/>
            <w:vAlign w:val="center"/>
          </w:tcPr>
          <w:p w14:paraId="0BD99F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3.水獭</w:t>
            </w:r>
          </w:p>
        </w:tc>
        <w:tc>
          <w:tcPr>
            <w:tcW w:w="1860" w:type="dxa"/>
            <w:noWrap w:val="0"/>
            <w:vAlign w:val="center"/>
          </w:tcPr>
          <w:p w14:paraId="3BD154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国家Ⅱ级</w:t>
            </w:r>
          </w:p>
        </w:tc>
        <w:tc>
          <w:tcPr>
            <w:tcW w:w="2203" w:type="dxa"/>
            <w:noWrap w:val="0"/>
            <w:vAlign w:val="center"/>
          </w:tcPr>
          <w:p w14:paraId="266112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77058F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125A9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鲟形目</w:t>
            </w:r>
          </w:p>
        </w:tc>
        <w:tc>
          <w:tcPr>
            <w:tcW w:w="1395" w:type="dxa"/>
            <w:noWrap w:val="0"/>
            <w:vAlign w:val="center"/>
          </w:tcPr>
          <w:p w14:paraId="3BB224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4.鲟科</w:t>
            </w:r>
          </w:p>
        </w:tc>
        <w:tc>
          <w:tcPr>
            <w:tcW w:w="1920" w:type="dxa"/>
            <w:noWrap w:val="0"/>
            <w:vAlign w:val="center"/>
          </w:tcPr>
          <w:p w14:paraId="753C48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4.中华鲟</w:t>
            </w:r>
          </w:p>
        </w:tc>
        <w:tc>
          <w:tcPr>
            <w:tcW w:w="1860" w:type="dxa"/>
            <w:noWrap w:val="0"/>
            <w:vAlign w:val="center"/>
          </w:tcPr>
          <w:p w14:paraId="4AFE33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国家Ⅰ级、红皮书</w:t>
            </w:r>
          </w:p>
        </w:tc>
        <w:tc>
          <w:tcPr>
            <w:tcW w:w="2203" w:type="dxa"/>
            <w:noWrap w:val="0"/>
            <w:vAlign w:val="center"/>
          </w:tcPr>
          <w:p w14:paraId="5EBCA9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6D4B3B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61E783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noWrap w:val="0"/>
            <w:vAlign w:val="center"/>
          </w:tcPr>
          <w:p w14:paraId="1EC832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5.匙吻鲟科</w:t>
            </w:r>
          </w:p>
        </w:tc>
        <w:tc>
          <w:tcPr>
            <w:tcW w:w="1920" w:type="dxa"/>
            <w:noWrap w:val="0"/>
            <w:vAlign w:val="center"/>
          </w:tcPr>
          <w:p w14:paraId="1BDC7C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5.白鲟</w:t>
            </w:r>
          </w:p>
        </w:tc>
        <w:tc>
          <w:tcPr>
            <w:tcW w:w="1860" w:type="dxa"/>
            <w:noWrap w:val="0"/>
            <w:vAlign w:val="center"/>
          </w:tcPr>
          <w:p w14:paraId="074D56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国家Ⅰ级、红皮书</w:t>
            </w:r>
          </w:p>
        </w:tc>
        <w:tc>
          <w:tcPr>
            <w:tcW w:w="2203" w:type="dxa"/>
            <w:noWrap w:val="0"/>
            <w:vAlign w:val="center"/>
          </w:tcPr>
          <w:p w14:paraId="540DF0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3D00C9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70157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鲱形目</w:t>
            </w:r>
          </w:p>
        </w:tc>
        <w:tc>
          <w:tcPr>
            <w:tcW w:w="1395" w:type="dxa"/>
            <w:noWrap w:val="0"/>
            <w:vAlign w:val="center"/>
          </w:tcPr>
          <w:p w14:paraId="228992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6.鲱科</w:t>
            </w:r>
          </w:p>
        </w:tc>
        <w:tc>
          <w:tcPr>
            <w:tcW w:w="1920" w:type="dxa"/>
            <w:noWrap w:val="0"/>
            <w:vAlign w:val="center"/>
          </w:tcPr>
          <w:p w14:paraId="7BF891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6.鲥</w:t>
            </w:r>
          </w:p>
        </w:tc>
        <w:tc>
          <w:tcPr>
            <w:tcW w:w="1860" w:type="dxa"/>
            <w:noWrap w:val="0"/>
            <w:vAlign w:val="center"/>
          </w:tcPr>
          <w:p w14:paraId="0E083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红皮书、省重点</w:t>
            </w:r>
          </w:p>
        </w:tc>
        <w:tc>
          <w:tcPr>
            <w:tcW w:w="2203" w:type="dxa"/>
            <w:noWrap w:val="0"/>
            <w:vAlign w:val="center"/>
          </w:tcPr>
          <w:p w14:paraId="0F12AD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127093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2EA3CA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noWrap w:val="0"/>
            <w:vAlign w:val="center"/>
          </w:tcPr>
          <w:p w14:paraId="754592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7.鳀科</w:t>
            </w:r>
          </w:p>
        </w:tc>
        <w:tc>
          <w:tcPr>
            <w:tcW w:w="1920" w:type="dxa"/>
            <w:noWrap w:val="0"/>
            <w:vAlign w:val="center"/>
          </w:tcPr>
          <w:p w14:paraId="1C1EC9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7.刀鲚</w:t>
            </w:r>
          </w:p>
        </w:tc>
        <w:tc>
          <w:tcPr>
            <w:tcW w:w="1860" w:type="dxa"/>
            <w:noWrap w:val="0"/>
            <w:vAlign w:val="center"/>
          </w:tcPr>
          <w:p w14:paraId="28E076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6AB6F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偶见源</w:t>
            </w:r>
          </w:p>
        </w:tc>
      </w:tr>
      <w:tr w14:paraId="0F59377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noWrap w:val="0"/>
            <w:vAlign w:val="center"/>
          </w:tcPr>
          <w:p w14:paraId="6C37F9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胡瓜鱼目</w:t>
            </w:r>
          </w:p>
        </w:tc>
        <w:tc>
          <w:tcPr>
            <w:tcW w:w="1395" w:type="dxa"/>
            <w:noWrap w:val="0"/>
            <w:vAlign w:val="center"/>
          </w:tcPr>
          <w:p w14:paraId="2C415B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8.胡瓜鱼科</w:t>
            </w:r>
          </w:p>
        </w:tc>
        <w:tc>
          <w:tcPr>
            <w:tcW w:w="1920" w:type="dxa"/>
            <w:noWrap w:val="0"/>
            <w:vAlign w:val="center"/>
          </w:tcPr>
          <w:p w14:paraId="6BF5B7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8.太湖新银鱼</w:t>
            </w:r>
          </w:p>
        </w:tc>
        <w:tc>
          <w:tcPr>
            <w:tcW w:w="1860" w:type="dxa"/>
            <w:noWrap w:val="0"/>
            <w:vAlign w:val="center"/>
          </w:tcPr>
          <w:p w14:paraId="45EF6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4A2759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0C2741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45AEA7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鲤形目</w:t>
            </w:r>
          </w:p>
        </w:tc>
        <w:tc>
          <w:tcPr>
            <w:tcW w:w="1395" w:type="dxa"/>
            <w:noWrap w:val="0"/>
            <w:vAlign w:val="center"/>
          </w:tcPr>
          <w:p w14:paraId="74623D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9.胭脂鱼科</w:t>
            </w:r>
          </w:p>
        </w:tc>
        <w:tc>
          <w:tcPr>
            <w:tcW w:w="1920" w:type="dxa"/>
            <w:noWrap w:val="0"/>
            <w:vAlign w:val="center"/>
          </w:tcPr>
          <w:p w14:paraId="2A818E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9.胭脂鱼</w:t>
            </w:r>
          </w:p>
        </w:tc>
        <w:tc>
          <w:tcPr>
            <w:tcW w:w="1860" w:type="dxa"/>
            <w:noWrap w:val="0"/>
            <w:vAlign w:val="center"/>
          </w:tcPr>
          <w:p w14:paraId="6E138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lang w:bidi="ar"/>
              </w:rPr>
            </w:pPr>
            <w:r>
              <w:rPr>
                <w:rFonts w:hint="default" w:ascii="Times New Roman" w:hAnsi="Times New Roman" w:eastAsia="宋体" w:cs="Times New Roman"/>
                <w:color w:val="auto"/>
                <w:sz w:val="21"/>
                <w:szCs w:val="21"/>
                <w:u w:val="none" w:color="auto"/>
                <w:lang w:bidi="ar"/>
              </w:rPr>
              <w:t>国家Ⅱ级、红皮</w:t>
            </w:r>
          </w:p>
          <w:p w14:paraId="0AB9AA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书、省重点</w:t>
            </w:r>
          </w:p>
        </w:tc>
        <w:tc>
          <w:tcPr>
            <w:tcW w:w="2203" w:type="dxa"/>
            <w:noWrap w:val="0"/>
            <w:vAlign w:val="center"/>
          </w:tcPr>
          <w:p w14:paraId="32B897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76CAAF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015DC3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noWrap w:val="0"/>
            <w:vAlign w:val="center"/>
          </w:tcPr>
          <w:p w14:paraId="68472F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10.鳅科</w:t>
            </w:r>
          </w:p>
        </w:tc>
        <w:tc>
          <w:tcPr>
            <w:tcW w:w="1920" w:type="dxa"/>
            <w:noWrap w:val="0"/>
            <w:vAlign w:val="center"/>
          </w:tcPr>
          <w:p w14:paraId="5AE3A6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10.长薄鳅</w:t>
            </w:r>
          </w:p>
        </w:tc>
        <w:tc>
          <w:tcPr>
            <w:tcW w:w="1860" w:type="dxa"/>
            <w:noWrap w:val="0"/>
            <w:vAlign w:val="center"/>
          </w:tcPr>
          <w:p w14:paraId="584604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红皮书</w:t>
            </w:r>
          </w:p>
        </w:tc>
        <w:tc>
          <w:tcPr>
            <w:tcW w:w="2203" w:type="dxa"/>
            <w:noWrap w:val="0"/>
            <w:vAlign w:val="center"/>
          </w:tcPr>
          <w:p w14:paraId="1A5D5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450D33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02ECD7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restart"/>
            <w:noWrap w:val="0"/>
            <w:vAlign w:val="center"/>
          </w:tcPr>
          <w:p w14:paraId="2DAFC9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11.鲤科</w:t>
            </w:r>
          </w:p>
        </w:tc>
        <w:tc>
          <w:tcPr>
            <w:tcW w:w="1920" w:type="dxa"/>
            <w:noWrap w:val="0"/>
            <w:vAlign w:val="center"/>
          </w:tcPr>
          <w:p w14:paraId="3F92D5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11.鯮</w:t>
            </w:r>
          </w:p>
        </w:tc>
        <w:tc>
          <w:tcPr>
            <w:tcW w:w="1860" w:type="dxa"/>
            <w:noWrap w:val="0"/>
            <w:vAlign w:val="center"/>
          </w:tcPr>
          <w:p w14:paraId="6761B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红皮书、省重点</w:t>
            </w:r>
          </w:p>
        </w:tc>
        <w:tc>
          <w:tcPr>
            <w:tcW w:w="2203" w:type="dxa"/>
            <w:noWrap w:val="0"/>
            <w:vAlign w:val="center"/>
          </w:tcPr>
          <w:p w14:paraId="2DBDAA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63BC98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389F1E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4C3DD2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2024F1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12.鳤</w:t>
            </w:r>
          </w:p>
        </w:tc>
        <w:tc>
          <w:tcPr>
            <w:tcW w:w="1860" w:type="dxa"/>
            <w:noWrap w:val="0"/>
            <w:vAlign w:val="center"/>
          </w:tcPr>
          <w:p w14:paraId="71118B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7216C0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2206D88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0611A3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103743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18A7F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13.中华倒刺鲃</w:t>
            </w:r>
          </w:p>
        </w:tc>
        <w:tc>
          <w:tcPr>
            <w:tcW w:w="1860" w:type="dxa"/>
            <w:noWrap w:val="0"/>
            <w:vAlign w:val="center"/>
          </w:tcPr>
          <w:p w14:paraId="25A580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68573E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30733A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3F7DB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1FB2E5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10D4EF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14.白甲鱼</w:t>
            </w:r>
          </w:p>
        </w:tc>
        <w:tc>
          <w:tcPr>
            <w:tcW w:w="1860" w:type="dxa"/>
            <w:noWrap w:val="0"/>
            <w:vAlign w:val="center"/>
          </w:tcPr>
          <w:p w14:paraId="10FA10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071E67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27B17F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3A2E60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0670D2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71604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15.稀有白甲鱼</w:t>
            </w:r>
          </w:p>
        </w:tc>
        <w:tc>
          <w:tcPr>
            <w:tcW w:w="1860" w:type="dxa"/>
            <w:noWrap w:val="0"/>
            <w:vAlign w:val="center"/>
          </w:tcPr>
          <w:p w14:paraId="500D16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696A6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206DA2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546B7A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7114A6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2B3A6C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16.洞庭孟加拉鲮</w:t>
            </w:r>
          </w:p>
        </w:tc>
        <w:tc>
          <w:tcPr>
            <w:tcW w:w="1860" w:type="dxa"/>
            <w:noWrap w:val="0"/>
            <w:vAlign w:val="center"/>
          </w:tcPr>
          <w:p w14:paraId="38ECCB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17C009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061F1D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0F75D7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04983B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092745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17.湘江蛇鮈</w:t>
            </w:r>
          </w:p>
        </w:tc>
        <w:tc>
          <w:tcPr>
            <w:tcW w:w="1860" w:type="dxa"/>
            <w:noWrap w:val="0"/>
            <w:vAlign w:val="center"/>
          </w:tcPr>
          <w:p w14:paraId="67A735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04237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7F923EA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7A4AFC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340737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3F86AC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18.洞庭小鳔鮈</w:t>
            </w:r>
          </w:p>
        </w:tc>
        <w:tc>
          <w:tcPr>
            <w:tcW w:w="1860" w:type="dxa"/>
            <w:noWrap w:val="0"/>
            <w:vAlign w:val="center"/>
          </w:tcPr>
          <w:p w14:paraId="48C223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1D84B0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7286E2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73C94D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116BB8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920" w:type="dxa"/>
            <w:noWrap w:val="0"/>
            <w:vAlign w:val="center"/>
          </w:tcPr>
          <w:p w14:paraId="216D5B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19.岩原鲤</w:t>
            </w:r>
          </w:p>
        </w:tc>
        <w:tc>
          <w:tcPr>
            <w:tcW w:w="1860" w:type="dxa"/>
            <w:noWrap w:val="0"/>
            <w:vAlign w:val="center"/>
          </w:tcPr>
          <w:p w14:paraId="2784FF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红皮书、省重点</w:t>
            </w:r>
          </w:p>
        </w:tc>
        <w:tc>
          <w:tcPr>
            <w:tcW w:w="2203" w:type="dxa"/>
            <w:noWrap w:val="0"/>
            <w:vAlign w:val="center"/>
          </w:tcPr>
          <w:p w14:paraId="29F0AD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0FCE74F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noWrap w:val="0"/>
            <w:vAlign w:val="center"/>
          </w:tcPr>
          <w:p w14:paraId="46E998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鲇形目</w:t>
            </w:r>
          </w:p>
        </w:tc>
        <w:tc>
          <w:tcPr>
            <w:tcW w:w="1395" w:type="dxa"/>
            <w:noWrap w:val="0"/>
            <w:vAlign w:val="center"/>
          </w:tcPr>
          <w:p w14:paraId="3415DE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12.胡子鲇科</w:t>
            </w:r>
          </w:p>
        </w:tc>
        <w:tc>
          <w:tcPr>
            <w:tcW w:w="1920" w:type="dxa"/>
            <w:noWrap w:val="0"/>
            <w:vAlign w:val="center"/>
          </w:tcPr>
          <w:p w14:paraId="7E548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20.胡子鲇</w:t>
            </w:r>
          </w:p>
        </w:tc>
        <w:tc>
          <w:tcPr>
            <w:tcW w:w="1860" w:type="dxa"/>
            <w:noWrap w:val="0"/>
            <w:vAlign w:val="center"/>
          </w:tcPr>
          <w:p w14:paraId="5F80C9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221E10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3CBB86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1446F5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鲈形目</w:t>
            </w:r>
          </w:p>
        </w:tc>
        <w:tc>
          <w:tcPr>
            <w:tcW w:w="1395" w:type="dxa"/>
            <w:noWrap w:val="0"/>
            <w:vAlign w:val="center"/>
          </w:tcPr>
          <w:p w14:paraId="18A1D3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13.鮨鲈科</w:t>
            </w:r>
          </w:p>
        </w:tc>
        <w:tc>
          <w:tcPr>
            <w:tcW w:w="1920" w:type="dxa"/>
            <w:noWrap w:val="0"/>
            <w:vAlign w:val="center"/>
          </w:tcPr>
          <w:p w14:paraId="54FE02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21.长体鳜</w:t>
            </w:r>
          </w:p>
        </w:tc>
        <w:tc>
          <w:tcPr>
            <w:tcW w:w="1860" w:type="dxa"/>
            <w:noWrap w:val="0"/>
            <w:vAlign w:val="center"/>
          </w:tcPr>
          <w:p w14:paraId="535035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红皮书、省重点</w:t>
            </w:r>
          </w:p>
        </w:tc>
        <w:tc>
          <w:tcPr>
            <w:tcW w:w="2203" w:type="dxa"/>
            <w:noWrap w:val="0"/>
            <w:vAlign w:val="center"/>
          </w:tcPr>
          <w:p w14:paraId="58764B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34506B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378C11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noWrap w:val="0"/>
            <w:vAlign w:val="center"/>
          </w:tcPr>
          <w:p w14:paraId="46511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14.斗鱼科</w:t>
            </w:r>
          </w:p>
        </w:tc>
        <w:tc>
          <w:tcPr>
            <w:tcW w:w="1920" w:type="dxa"/>
            <w:noWrap w:val="0"/>
            <w:vAlign w:val="center"/>
          </w:tcPr>
          <w:p w14:paraId="3F6D2F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22.叉尾斗鱼</w:t>
            </w:r>
          </w:p>
        </w:tc>
        <w:tc>
          <w:tcPr>
            <w:tcW w:w="1860" w:type="dxa"/>
            <w:noWrap w:val="0"/>
            <w:vAlign w:val="center"/>
          </w:tcPr>
          <w:p w14:paraId="6FF17C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47BCB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未见</w:t>
            </w:r>
          </w:p>
        </w:tc>
      </w:tr>
      <w:tr w14:paraId="655C6B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5C4BE2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龟鳖目</w:t>
            </w:r>
          </w:p>
        </w:tc>
        <w:tc>
          <w:tcPr>
            <w:tcW w:w="1395" w:type="dxa"/>
            <w:noWrap w:val="0"/>
            <w:vAlign w:val="center"/>
          </w:tcPr>
          <w:p w14:paraId="7959A7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15.淡水龟科</w:t>
            </w:r>
          </w:p>
        </w:tc>
        <w:tc>
          <w:tcPr>
            <w:tcW w:w="1920" w:type="dxa"/>
            <w:noWrap w:val="0"/>
            <w:vAlign w:val="center"/>
          </w:tcPr>
          <w:p w14:paraId="6C9F70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23.乌龟（野生）</w:t>
            </w:r>
          </w:p>
        </w:tc>
        <w:tc>
          <w:tcPr>
            <w:tcW w:w="1860" w:type="dxa"/>
            <w:noWrap w:val="0"/>
            <w:vAlign w:val="center"/>
          </w:tcPr>
          <w:p w14:paraId="60B530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381DE0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623F9A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774C9B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noWrap w:val="0"/>
            <w:vAlign w:val="center"/>
          </w:tcPr>
          <w:p w14:paraId="662BEB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16.鳖科</w:t>
            </w:r>
          </w:p>
        </w:tc>
        <w:tc>
          <w:tcPr>
            <w:tcW w:w="1920" w:type="dxa"/>
            <w:noWrap w:val="0"/>
            <w:vAlign w:val="center"/>
          </w:tcPr>
          <w:p w14:paraId="540293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24.中华鳖（野生）</w:t>
            </w:r>
          </w:p>
        </w:tc>
        <w:tc>
          <w:tcPr>
            <w:tcW w:w="1860" w:type="dxa"/>
            <w:noWrap w:val="0"/>
            <w:vAlign w:val="center"/>
          </w:tcPr>
          <w:p w14:paraId="45C94E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28F806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193E63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0689AE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中腹足目</w:t>
            </w:r>
          </w:p>
        </w:tc>
        <w:tc>
          <w:tcPr>
            <w:tcW w:w="1395" w:type="dxa"/>
            <w:vMerge w:val="restart"/>
            <w:noWrap w:val="0"/>
            <w:vAlign w:val="center"/>
          </w:tcPr>
          <w:p w14:paraId="6ACE00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17.田螺科</w:t>
            </w:r>
          </w:p>
        </w:tc>
        <w:tc>
          <w:tcPr>
            <w:tcW w:w="1920" w:type="dxa"/>
            <w:noWrap w:val="0"/>
            <w:vAlign w:val="center"/>
          </w:tcPr>
          <w:p w14:paraId="7B885C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25.中华圆田螺</w:t>
            </w:r>
          </w:p>
        </w:tc>
        <w:tc>
          <w:tcPr>
            <w:tcW w:w="1860" w:type="dxa"/>
            <w:noWrap w:val="0"/>
            <w:vAlign w:val="center"/>
          </w:tcPr>
          <w:p w14:paraId="131C26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109792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1D911D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2D0B64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1D5A3E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920" w:type="dxa"/>
            <w:noWrap w:val="0"/>
            <w:vAlign w:val="center"/>
          </w:tcPr>
          <w:p w14:paraId="74664D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26.卵河螺</w:t>
            </w:r>
          </w:p>
        </w:tc>
        <w:tc>
          <w:tcPr>
            <w:tcW w:w="1860" w:type="dxa"/>
            <w:noWrap w:val="0"/>
            <w:vAlign w:val="center"/>
          </w:tcPr>
          <w:p w14:paraId="423542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04B9E9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偶见</w:t>
            </w:r>
          </w:p>
        </w:tc>
      </w:tr>
      <w:tr w14:paraId="4C1712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458C89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395" w:type="dxa"/>
            <w:noWrap w:val="0"/>
            <w:vAlign w:val="center"/>
          </w:tcPr>
          <w:p w14:paraId="554973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18.觹螺科</w:t>
            </w:r>
          </w:p>
        </w:tc>
        <w:tc>
          <w:tcPr>
            <w:tcW w:w="1920" w:type="dxa"/>
            <w:noWrap w:val="0"/>
            <w:vAlign w:val="center"/>
          </w:tcPr>
          <w:p w14:paraId="64B91E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27.中国小豆螺</w:t>
            </w:r>
          </w:p>
        </w:tc>
        <w:tc>
          <w:tcPr>
            <w:tcW w:w="1860" w:type="dxa"/>
            <w:noWrap w:val="0"/>
            <w:vAlign w:val="center"/>
          </w:tcPr>
          <w:p w14:paraId="549FC0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5831F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29F146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restart"/>
            <w:noWrap w:val="0"/>
            <w:vAlign w:val="center"/>
          </w:tcPr>
          <w:p w14:paraId="152BDD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真蚌鳃目</w:t>
            </w:r>
          </w:p>
        </w:tc>
        <w:tc>
          <w:tcPr>
            <w:tcW w:w="1395" w:type="dxa"/>
            <w:vMerge w:val="restart"/>
            <w:noWrap w:val="0"/>
            <w:vAlign w:val="center"/>
          </w:tcPr>
          <w:p w14:paraId="3ABA92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19.蚌科</w:t>
            </w:r>
          </w:p>
        </w:tc>
        <w:tc>
          <w:tcPr>
            <w:tcW w:w="1920" w:type="dxa"/>
            <w:noWrap w:val="0"/>
            <w:vAlign w:val="center"/>
          </w:tcPr>
          <w:p w14:paraId="11E5C5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28.微红楔蚌</w:t>
            </w:r>
          </w:p>
        </w:tc>
        <w:tc>
          <w:tcPr>
            <w:tcW w:w="1860" w:type="dxa"/>
            <w:noWrap w:val="0"/>
            <w:vAlign w:val="center"/>
          </w:tcPr>
          <w:p w14:paraId="5AF88F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A3AD9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187E53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73D868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33EAD2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1027D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29.三型矛蚌</w:t>
            </w:r>
          </w:p>
        </w:tc>
        <w:tc>
          <w:tcPr>
            <w:tcW w:w="1860" w:type="dxa"/>
            <w:noWrap w:val="0"/>
            <w:vAlign w:val="center"/>
          </w:tcPr>
          <w:p w14:paraId="14631F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569FDF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1576FC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7F9070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36C169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920" w:type="dxa"/>
            <w:noWrap w:val="0"/>
            <w:vAlign w:val="center"/>
          </w:tcPr>
          <w:p w14:paraId="6C0FEC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30.猪耳丽蚌</w:t>
            </w:r>
          </w:p>
        </w:tc>
        <w:tc>
          <w:tcPr>
            <w:tcW w:w="1860" w:type="dxa"/>
            <w:noWrap w:val="0"/>
            <w:vAlign w:val="center"/>
          </w:tcPr>
          <w:p w14:paraId="4AEBA2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0E7CC8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r w14:paraId="1BB718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895" w:type="dxa"/>
            <w:vMerge w:val="continue"/>
            <w:noWrap w:val="0"/>
            <w:vAlign w:val="center"/>
          </w:tcPr>
          <w:p w14:paraId="3CB0CD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p>
        </w:tc>
        <w:tc>
          <w:tcPr>
            <w:tcW w:w="1395" w:type="dxa"/>
            <w:vMerge w:val="continue"/>
            <w:noWrap w:val="0"/>
            <w:vAlign w:val="center"/>
          </w:tcPr>
          <w:p w14:paraId="2598D6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920" w:type="dxa"/>
            <w:noWrap w:val="0"/>
            <w:vAlign w:val="center"/>
          </w:tcPr>
          <w:p w14:paraId="5B47B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31.背瘤丽蚌</w:t>
            </w:r>
          </w:p>
        </w:tc>
        <w:tc>
          <w:tcPr>
            <w:tcW w:w="1860" w:type="dxa"/>
            <w:noWrap w:val="0"/>
            <w:vAlign w:val="center"/>
          </w:tcPr>
          <w:p w14:paraId="5AB93E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省重点</w:t>
            </w:r>
          </w:p>
        </w:tc>
        <w:tc>
          <w:tcPr>
            <w:tcW w:w="2203" w:type="dxa"/>
            <w:noWrap w:val="0"/>
            <w:vAlign w:val="center"/>
          </w:tcPr>
          <w:p w14:paraId="682DA8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bidi="ar"/>
              </w:rPr>
              <w:t>有一定资源</w:t>
            </w:r>
          </w:p>
        </w:tc>
      </w:tr>
    </w:tbl>
    <w:p w14:paraId="4CED0DCB">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rPr>
      </w:pPr>
      <w:bookmarkStart w:id="627" w:name="_Toc19079"/>
      <w:bookmarkStart w:id="628" w:name="_Toc26468"/>
      <w:bookmarkStart w:id="629" w:name="_Toc521943207"/>
      <w:bookmarkStart w:id="630" w:name="_Toc521971288"/>
      <w:bookmarkStart w:id="631" w:name="_Toc14918"/>
      <w:r>
        <w:rPr>
          <w:rFonts w:hint="default" w:ascii="Times New Roman" w:hAnsi="Times New Roman" w:eastAsia="宋体" w:cs="Times New Roman"/>
          <w:color w:val="auto"/>
          <w:sz w:val="24"/>
          <w:szCs w:val="24"/>
          <w:u w:val="none" w:color="auto"/>
          <w:lang w:val="en-US" w:eastAsia="zh-CN"/>
        </w:rPr>
        <w:t>4.</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 xml:space="preserve">.5.7 </w:t>
      </w:r>
      <w:r>
        <w:rPr>
          <w:rFonts w:hint="default" w:ascii="Times New Roman" w:hAnsi="Times New Roman" w:eastAsia="宋体" w:cs="Times New Roman"/>
          <w:color w:val="auto"/>
          <w:sz w:val="24"/>
          <w:szCs w:val="24"/>
          <w:u w:val="none" w:color="auto"/>
        </w:rPr>
        <w:t>地质遗迹调查</w:t>
      </w:r>
      <w:bookmarkEnd w:id="627"/>
      <w:bookmarkEnd w:id="628"/>
      <w:bookmarkEnd w:id="629"/>
      <w:bookmarkEnd w:id="630"/>
      <w:bookmarkEnd w:id="631"/>
    </w:p>
    <w:p w14:paraId="7E523619">
      <w:pPr>
        <w:pageBreakBefore w:val="0"/>
        <w:kinsoku/>
        <w:wordWrap/>
        <w:overflowPunct/>
        <w:topLinePunct w:val="0"/>
        <w:bidi w:val="0"/>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本项目评价范围内，经实地踏勘及走访调查，该湖南东洞庭湖国家级自然保护区内未发现有自然遗迹分布。</w:t>
      </w:r>
    </w:p>
    <w:p w14:paraId="6AE0F59D">
      <w:pPr>
        <w:pStyle w:val="10"/>
        <w:pageBreakBefore w:val="0"/>
        <w:kinsoku/>
        <w:wordWrap/>
        <w:overflowPunct/>
        <w:topLinePunct w:val="0"/>
        <w:bidi w:val="0"/>
        <w:spacing w:before="0" w:after="0" w:line="360" w:lineRule="auto"/>
        <w:outlineLvl w:val="3"/>
        <w:rPr>
          <w:rFonts w:hint="default" w:ascii="Times New Roman" w:hAnsi="Times New Roman" w:eastAsia="宋体" w:cs="Times New Roman"/>
          <w:color w:val="auto"/>
          <w:sz w:val="24"/>
          <w:szCs w:val="24"/>
          <w:u w:val="none" w:color="auto"/>
          <w:lang w:val="en-US" w:eastAsia="zh-CN"/>
        </w:rPr>
      </w:pPr>
      <w:bookmarkStart w:id="632" w:name="_Toc5089"/>
      <w:r>
        <w:rPr>
          <w:rFonts w:hint="default" w:ascii="Times New Roman" w:hAnsi="Times New Roman" w:eastAsia="宋体" w:cs="Times New Roman"/>
          <w:color w:val="auto"/>
          <w:sz w:val="24"/>
          <w:szCs w:val="24"/>
          <w:u w:val="none" w:color="auto"/>
          <w:lang w:val="en-US" w:eastAsia="zh-CN"/>
        </w:rPr>
        <w:t>4.</w:t>
      </w:r>
      <w:r>
        <w:rPr>
          <w:rFonts w:hint="eastAsia" w:ascii="Times New Roman" w:hAnsi="Times New Roman" w:eastAsia="宋体"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.8 评价区域主要生态问题</w:t>
      </w:r>
      <w:bookmarkEnd w:id="632"/>
    </w:p>
    <w:p w14:paraId="540547A1">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rPr>
        <w:t>生态环境破坏化</w:t>
      </w:r>
    </w:p>
    <w:p w14:paraId="312C6294">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由于评价区位于自然保护区实验区边界处，人为活动频繁，且农业生产历史悠久，当地的原生阔叶林已经几乎不存在，主要为芦苇灌草丛、五节芒草丛、青葙草丛、野葛草丛和栽培植被，无原生森林面积，由于受人为活动的影响，评价区植物种类趋于草本化，乔灌木种类少，植物丰富度逐渐降低，生态环境逐渐被破坏。</w:t>
      </w:r>
    </w:p>
    <w:p w14:paraId="11A9C1A6">
      <w:pPr>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rPr>
        <w:t>动物、植物群落组成受人为活动影响较大</w:t>
      </w:r>
    </w:p>
    <w:p w14:paraId="61A8CEB7">
      <w:pPr>
        <w:bidi w:val="0"/>
        <w:rPr>
          <w:rFonts w:hint="default" w:ascii="Times New Roman" w:hAnsi="Times New Roman" w:eastAsia="宋体" w:cs="Times New Roman"/>
          <w:b/>
          <w:color w:val="auto"/>
          <w:kern w:val="44"/>
          <w:sz w:val="28"/>
          <w:szCs w:val="28"/>
        </w:rPr>
      </w:pPr>
      <w:r>
        <w:rPr>
          <w:rFonts w:hint="default" w:ascii="Times New Roman" w:hAnsi="Times New Roman" w:eastAsia="宋体" w:cs="Times New Roman"/>
          <w:color w:val="auto"/>
          <w:u w:val="none" w:color="auto"/>
        </w:rPr>
        <w:t>经调查，评价区共记哺乳动物仅10中，两栖动物11种，鸟类52种。动物种类偏少，且以亚热带林灌、草地动物群种类居多，如中华大蟾蜍（</w:t>
      </w:r>
      <w:r>
        <w:rPr>
          <w:rFonts w:hint="default" w:ascii="Times New Roman" w:hAnsi="Times New Roman" w:eastAsia="宋体" w:cs="Times New Roman"/>
          <w:i/>
          <w:iCs/>
          <w:color w:val="auto"/>
          <w:u w:val="none" w:color="auto"/>
        </w:rPr>
        <w:t>Bufo bufo gargarizans</w:t>
      </w:r>
      <w:r>
        <w:rPr>
          <w:rFonts w:hint="default" w:ascii="Times New Roman" w:hAnsi="Times New Roman" w:eastAsia="宋体" w:cs="Times New Roman"/>
          <w:color w:val="auto"/>
          <w:u w:val="none" w:color="auto"/>
        </w:rPr>
        <w:t>）、黑斑侧褶蛙（</w:t>
      </w:r>
      <w:r>
        <w:rPr>
          <w:rFonts w:hint="default" w:ascii="Times New Roman" w:hAnsi="Times New Roman" w:eastAsia="宋体" w:cs="Times New Roman"/>
          <w:i/>
          <w:iCs/>
          <w:color w:val="auto"/>
          <w:u w:val="none" w:color="auto"/>
        </w:rPr>
        <w:t>Pelophylax nigromaculata</w:t>
      </w:r>
      <w:r>
        <w:rPr>
          <w:rFonts w:hint="default" w:ascii="Times New Roman" w:hAnsi="Times New Roman" w:eastAsia="宋体" w:cs="Times New Roman"/>
          <w:color w:val="auto"/>
          <w:u w:val="none" w:color="auto"/>
        </w:rPr>
        <w:t>）、家燕（</w:t>
      </w:r>
      <w:r>
        <w:rPr>
          <w:rFonts w:hint="default" w:ascii="Times New Roman" w:hAnsi="Times New Roman" w:eastAsia="宋体" w:cs="Times New Roman"/>
          <w:i/>
          <w:iCs/>
          <w:color w:val="auto"/>
          <w:u w:val="none" w:color="auto"/>
        </w:rPr>
        <w:t>Hirundo rustica</w:t>
      </w:r>
      <w:r>
        <w:rPr>
          <w:rFonts w:hint="default" w:ascii="Times New Roman" w:hAnsi="Times New Roman" w:eastAsia="宋体" w:cs="Times New Roman"/>
          <w:color w:val="auto"/>
          <w:u w:val="none" w:color="auto"/>
        </w:rPr>
        <w:t>）、八哥（</w:t>
      </w:r>
      <w:r>
        <w:rPr>
          <w:rFonts w:hint="default" w:ascii="Times New Roman" w:hAnsi="Times New Roman" w:eastAsia="宋体" w:cs="Times New Roman"/>
          <w:i/>
          <w:iCs/>
          <w:color w:val="auto"/>
          <w:u w:val="none" w:color="auto"/>
        </w:rPr>
        <w:t>Acridoteres cristatellus</w:t>
      </w:r>
      <w:r>
        <w:rPr>
          <w:rFonts w:hint="default" w:ascii="Times New Roman" w:hAnsi="Times New Roman" w:eastAsia="宋体" w:cs="Times New Roman"/>
          <w:color w:val="auto"/>
          <w:u w:val="none" w:color="auto"/>
        </w:rPr>
        <w:t>）、白鹡鸰（</w:t>
      </w:r>
      <w:r>
        <w:rPr>
          <w:rFonts w:hint="default" w:ascii="Times New Roman" w:hAnsi="Times New Roman" w:eastAsia="宋体" w:cs="Times New Roman"/>
          <w:i/>
          <w:iCs/>
          <w:color w:val="auto"/>
          <w:u w:val="none" w:color="auto"/>
        </w:rPr>
        <w:t>M. alba</w:t>
      </w:r>
      <w:r>
        <w:rPr>
          <w:rFonts w:hint="default" w:ascii="Times New Roman" w:hAnsi="Times New Roman" w:eastAsia="宋体" w:cs="Times New Roman"/>
          <w:color w:val="auto"/>
          <w:u w:val="none" w:color="auto"/>
        </w:rPr>
        <w:t>）、喜鹊（</w:t>
      </w:r>
      <w:r>
        <w:rPr>
          <w:rFonts w:hint="default" w:ascii="Times New Roman" w:hAnsi="Times New Roman" w:eastAsia="宋体" w:cs="Times New Roman"/>
          <w:i/>
          <w:iCs/>
          <w:color w:val="auto"/>
          <w:u w:val="none" w:color="auto"/>
        </w:rPr>
        <w:t>Pica pica</w:t>
      </w:r>
      <w:r>
        <w:rPr>
          <w:rFonts w:hint="default" w:ascii="Times New Roman" w:hAnsi="Times New Roman" w:eastAsia="宋体" w:cs="Times New Roman"/>
          <w:color w:val="auto"/>
          <w:u w:val="none" w:color="auto"/>
        </w:rPr>
        <w:t>）、麻雀（</w:t>
      </w:r>
      <w:r>
        <w:rPr>
          <w:rFonts w:hint="default" w:ascii="Times New Roman" w:hAnsi="Times New Roman" w:eastAsia="宋体" w:cs="Times New Roman"/>
          <w:i/>
          <w:iCs/>
          <w:color w:val="auto"/>
          <w:u w:val="none" w:color="auto"/>
        </w:rPr>
        <w:t>Passer montanus</w:t>
      </w:r>
      <w:r>
        <w:rPr>
          <w:rFonts w:hint="default" w:ascii="Times New Roman" w:hAnsi="Times New Roman" w:eastAsia="宋体" w:cs="Times New Roman"/>
          <w:color w:val="auto"/>
          <w:u w:val="none" w:color="auto"/>
        </w:rPr>
        <w:t>）等，多为与人类伴居的种类，而亚热带林灌动物群种类较为难见，植物群落以人工樟树为主，动植物群落组成受人为活动影响较大。</w:t>
      </w:r>
      <w:r>
        <w:rPr>
          <w:rFonts w:hint="default" w:ascii="Times New Roman" w:hAnsi="Times New Roman" w:eastAsia="宋体" w:cs="Times New Roman"/>
          <w:b/>
          <w:color w:val="auto"/>
          <w:kern w:val="44"/>
          <w:sz w:val="28"/>
          <w:szCs w:val="28"/>
        </w:rPr>
        <w:br w:type="page"/>
      </w:r>
    </w:p>
    <w:p w14:paraId="089EEBB1">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633" w:name="_Toc6815"/>
      <w:bookmarkStart w:id="634" w:name="_Toc16847"/>
      <w:r>
        <w:rPr>
          <w:rFonts w:hint="default" w:ascii="Times New Roman" w:hAnsi="Times New Roman" w:eastAsia="宋体" w:cs="Times New Roman"/>
          <w:color w:val="auto"/>
          <w:lang w:val="en-US" w:eastAsia="zh-CN"/>
        </w:rPr>
        <w:t>5、环境影响预测与评价</w:t>
      </w:r>
      <w:bookmarkEnd w:id="405"/>
      <w:bookmarkEnd w:id="406"/>
      <w:bookmarkEnd w:id="407"/>
      <w:bookmarkEnd w:id="408"/>
      <w:bookmarkEnd w:id="633"/>
      <w:bookmarkEnd w:id="634"/>
    </w:p>
    <w:p w14:paraId="5D093D9A">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635" w:name="_Toc6781"/>
      <w:bookmarkStart w:id="636" w:name="_Toc9001"/>
      <w:bookmarkStart w:id="637" w:name="_Toc31513"/>
      <w:bookmarkStart w:id="638" w:name="_Toc57637526"/>
      <w:bookmarkStart w:id="639" w:name="_Toc5850"/>
      <w:bookmarkStart w:id="640" w:name="_Toc8443"/>
      <w:bookmarkStart w:id="641" w:name="_Toc15635"/>
      <w:bookmarkStart w:id="642" w:name="_Toc372124953"/>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.1施工期环境影响分析</w:t>
      </w:r>
      <w:bookmarkEnd w:id="635"/>
      <w:bookmarkEnd w:id="636"/>
      <w:bookmarkEnd w:id="637"/>
      <w:bookmarkEnd w:id="638"/>
      <w:bookmarkEnd w:id="639"/>
      <w:bookmarkEnd w:id="640"/>
      <w:bookmarkEnd w:id="641"/>
      <w:bookmarkEnd w:id="642"/>
      <w:bookmarkStart w:id="643" w:name="_Toc57637527"/>
    </w:p>
    <w:p w14:paraId="6B13957A">
      <w:pPr>
        <w:pStyle w:val="9"/>
        <w:pageBreakBefore w:val="0"/>
        <w:kinsoku/>
        <w:wordWrap/>
        <w:overflowPunct/>
        <w:topLinePunct w:val="0"/>
        <w:bidi w:val="0"/>
        <w:spacing w:before="0" w:after="0" w:line="360" w:lineRule="auto"/>
        <w:textAlignment w:val="auto"/>
        <w:outlineLvl w:val="2"/>
        <w:rPr>
          <w:rFonts w:hint="default" w:ascii="Times New Roman" w:hAnsi="Times New Roman" w:eastAsia="宋体" w:cs="Times New Roman"/>
          <w:color w:val="auto"/>
          <w:sz w:val="24"/>
          <w:szCs w:val="24"/>
        </w:rPr>
      </w:pPr>
      <w:bookmarkStart w:id="644" w:name="_Toc29259"/>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.1.1地表水环境影响分析</w:t>
      </w:r>
      <w:bookmarkEnd w:id="643"/>
      <w:bookmarkEnd w:id="644"/>
    </w:p>
    <w:p w14:paraId="2BC26EB7">
      <w:pPr>
        <w:pStyle w:val="28"/>
        <w:keepNext w:val="0"/>
        <w:keepLines w:val="0"/>
        <w:pageBreakBefore w:val="0"/>
        <w:widowControl/>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施工期废水主要有施工场地废水、施工船舶含油废水</w:t>
      </w:r>
      <w:r>
        <w:rPr>
          <w:rFonts w:hint="eastAsia" w:ascii="Times New Roman" w:eastAsia="宋体" w:cs="Times New Roman"/>
          <w:color w:val="auto"/>
          <w:kern w:val="2"/>
          <w:sz w:val="24"/>
          <w:szCs w:val="22"/>
          <w:lang w:val="en-US" w:eastAsia="zh-CN" w:bidi="ar-SA"/>
        </w:rPr>
        <w:t>、水域施工造成水体浑浊等。</w:t>
      </w:r>
    </w:p>
    <w:p w14:paraId="5BDA3E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（1）施工场地废水</w:t>
      </w:r>
    </w:p>
    <w:p w14:paraId="2C2EC1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本项目道路修复、码头修复施工过程中，会产生少量泥浆水，施工机械跑冒、滴、漏的污油及露天机械受雨水冲刷后产生的油水污染，废水量较小，约1m</w:t>
      </w:r>
      <w:r>
        <w:rPr>
          <w:rFonts w:hint="default" w:ascii="Times New Roman" w:hAnsi="Times New Roman" w:eastAsia="宋体" w:cs="Times New Roman"/>
          <w:color w:val="auto"/>
          <w:kern w:val="2"/>
          <w:sz w:val="24"/>
          <w:szCs w:val="22"/>
          <w:vertAlign w:val="superscript"/>
          <w:lang w:val="en-US" w:eastAsia="zh-CN" w:bidi="ar-SA"/>
        </w:rPr>
        <w:t>3</w:t>
      </w:r>
      <w:r>
        <w:rPr>
          <w:rFonts w:hint="default" w:ascii="Times New Roman" w:hAnsi="Times New Roman" w:eastAsia="宋体" w:cs="Times New Roman"/>
          <w:color w:val="auto"/>
          <w:kern w:val="2"/>
          <w:sz w:val="24"/>
          <w:szCs w:val="22"/>
          <w:lang w:val="en-US" w:eastAsia="zh-CN" w:bidi="ar-SA"/>
        </w:rPr>
        <w:t>/d，污水中成分较为简单，一般为SS和少量石油类，采用隔油池、沉淀池处理后用于场地洒水抑尘或施工机械冲洗废水，不外排。</w:t>
      </w:r>
    </w:p>
    <w:p w14:paraId="398603C0">
      <w:pPr>
        <w:pStyle w:val="54"/>
        <w:keepNext w:val="0"/>
        <w:keepLines w:val="0"/>
        <w:pageBreakBefore w:val="0"/>
        <w:kinsoku/>
        <w:wordWrap/>
        <w:overflowPunct/>
        <w:topLinePunct w:val="0"/>
        <w:bidi w:val="0"/>
        <w:spacing w:line="360" w:lineRule="auto"/>
        <w:ind w:firstLine="48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此外，施工机械冲洗会产生少量冲洗废水，施工机械按2部计，每部冲洗水量按500L计，每天冲洗1次，则施工机械冲洗废水产生量为1m</w:t>
      </w:r>
      <w:r>
        <w:rPr>
          <w:rFonts w:hint="default" w:ascii="Times New Roman" w:hAnsi="Times New Roman" w:eastAsia="宋体" w:cs="Times New Roman"/>
          <w:color w:val="auto"/>
          <w:kern w:val="2"/>
          <w:sz w:val="24"/>
          <w:szCs w:val="22"/>
          <w:vertAlign w:val="superscript"/>
          <w:lang w:val="en-US" w:eastAsia="zh-CN" w:bidi="ar-SA"/>
        </w:rPr>
        <w:t>3</w:t>
      </w:r>
      <w:r>
        <w:rPr>
          <w:rFonts w:hint="default" w:ascii="Times New Roman" w:hAnsi="Times New Roman" w:eastAsia="宋体" w:cs="Times New Roman"/>
          <w:color w:val="auto"/>
          <w:kern w:val="2"/>
          <w:sz w:val="24"/>
          <w:szCs w:val="22"/>
          <w:lang w:val="en-US" w:eastAsia="zh-CN" w:bidi="ar-SA"/>
        </w:rPr>
        <w:t>/d。参考《公路建设项目环境影响评价规范》（JBG-B03-2006）冲洗汽车污水成分参考值，施工机械废水的主要污染物浓度为CODCr200mg/L、SS2000mg/L、石油类30mg/L，采用隔油池、沉淀池处理后用于场地洒水抑尘或施工机械冲洗废水，不外排，整体不会对区域水环境造成影响。</w:t>
      </w:r>
    </w:p>
    <w:p w14:paraId="1B558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（2）施工生活污水</w:t>
      </w:r>
    </w:p>
    <w:p w14:paraId="3BDBECDE">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施工不设施工营地，施工人员日常生活所需依托鹿角港生活配套设施，生活污水经当地居民的化粪池处理后用于周边农田、菜地施肥</w:t>
      </w:r>
      <w:r>
        <w:rPr>
          <w:rFonts w:hint="eastAsia"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全部综合利用。不会对区域环境造成明显影响。</w:t>
      </w:r>
    </w:p>
    <w:p w14:paraId="34CBB476">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jc w:val="both"/>
        <w:textAlignment w:val="auto"/>
        <w:rPr>
          <w:rFonts w:hint="default" w:ascii="Times New Roman" w:hAnsi="Times New Roman" w:eastAsia="宋体" w:cs="Times New Roman"/>
          <w:color w:val="auto"/>
          <w:kern w:val="2"/>
          <w:sz w:val="24"/>
          <w:szCs w:val="22"/>
          <w:lang w:val="en-US" w:eastAsia="zh-CN" w:bidi="ar-SA"/>
        </w:rPr>
      </w:pPr>
      <w:r>
        <w:rPr>
          <w:rFonts w:hint="eastAsia" w:cs="Times New Roman"/>
          <w:color w:val="auto"/>
          <w:kern w:val="2"/>
          <w:sz w:val="24"/>
          <w:szCs w:val="22"/>
          <w:lang w:val="en-US" w:eastAsia="zh-CN" w:bidi="ar-SA"/>
        </w:rPr>
        <w:t>（3）码头施工对水体扰动的影响</w:t>
      </w:r>
    </w:p>
    <w:p w14:paraId="01ACB79D">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经核实，本项目趸船泊位现状泥面高程能够满足设计代表船型靠泊及回旋要求，因此无需疏浚。经核实，本项目趸船泊位现状泥面高程能够满足设计代表船型靠泊及回旋要求，因此无需疏浚。本工程码头平台采用Φ1000mm钢管桩，引桥采用Φ1300mm钻孔灌注桩。水下打桩施工对水环境的影响主要是造成水体中悬浮物浓度增加，水下打桩施工的影响范围呈椭圆形，引起施工水域内的悬浮物浓度增加，造成水质浑浊，进而影响浮游植物的光合作用和浮游动物的觅食。根据调查，打桩施工造成悬浮物浓度增加值超过10mg/L的范围为沿水流方向长约100~250m，垂直岸边宽50~100m，打桩施工引起的悬浮物对地表水环境影响范围有限，对水体影响范围在施工点300m以内，持续时间短，施工结束后这种影响也不复存在，对水质影响轻微。总体而言，码头施工对水生生态的影响很小。</w:t>
      </w:r>
    </w:p>
    <w:p w14:paraId="273E5057">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综上所述，施工期污水由于量小且较为分散，可以通过加强施工管理、充分利用各种污水处理设施来减轻其不利影响，其给环境带来的影响是局部的、短期的、可逆的、一般性的，一旦施工结束，影响也将很快消除。</w:t>
      </w:r>
    </w:p>
    <w:p w14:paraId="2CDF5E3C">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645" w:name="_Toc32713"/>
      <w:bookmarkStart w:id="646" w:name="_Toc116111703"/>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.1.2大气环境影响分析</w:t>
      </w:r>
      <w:bookmarkEnd w:id="645"/>
      <w:bookmarkEnd w:id="646"/>
    </w:p>
    <w:p w14:paraId="4258147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施工期大气污染物为施工场地扬尘、运输扬尘、施工机具燃油废气及汽车尾气。</w:t>
      </w:r>
    </w:p>
    <w:p w14:paraId="187025B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rPr>
      </w:pPr>
      <w:bookmarkStart w:id="647" w:name="_Toc18397"/>
      <w:r>
        <w:rPr>
          <w:rFonts w:hint="default" w:ascii="Times New Roman" w:hAnsi="Times New Roman" w:eastAsia="宋体" w:cs="Times New Roman"/>
          <w:color w:val="auto"/>
          <w:kern w:val="0"/>
          <w:sz w:val="24"/>
        </w:rPr>
        <w:t>1、扬尘</w:t>
      </w:r>
      <w:bookmarkEnd w:id="647"/>
    </w:p>
    <w:p w14:paraId="2C13BF6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扬尘主要来自于土石方开挖、施工活动扰动、散装施工材料装卸、车辆运输等。根据同类型施工资料，施工场地土石方开挖、施工活动、装卸散装材料等产生的扬尘影响范围主要是施工场地周围100m，施工场地下方向影响范围增加至150~200m。车辆运输产生扬尘影响道路两侧的环境空气，路面积尘量在0.1kg/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时，道路扬尘影响范围约为20~30m间，而道路积尘量为0.6kg/m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时，汽车行驶时影响范围可达120m~150m。施工过程中对积尘较大的施工区和施工场地外200m的运输道路和进行洒水（每天4~5次），可使空气中的扬尘量减少70%以上，有效减少扬尘对附近环境空气的影响。施工期扬尘对环境空气的影响是暂时的，随着施工的结束而消失。</w:t>
      </w:r>
    </w:p>
    <w:p w14:paraId="5E409EBA">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rPr>
      </w:pPr>
      <w:bookmarkStart w:id="648" w:name="_Toc20889"/>
      <w:r>
        <w:rPr>
          <w:rFonts w:hint="default" w:ascii="Times New Roman" w:hAnsi="Times New Roman" w:eastAsia="宋体" w:cs="Times New Roman"/>
          <w:color w:val="auto"/>
          <w:sz w:val="24"/>
        </w:rPr>
        <w:t>2、</w:t>
      </w:r>
      <w:r>
        <w:rPr>
          <w:rFonts w:hint="default" w:ascii="Times New Roman" w:hAnsi="Times New Roman" w:eastAsia="宋体" w:cs="Times New Roman"/>
          <w:color w:val="auto"/>
          <w:kern w:val="0"/>
          <w:sz w:val="24"/>
        </w:rPr>
        <w:t>燃油废气及汽车尾气</w:t>
      </w:r>
      <w:bookmarkEnd w:id="648"/>
    </w:p>
    <w:p w14:paraId="74EEB40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过程中施工机械主要为项目建设中采用的挖掘机、推土机、装载机等，机械燃油废气和施工船舶、汽车尾气所含的污染物相似，主要有NOx、TSP、CO和总烃等，但产生量不大，影响范围比较局部。根据类似工程分析数据，NOx、TSP、CO和总烃浓度一般低于二级标准。</w:t>
      </w:r>
      <w:r>
        <w:rPr>
          <w:rFonts w:hint="default" w:ascii="Times New Roman" w:hAnsi="Times New Roman" w:eastAsia="宋体" w:cs="Times New Roman"/>
          <w:color w:val="auto"/>
          <w:sz w:val="24"/>
          <w:lang w:val="en-US" w:eastAsia="zh-CN"/>
        </w:rPr>
        <w:t>由于施工作业均在岸边进行，施工作业又具有流动性和间歇性等特点，施工机械及运输车辆排放的有害气体NOx、TSP、CO和烃类将迅速扩散，对周围环境影响很小。施工运输车辆及施工机械产生的燃油废气对环境污染影响很小。</w:t>
      </w:r>
    </w:p>
    <w:p w14:paraId="68967991">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649" w:name="_Toc10569"/>
      <w:bookmarkStart w:id="650" w:name="_Toc116111704"/>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.1.3声环境影响分析</w:t>
      </w:r>
      <w:bookmarkEnd w:id="649"/>
      <w:bookmarkEnd w:id="650"/>
    </w:p>
    <w:p w14:paraId="7060A8C8">
      <w:pPr>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工程施工期噪声主要是机械噪声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施工船舶噪声</w:t>
      </w:r>
      <w:r>
        <w:rPr>
          <w:rFonts w:hint="default" w:ascii="Times New Roman" w:hAnsi="Times New Roman" w:eastAsia="宋体" w:cs="Times New Roman"/>
          <w:color w:val="auto"/>
          <w:sz w:val="24"/>
          <w:lang w:val="en-US" w:eastAsia="zh-CN"/>
        </w:rPr>
        <w:t>以及</w:t>
      </w:r>
      <w:r>
        <w:rPr>
          <w:rFonts w:hint="default" w:ascii="Times New Roman" w:hAnsi="Times New Roman" w:eastAsia="宋体" w:cs="Times New Roman"/>
          <w:color w:val="auto"/>
          <w:sz w:val="24"/>
        </w:rPr>
        <w:t>推土机、挖掘机、装载机等半流动性施工机械噪声等。典型施工机械噪声源强见表</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.1-1。</w:t>
      </w:r>
    </w:p>
    <w:p w14:paraId="4D09F2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rPr>
        <w:t>.1-1  典型施工机械噪声源强一览表</w:t>
      </w:r>
    </w:p>
    <w:tbl>
      <w:tblPr>
        <w:tblStyle w:val="2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72"/>
        <w:gridCol w:w="2183"/>
        <w:gridCol w:w="2431"/>
        <w:gridCol w:w="2130"/>
      </w:tblGrid>
      <w:tr w14:paraId="72A6F6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noWrap w:val="0"/>
            <w:vAlign w:val="center"/>
          </w:tcPr>
          <w:p w14:paraId="46121D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施工阶段</w:t>
            </w:r>
          </w:p>
        </w:tc>
        <w:tc>
          <w:tcPr>
            <w:tcW w:w="1281" w:type="pct"/>
            <w:noWrap w:val="0"/>
            <w:vAlign w:val="center"/>
          </w:tcPr>
          <w:p w14:paraId="49073F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主要噪声源名称</w:t>
            </w:r>
          </w:p>
        </w:tc>
        <w:tc>
          <w:tcPr>
            <w:tcW w:w="1427" w:type="pct"/>
            <w:noWrap w:val="0"/>
            <w:vAlign w:val="center"/>
          </w:tcPr>
          <w:p w14:paraId="3D4F97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测点与机械距离（m）</w:t>
            </w:r>
          </w:p>
        </w:tc>
        <w:tc>
          <w:tcPr>
            <w:tcW w:w="1250" w:type="pct"/>
            <w:noWrap w:val="0"/>
            <w:vAlign w:val="center"/>
          </w:tcPr>
          <w:p w14:paraId="2CC228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声压级dB(A)</w:t>
            </w:r>
          </w:p>
        </w:tc>
      </w:tr>
      <w:tr w14:paraId="41DC18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vMerge w:val="restart"/>
            <w:noWrap w:val="0"/>
            <w:vAlign w:val="center"/>
          </w:tcPr>
          <w:p w14:paraId="33C5E6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码头水域施工</w:t>
            </w:r>
          </w:p>
        </w:tc>
        <w:tc>
          <w:tcPr>
            <w:tcW w:w="1281" w:type="pct"/>
            <w:noWrap w:val="0"/>
            <w:vAlign w:val="center"/>
          </w:tcPr>
          <w:p w14:paraId="0442F4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小型船舶</w:t>
            </w:r>
          </w:p>
        </w:tc>
        <w:tc>
          <w:tcPr>
            <w:tcW w:w="1427" w:type="pct"/>
            <w:noWrap w:val="0"/>
            <w:vAlign w:val="center"/>
          </w:tcPr>
          <w:p w14:paraId="27579F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noWrap w:val="0"/>
            <w:vAlign w:val="center"/>
          </w:tcPr>
          <w:p w14:paraId="69FA65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95</w:t>
            </w:r>
          </w:p>
        </w:tc>
      </w:tr>
      <w:tr w14:paraId="46015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vMerge w:val="continue"/>
            <w:noWrap w:val="0"/>
            <w:vAlign w:val="center"/>
          </w:tcPr>
          <w:p w14:paraId="5C124F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281" w:type="pct"/>
            <w:noWrap w:val="0"/>
            <w:vAlign w:val="center"/>
          </w:tcPr>
          <w:p w14:paraId="385A01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卡车</w:t>
            </w:r>
          </w:p>
        </w:tc>
        <w:tc>
          <w:tcPr>
            <w:tcW w:w="1427" w:type="pct"/>
            <w:noWrap w:val="0"/>
            <w:vAlign w:val="center"/>
          </w:tcPr>
          <w:p w14:paraId="3A2E71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noWrap w:val="0"/>
            <w:vAlign w:val="center"/>
          </w:tcPr>
          <w:p w14:paraId="19B4A6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r>
      <w:tr w14:paraId="7B36EB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vMerge w:val="restart"/>
            <w:noWrap w:val="0"/>
            <w:vAlign w:val="center"/>
          </w:tcPr>
          <w:p w14:paraId="4AA440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陆域桩基结构</w:t>
            </w:r>
          </w:p>
        </w:tc>
        <w:tc>
          <w:tcPr>
            <w:tcW w:w="1281" w:type="pct"/>
            <w:noWrap w:val="0"/>
            <w:vAlign w:val="center"/>
          </w:tcPr>
          <w:p w14:paraId="56B417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推土机</w:t>
            </w:r>
          </w:p>
        </w:tc>
        <w:tc>
          <w:tcPr>
            <w:tcW w:w="1427" w:type="pct"/>
            <w:noWrap w:val="0"/>
            <w:vAlign w:val="center"/>
          </w:tcPr>
          <w:p w14:paraId="34B6B4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noWrap w:val="0"/>
            <w:vAlign w:val="center"/>
          </w:tcPr>
          <w:p w14:paraId="1C621C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84</w:t>
            </w:r>
          </w:p>
        </w:tc>
      </w:tr>
      <w:tr w14:paraId="6BE8DF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vMerge w:val="continue"/>
            <w:noWrap w:val="0"/>
            <w:vAlign w:val="center"/>
          </w:tcPr>
          <w:p w14:paraId="507A5B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81" w:type="pct"/>
            <w:noWrap w:val="0"/>
            <w:vAlign w:val="center"/>
          </w:tcPr>
          <w:p w14:paraId="6A104B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振捣机</w:t>
            </w:r>
          </w:p>
        </w:tc>
        <w:tc>
          <w:tcPr>
            <w:tcW w:w="1427" w:type="pct"/>
            <w:noWrap w:val="0"/>
            <w:vAlign w:val="center"/>
          </w:tcPr>
          <w:p w14:paraId="580D2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noWrap w:val="0"/>
            <w:vAlign w:val="center"/>
          </w:tcPr>
          <w:p w14:paraId="7FD08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84</w:t>
            </w:r>
          </w:p>
        </w:tc>
      </w:tr>
      <w:tr w14:paraId="11098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40" w:type="pct"/>
            <w:vMerge w:val="continue"/>
            <w:noWrap w:val="0"/>
            <w:vAlign w:val="center"/>
          </w:tcPr>
          <w:p w14:paraId="75D81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81" w:type="pct"/>
            <w:noWrap w:val="0"/>
            <w:vAlign w:val="center"/>
          </w:tcPr>
          <w:p w14:paraId="248251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电锯</w:t>
            </w:r>
          </w:p>
        </w:tc>
        <w:tc>
          <w:tcPr>
            <w:tcW w:w="1427" w:type="pct"/>
            <w:noWrap w:val="0"/>
            <w:vAlign w:val="center"/>
          </w:tcPr>
          <w:p w14:paraId="159B9B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noWrap w:val="0"/>
            <w:vAlign w:val="center"/>
          </w:tcPr>
          <w:p w14:paraId="2E0F7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110</w:t>
            </w:r>
          </w:p>
        </w:tc>
      </w:tr>
    </w:tbl>
    <w:p w14:paraId="72895F3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施工期噪声源近似视为点声源，按点声源计算施工机械噪声的距离衰减公式见下式。</w:t>
      </w:r>
    </w:p>
    <w:p w14:paraId="1BB19A40">
      <w:pPr>
        <w:spacing w:line="360" w:lineRule="auto"/>
        <w:ind w:left="0" w:lef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30"/>
          <w:sz w:val="24"/>
        </w:rPr>
        <w:object>
          <v:shape id="_x0000_i1027" o:spt="75" type="#_x0000_t75" style="height:34pt;width:118pt;" o:ole="t" filled="f" o:preferrelative="t" stroked="f" coordsize="21600,21600">
            <v:path/>
            <v:fill on="f" alignshape="1" focussize="0,0"/>
            <v:stroke on="f"/>
            <v:imagedata r:id="rId52" grayscale="f" bilevel="f" o:title=""/>
            <o:lock v:ext="edit" aspectratio="t"/>
            <w10:wrap type="none"/>
            <w10:anchorlock/>
          </v:shape>
          <o:OLEObject Type="Embed" ProgID="Equation.KSEE3" ShapeID="_x0000_i1027" DrawAspect="Content" ObjectID="_1468075727" r:id="rId51">
            <o:LockedField>false</o:LockedField>
          </o:OLEObject>
        </w:object>
      </w:r>
    </w:p>
    <w:p w14:paraId="44513AF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po</w:t>
      </w:r>
      <w:r>
        <w:rPr>
          <w:rFonts w:hint="default" w:ascii="Times New Roman" w:hAnsi="Times New Roman" w:eastAsia="宋体" w:cs="Times New Roman"/>
          <w:color w:val="auto"/>
          <w:sz w:val="24"/>
        </w:rPr>
        <w:t>——参考位置r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处的声级（dB(A)）;</w:t>
      </w:r>
    </w:p>
    <w:p w14:paraId="6DEBA57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R——预测点处与点声源之间的距离（m）;</w:t>
      </w:r>
    </w:p>
    <w:p w14:paraId="40D8375E">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——参考点与点声源之间的距离（m）;</w:t>
      </w:r>
    </w:p>
    <w:p w14:paraId="15146F0A">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△l——附加衰减量（dB(A)）。</w:t>
      </w:r>
    </w:p>
    <w:p w14:paraId="0101CDE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根据各种施工机械的源强预测结果见表</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.1-2。</w:t>
      </w:r>
    </w:p>
    <w:p w14:paraId="3278B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.1-2  距各种施工设备不同距离噪声预测结果表      单位：dB(A)</w:t>
      </w:r>
    </w:p>
    <w:tbl>
      <w:tblPr>
        <w:tblStyle w:val="29"/>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28" w:type="dxa"/>
          <w:bottom w:w="0" w:type="dxa"/>
          <w:right w:w="28" w:type="dxa"/>
        </w:tblCellMar>
      </w:tblPr>
      <w:tblGrid>
        <w:gridCol w:w="2775"/>
        <w:gridCol w:w="784"/>
        <w:gridCol w:w="784"/>
        <w:gridCol w:w="784"/>
        <w:gridCol w:w="784"/>
        <w:gridCol w:w="781"/>
        <w:gridCol w:w="781"/>
        <w:gridCol w:w="883"/>
      </w:tblGrid>
      <w:tr w14:paraId="3A4312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245" w:hRule="atLeast"/>
          <w:jc w:val="center"/>
        </w:trPr>
        <w:tc>
          <w:tcPr>
            <w:tcW w:w="1660" w:type="pct"/>
            <w:vMerge w:val="restart"/>
            <w:tcBorders>
              <w:right w:val="single" w:color="000000" w:sz="6" w:space="0"/>
              <w:tl2br w:val="single" w:color="auto" w:sz="4" w:space="0"/>
            </w:tcBorders>
            <w:noWrap w:val="0"/>
            <w:vAlign w:val="center"/>
          </w:tcPr>
          <w:p w14:paraId="13F870CF">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     距离(m)</w:t>
            </w:r>
          </w:p>
          <w:p w14:paraId="7D364264">
            <w:pPr>
              <w:pStyle w:val="5"/>
              <w:keepNext w:val="0"/>
              <w:keepLines w:val="0"/>
              <w:pageBreakBefore w:val="0"/>
              <w:kinsoku/>
              <w:wordWrap/>
              <w:overflowPunct/>
              <w:topLinePunct w:val="0"/>
              <w:bidi w:val="0"/>
              <w:spacing w:line="240" w:lineRule="auto"/>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施工设备</w:t>
            </w:r>
          </w:p>
        </w:tc>
        <w:tc>
          <w:tcPr>
            <w:tcW w:w="469" w:type="pct"/>
            <w:vMerge w:val="restart"/>
            <w:tcBorders>
              <w:left w:val="single" w:color="000000" w:sz="6" w:space="0"/>
              <w:right w:val="single" w:color="000000" w:sz="6" w:space="0"/>
            </w:tcBorders>
            <w:noWrap w:val="0"/>
            <w:vAlign w:val="center"/>
          </w:tcPr>
          <w:p w14:paraId="1993D67E">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469" w:type="pct"/>
            <w:vMerge w:val="restart"/>
            <w:tcBorders>
              <w:left w:val="single" w:color="000000" w:sz="6" w:space="0"/>
              <w:right w:val="single" w:color="000000" w:sz="6" w:space="0"/>
            </w:tcBorders>
            <w:noWrap w:val="0"/>
            <w:vAlign w:val="center"/>
          </w:tcPr>
          <w:p w14:paraId="5FF32B2A">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w:t>
            </w:r>
          </w:p>
        </w:tc>
        <w:tc>
          <w:tcPr>
            <w:tcW w:w="469" w:type="pct"/>
            <w:vMerge w:val="restart"/>
            <w:tcBorders>
              <w:left w:val="single" w:color="000000" w:sz="6" w:space="0"/>
              <w:right w:val="single" w:color="000000" w:sz="6" w:space="0"/>
            </w:tcBorders>
            <w:noWrap w:val="0"/>
            <w:vAlign w:val="center"/>
          </w:tcPr>
          <w:p w14:paraId="763A84F0">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30</w:t>
            </w:r>
          </w:p>
        </w:tc>
        <w:tc>
          <w:tcPr>
            <w:tcW w:w="469" w:type="pct"/>
            <w:vMerge w:val="restart"/>
            <w:tcBorders>
              <w:left w:val="single" w:color="000000" w:sz="6" w:space="0"/>
              <w:right w:val="single" w:color="000000" w:sz="6" w:space="0"/>
            </w:tcBorders>
            <w:noWrap w:val="0"/>
            <w:vAlign w:val="center"/>
          </w:tcPr>
          <w:p w14:paraId="2D0D4FD8">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c>
          <w:tcPr>
            <w:tcW w:w="467" w:type="pct"/>
            <w:vMerge w:val="restart"/>
            <w:tcBorders>
              <w:left w:val="single" w:color="000000" w:sz="6" w:space="0"/>
              <w:right w:val="single" w:color="000000" w:sz="6" w:space="0"/>
            </w:tcBorders>
            <w:noWrap w:val="0"/>
            <w:vAlign w:val="center"/>
          </w:tcPr>
          <w:p w14:paraId="1F7782DD">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p>
        </w:tc>
        <w:tc>
          <w:tcPr>
            <w:tcW w:w="995" w:type="pct"/>
            <w:gridSpan w:val="2"/>
            <w:tcBorders>
              <w:left w:val="single" w:color="000000" w:sz="6" w:space="0"/>
              <w:bottom w:val="single" w:color="000000" w:sz="6" w:space="0"/>
            </w:tcBorders>
            <w:noWrap w:val="0"/>
            <w:vAlign w:val="center"/>
          </w:tcPr>
          <w:p w14:paraId="151B5EAB">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限值</w:t>
            </w:r>
          </w:p>
        </w:tc>
      </w:tr>
      <w:tr w14:paraId="50EDB8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244" w:hRule="atLeast"/>
          <w:jc w:val="center"/>
        </w:trPr>
        <w:tc>
          <w:tcPr>
            <w:tcW w:w="1660" w:type="pct"/>
            <w:vMerge w:val="continue"/>
            <w:tcBorders>
              <w:bottom w:val="single" w:color="000000" w:sz="6" w:space="0"/>
              <w:right w:val="single" w:color="000000" w:sz="6" w:space="0"/>
              <w:tl2br w:val="single" w:color="auto" w:sz="4" w:space="0"/>
            </w:tcBorders>
            <w:noWrap w:val="0"/>
            <w:vAlign w:val="center"/>
          </w:tcPr>
          <w:p w14:paraId="05E33C27">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9" w:type="pct"/>
            <w:vMerge w:val="continue"/>
            <w:tcBorders>
              <w:left w:val="single" w:color="000000" w:sz="6" w:space="0"/>
              <w:bottom w:val="single" w:color="000000" w:sz="6" w:space="0"/>
              <w:right w:val="single" w:color="000000" w:sz="6" w:space="0"/>
            </w:tcBorders>
            <w:noWrap w:val="0"/>
            <w:vAlign w:val="center"/>
          </w:tcPr>
          <w:p w14:paraId="6E1C942D">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9" w:type="pct"/>
            <w:vMerge w:val="continue"/>
            <w:tcBorders>
              <w:left w:val="single" w:color="000000" w:sz="6" w:space="0"/>
              <w:bottom w:val="single" w:color="000000" w:sz="6" w:space="0"/>
              <w:right w:val="single" w:color="000000" w:sz="6" w:space="0"/>
            </w:tcBorders>
            <w:noWrap w:val="0"/>
            <w:vAlign w:val="center"/>
          </w:tcPr>
          <w:p w14:paraId="4F3493C5">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9" w:type="pct"/>
            <w:vMerge w:val="continue"/>
            <w:tcBorders>
              <w:left w:val="single" w:color="000000" w:sz="6" w:space="0"/>
              <w:bottom w:val="single" w:color="000000" w:sz="6" w:space="0"/>
              <w:right w:val="single" w:color="000000" w:sz="6" w:space="0"/>
            </w:tcBorders>
            <w:noWrap w:val="0"/>
            <w:vAlign w:val="center"/>
          </w:tcPr>
          <w:p w14:paraId="779E1B53">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9" w:type="pct"/>
            <w:vMerge w:val="continue"/>
            <w:tcBorders>
              <w:left w:val="single" w:color="000000" w:sz="6" w:space="0"/>
              <w:bottom w:val="single" w:color="000000" w:sz="6" w:space="0"/>
              <w:right w:val="single" w:color="000000" w:sz="6" w:space="0"/>
            </w:tcBorders>
            <w:noWrap w:val="0"/>
            <w:vAlign w:val="center"/>
          </w:tcPr>
          <w:p w14:paraId="1B8160F5">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7" w:type="pct"/>
            <w:vMerge w:val="continue"/>
            <w:tcBorders>
              <w:left w:val="single" w:color="000000" w:sz="6" w:space="0"/>
              <w:bottom w:val="single" w:color="000000" w:sz="6" w:space="0"/>
              <w:right w:val="single" w:color="000000" w:sz="6" w:space="0"/>
            </w:tcBorders>
            <w:noWrap w:val="0"/>
            <w:vAlign w:val="center"/>
          </w:tcPr>
          <w:p w14:paraId="20C37B5A">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467" w:type="pct"/>
            <w:tcBorders>
              <w:top w:val="single" w:color="000000" w:sz="6" w:space="0"/>
              <w:left w:val="single" w:color="000000" w:sz="6" w:space="0"/>
              <w:bottom w:val="single" w:color="000000" w:sz="6" w:space="0"/>
              <w:right w:val="single" w:color="000000" w:sz="6" w:space="0"/>
            </w:tcBorders>
            <w:noWrap w:val="0"/>
            <w:vAlign w:val="center"/>
          </w:tcPr>
          <w:p w14:paraId="033F03DD">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昼间</w:t>
            </w:r>
          </w:p>
        </w:tc>
        <w:tc>
          <w:tcPr>
            <w:tcW w:w="528" w:type="pct"/>
            <w:tcBorders>
              <w:top w:val="single" w:color="000000" w:sz="6" w:space="0"/>
              <w:left w:val="single" w:color="000000" w:sz="6" w:space="0"/>
              <w:bottom w:val="single" w:color="000000" w:sz="6" w:space="0"/>
            </w:tcBorders>
            <w:noWrap w:val="0"/>
            <w:vAlign w:val="center"/>
          </w:tcPr>
          <w:p w14:paraId="3482047F">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夜间</w:t>
            </w:r>
          </w:p>
        </w:tc>
      </w:tr>
      <w:tr w14:paraId="2E8E05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340" w:hRule="atLeast"/>
          <w:jc w:val="center"/>
        </w:trPr>
        <w:tc>
          <w:tcPr>
            <w:tcW w:w="1660" w:type="pct"/>
            <w:tcBorders>
              <w:top w:val="single" w:color="000000" w:sz="6" w:space="0"/>
              <w:bottom w:val="single" w:color="000000" w:sz="6" w:space="0"/>
              <w:right w:val="single" w:color="000000" w:sz="6" w:space="0"/>
            </w:tcBorders>
            <w:noWrap w:val="0"/>
            <w:vAlign w:val="center"/>
          </w:tcPr>
          <w:p w14:paraId="1F58905A">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8.8kw小型船舶</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0CD7C3CC">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7BBCFC2C">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464FA7CD">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601D03FD">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467" w:type="pct"/>
            <w:tcBorders>
              <w:top w:val="single" w:color="000000" w:sz="6" w:space="0"/>
              <w:left w:val="single" w:color="000000" w:sz="6" w:space="0"/>
              <w:bottom w:val="single" w:color="000000" w:sz="6" w:space="0"/>
              <w:right w:val="single" w:color="000000" w:sz="6" w:space="0"/>
            </w:tcBorders>
            <w:noWrap w:val="0"/>
            <w:vAlign w:val="center"/>
          </w:tcPr>
          <w:p w14:paraId="708FA14C">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w:t>
            </w:r>
          </w:p>
        </w:tc>
        <w:tc>
          <w:tcPr>
            <w:tcW w:w="467" w:type="pct"/>
            <w:vMerge w:val="restart"/>
            <w:tcBorders>
              <w:top w:val="single" w:color="000000" w:sz="6" w:space="0"/>
              <w:left w:val="single" w:color="000000" w:sz="6" w:space="0"/>
              <w:right w:val="single" w:color="000000" w:sz="6" w:space="0"/>
            </w:tcBorders>
            <w:noWrap w:val="0"/>
            <w:vAlign w:val="center"/>
          </w:tcPr>
          <w:p w14:paraId="5A1447B2">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c>
          <w:tcPr>
            <w:tcW w:w="528" w:type="pct"/>
            <w:vMerge w:val="restart"/>
            <w:tcBorders>
              <w:top w:val="single" w:color="000000" w:sz="6" w:space="0"/>
              <w:left w:val="single" w:color="000000" w:sz="6" w:space="0"/>
            </w:tcBorders>
            <w:noWrap w:val="0"/>
            <w:vAlign w:val="center"/>
          </w:tcPr>
          <w:p w14:paraId="6E4513B1">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w:t>
            </w:r>
          </w:p>
        </w:tc>
      </w:tr>
      <w:tr w14:paraId="5673D1C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340" w:hRule="atLeast"/>
          <w:jc w:val="center"/>
        </w:trPr>
        <w:tc>
          <w:tcPr>
            <w:tcW w:w="1660" w:type="pct"/>
            <w:tcBorders>
              <w:top w:val="single" w:color="000000" w:sz="6" w:space="0"/>
              <w:bottom w:val="single" w:color="000000" w:sz="6" w:space="0"/>
              <w:right w:val="single" w:color="000000" w:sz="6" w:space="0"/>
            </w:tcBorders>
            <w:noWrap w:val="0"/>
            <w:vAlign w:val="center"/>
          </w:tcPr>
          <w:p w14:paraId="0B59F0AD">
            <w:pPr>
              <w:keepNext w:val="0"/>
              <w:keepLines w:val="0"/>
              <w:pageBreakBefore w:val="0"/>
              <w:kinsoku/>
              <w:wordWrap/>
              <w:overflowPunct/>
              <w:topLinePunct w:val="0"/>
              <w:bidi w:val="0"/>
              <w:spacing w:line="240" w:lineRule="auto"/>
              <w:ind w:firstLine="480" w:firstLineChars="200"/>
              <w:jc w:val="center"/>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Cs w:val="21"/>
              </w:rPr>
              <w:t>卡车</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47C5A21D">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60</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6679AF94">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54</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605D5521">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50</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0747F8DA">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46</w:t>
            </w:r>
          </w:p>
        </w:tc>
        <w:tc>
          <w:tcPr>
            <w:tcW w:w="467" w:type="pct"/>
            <w:tcBorders>
              <w:top w:val="single" w:color="000000" w:sz="6" w:space="0"/>
              <w:left w:val="single" w:color="000000" w:sz="6" w:space="0"/>
              <w:bottom w:val="single" w:color="000000" w:sz="6" w:space="0"/>
              <w:right w:val="single" w:color="000000" w:sz="6" w:space="0"/>
            </w:tcBorders>
            <w:noWrap w:val="0"/>
            <w:vAlign w:val="center"/>
          </w:tcPr>
          <w:p w14:paraId="1F03323D">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40</w:t>
            </w:r>
          </w:p>
        </w:tc>
        <w:tc>
          <w:tcPr>
            <w:tcW w:w="467" w:type="pct"/>
            <w:vMerge w:val="continue"/>
            <w:tcBorders>
              <w:left w:val="single" w:color="000000" w:sz="6" w:space="0"/>
              <w:right w:val="single" w:color="000000" w:sz="6" w:space="0"/>
            </w:tcBorders>
            <w:noWrap w:val="0"/>
            <w:vAlign w:val="center"/>
          </w:tcPr>
          <w:p w14:paraId="2C5D34CB">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528" w:type="pct"/>
            <w:vMerge w:val="continue"/>
            <w:tcBorders>
              <w:left w:val="single" w:color="000000" w:sz="6" w:space="0"/>
            </w:tcBorders>
            <w:noWrap w:val="0"/>
            <w:vAlign w:val="center"/>
          </w:tcPr>
          <w:p w14:paraId="537C2708">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r>
      <w:tr w14:paraId="69373A3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340" w:hRule="atLeast"/>
          <w:jc w:val="center"/>
        </w:trPr>
        <w:tc>
          <w:tcPr>
            <w:tcW w:w="1660" w:type="pct"/>
            <w:tcBorders>
              <w:top w:val="single" w:color="000000" w:sz="6" w:space="0"/>
              <w:bottom w:val="single" w:color="000000" w:sz="6" w:space="0"/>
              <w:right w:val="single" w:color="000000" w:sz="6" w:space="0"/>
            </w:tcBorders>
            <w:noWrap w:val="0"/>
            <w:vAlign w:val="center"/>
          </w:tcPr>
          <w:p w14:paraId="1A491F80">
            <w:pPr>
              <w:keepNext w:val="0"/>
              <w:keepLines w:val="0"/>
              <w:pageBreakBefore w:val="0"/>
              <w:kinsoku/>
              <w:wordWrap/>
              <w:overflowPunct/>
              <w:topLinePunct w:val="0"/>
              <w:bidi w:val="0"/>
              <w:spacing w:line="240" w:lineRule="auto"/>
              <w:ind w:firstLine="480" w:firstLineChars="200"/>
              <w:jc w:val="center"/>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Cs w:val="21"/>
              </w:rPr>
              <w:t>推土机</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6F5CD051">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59</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60CEDD23">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53</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13EDCC7F">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49</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76E0B72F">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45</w:t>
            </w:r>
          </w:p>
        </w:tc>
        <w:tc>
          <w:tcPr>
            <w:tcW w:w="467" w:type="pct"/>
            <w:tcBorders>
              <w:top w:val="single" w:color="000000" w:sz="6" w:space="0"/>
              <w:left w:val="single" w:color="000000" w:sz="6" w:space="0"/>
              <w:bottom w:val="single" w:color="000000" w:sz="6" w:space="0"/>
              <w:right w:val="single" w:color="000000" w:sz="6" w:space="0"/>
            </w:tcBorders>
            <w:noWrap w:val="0"/>
            <w:vAlign w:val="center"/>
          </w:tcPr>
          <w:p w14:paraId="1E6ADB95">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39</w:t>
            </w:r>
          </w:p>
        </w:tc>
        <w:tc>
          <w:tcPr>
            <w:tcW w:w="467" w:type="pct"/>
            <w:vMerge w:val="continue"/>
            <w:tcBorders>
              <w:left w:val="single" w:color="000000" w:sz="6" w:space="0"/>
              <w:right w:val="single" w:color="000000" w:sz="6" w:space="0"/>
            </w:tcBorders>
            <w:noWrap w:val="0"/>
            <w:vAlign w:val="center"/>
          </w:tcPr>
          <w:p w14:paraId="5E6242E2">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528" w:type="pct"/>
            <w:vMerge w:val="continue"/>
            <w:tcBorders>
              <w:left w:val="single" w:color="000000" w:sz="6" w:space="0"/>
            </w:tcBorders>
            <w:noWrap w:val="0"/>
            <w:vAlign w:val="center"/>
          </w:tcPr>
          <w:p w14:paraId="55E8FB56">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r>
      <w:tr w14:paraId="40ECD3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340" w:hRule="atLeast"/>
          <w:jc w:val="center"/>
        </w:trPr>
        <w:tc>
          <w:tcPr>
            <w:tcW w:w="1660" w:type="pct"/>
            <w:tcBorders>
              <w:top w:val="single" w:color="000000" w:sz="6" w:space="0"/>
              <w:bottom w:val="single" w:color="000000" w:sz="6" w:space="0"/>
              <w:right w:val="single" w:color="000000" w:sz="6" w:space="0"/>
            </w:tcBorders>
            <w:noWrap w:val="0"/>
            <w:vAlign w:val="center"/>
          </w:tcPr>
          <w:p w14:paraId="45E350E8">
            <w:pPr>
              <w:keepNext w:val="0"/>
              <w:keepLines w:val="0"/>
              <w:pageBreakBefore w:val="0"/>
              <w:kinsoku/>
              <w:wordWrap/>
              <w:overflowPunct/>
              <w:topLinePunct w:val="0"/>
              <w:bidi w:val="0"/>
              <w:spacing w:line="240" w:lineRule="auto"/>
              <w:ind w:firstLine="480" w:firstLineChars="200"/>
              <w:jc w:val="center"/>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Cs w:val="21"/>
              </w:rPr>
              <w:t>振捣机</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7BCE4052">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59</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14AC0C00">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53</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11853AF6">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49</w:t>
            </w:r>
          </w:p>
        </w:tc>
        <w:tc>
          <w:tcPr>
            <w:tcW w:w="469" w:type="pct"/>
            <w:tcBorders>
              <w:top w:val="single" w:color="000000" w:sz="6" w:space="0"/>
              <w:left w:val="single" w:color="000000" w:sz="6" w:space="0"/>
              <w:bottom w:val="single" w:color="000000" w:sz="6" w:space="0"/>
              <w:right w:val="single" w:color="000000" w:sz="6" w:space="0"/>
            </w:tcBorders>
            <w:noWrap w:val="0"/>
            <w:vAlign w:val="center"/>
          </w:tcPr>
          <w:p w14:paraId="14A859BB">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45</w:t>
            </w:r>
          </w:p>
        </w:tc>
        <w:tc>
          <w:tcPr>
            <w:tcW w:w="467" w:type="pct"/>
            <w:tcBorders>
              <w:top w:val="single" w:color="000000" w:sz="6" w:space="0"/>
              <w:left w:val="single" w:color="000000" w:sz="6" w:space="0"/>
              <w:bottom w:val="single" w:color="000000" w:sz="6" w:space="0"/>
              <w:right w:val="single" w:color="000000" w:sz="6" w:space="0"/>
            </w:tcBorders>
            <w:noWrap w:val="0"/>
            <w:vAlign w:val="center"/>
          </w:tcPr>
          <w:p w14:paraId="09EA50D3">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39</w:t>
            </w:r>
          </w:p>
        </w:tc>
        <w:tc>
          <w:tcPr>
            <w:tcW w:w="467" w:type="pct"/>
            <w:vMerge w:val="continue"/>
            <w:tcBorders>
              <w:left w:val="single" w:color="000000" w:sz="6" w:space="0"/>
              <w:right w:val="single" w:color="000000" w:sz="6" w:space="0"/>
            </w:tcBorders>
            <w:noWrap w:val="0"/>
            <w:vAlign w:val="center"/>
          </w:tcPr>
          <w:p w14:paraId="365E9DF0">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528" w:type="pct"/>
            <w:vMerge w:val="continue"/>
            <w:tcBorders>
              <w:left w:val="single" w:color="000000" w:sz="6" w:space="0"/>
            </w:tcBorders>
            <w:noWrap w:val="0"/>
            <w:vAlign w:val="center"/>
          </w:tcPr>
          <w:p w14:paraId="1A255EF0">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r>
      <w:tr w14:paraId="759624C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28" w:type="dxa"/>
            <w:bottom w:w="0" w:type="dxa"/>
            <w:right w:w="28" w:type="dxa"/>
          </w:tblCellMar>
        </w:tblPrEx>
        <w:trPr>
          <w:cantSplit/>
          <w:trHeight w:val="340" w:hRule="atLeast"/>
          <w:jc w:val="center"/>
        </w:trPr>
        <w:tc>
          <w:tcPr>
            <w:tcW w:w="1660" w:type="pct"/>
            <w:tcBorders>
              <w:top w:val="single" w:color="000000" w:sz="6" w:space="0"/>
              <w:right w:val="single" w:color="000000" w:sz="6" w:space="0"/>
            </w:tcBorders>
            <w:noWrap w:val="0"/>
            <w:vAlign w:val="center"/>
          </w:tcPr>
          <w:p w14:paraId="1FB7846A">
            <w:pPr>
              <w:keepNext w:val="0"/>
              <w:keepLines w:val="0"/>
              <w:pageBreakBefore w:val="0"/>
              <w:kinsoku/>
              <w:wordWrap/>
              <w:overflowPunct/>
              <w:topLinePunct w:val="0"/>
              <w:bidi w:val="0"/>
              <w:spacing w:line="240" w:lineRule="auto"/>
              <w:ind w:firstLine="480" w:firstLineChars="200"/>
              <w:jc w:val="center"/>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Cs w:val="21"/>
              </w:rPr>
              <w:t>电锯</w:t>
            </w:r>
          </w:p>
        </w:tc>
        <w:tc>
          <w:tcPr>
            <w:tcW w:w="469" w:type="pct"/>
            <w:tcBorders>
              <w:top w:val="single" w:color="000000" w:sz="6" w:space="0"/>
              <w:left w:val="single" w:color="000000" w:sz="6" w:space="0"/>
              <w:right w:val="single" w:color="000000" w:sz="6" w:space="0"/>
            </w:tcBorders>
            <w:noWrap w:val="0"/>
            <w:vAlign w:val="center"/>
          </w:tcPr>
          <w:p w14:paraId="629E122A">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90</w:t>
            </w:r>
          </w:p>
        </w:tc>
        <w:tc>
          <w:tcPr>
            <w:tcW w:w="469" w:type="pct"/>
            <w:tcBorders>
              <w:top w:val="single" w:color="000000" w:sz="6" w:space="0"/>
              <w:left w:val="single" w:color="000000" w:sz="6" w:space="0"/>
              <w:right w:val="single" w:color="000000" w:sz="6" w:space="0"/>
            </w:tcBorders>
            <w:noWrap w:val="0"/>
            <w:vAlign w:val="center"/>
          </w:tcPr>
          <w:p w14:paraId="27FE0554">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80</w:t>
            </w:r>
          </w:p>
        </w:tc>
        <w:tc>
          <w:tcPr>
            <w:tcW w:w="469" w:type="pct"/>
            <w:tcBorders>
              <w:top w:val="single" w:color="000000" w:sz="6" w:space="0"/>
              <w:left w:val="single" w:color="000000" w:sz="6" w:space="0"/>
              <w:right w:val="single" w:color="000000" w:sz="6" w:space="0"/>
            </w:tcBorders>
            <w:noWrap w:val="0"/>
            <w:vAlign w:val="center"/>
          </w:tcPr>
          <w:p w14:paraId="484D6BA8">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72</w:t>
            </w:r>
          </w:p>
        </w:tc>
        <w:tc>
          <w:tcPr>
            <w:tcW w:w="469" w:type="pct"/>
            <w:tcBorders>
              <w:top w:val="single" w:color="000000" w:sz="6" w:space="0"/>
              <w:left w:val="single" w:color="000000" w:sz="6" w:space="0"/>
              <w:right w:val="single" w:color="000000" w:sz="6" w:space="0"/>
            </w:tcBorders>
            <w:noWrap w:val="0"/>
            <w:vAlign w:val="center"/>
          </w:tcPr>
          <w:p w14:paraId="78AF4676">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64</w:t>
            </w:r>
          </w:p>
        </w:tc>
        <w:tc>
          <w:tcPr>
            <w:tcW w:w="467" w:type="pct"/>
            <w:tcBorders>
              <w:top w:val="single" w:color="000000" w:sz="6" w:space="0"/>
              <w:left w:val="single" w:color="000000" w:sz="6" w:space="0"/>
              <w:right w:val="single" w:color="000000" w:sz="6" w:space="0"/>
            </w:tcBorders>
            <w:noWrap w:val="0"/>
            <w:vAlign w:val="center"/>
          </w:tcPr>
          <w:p w14:paraId="41C941BD">
            <w:pPr>
              <w:pStyle w:val="5"/>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1"/>
                <w:lang w:val="en-US" w:eastAsia="zh-CN"/>
              </w:rPr>
              <w:t>58</w:t>
            </w:r>
          </w:p>
        </w:tc>
        <w:tc>
          <w:tcPr>
            <w:tcW w:w="467" w:type="pct"/>
            <w:vMerge w:val="continue"/>
            <w:tcBorders>
              <w:left w:val="single" w:color="000000" w:sz="6" w:space="0"/>
              <w:right w:val="single" w:color="000000" w:sz="6" w:space="0"/>
            </w:tcBorders>
            <w:noWrap w:val="0"/>
            <w:vAlign w:val="center"/>
          </w:tcPr>
          <w:p w14:paraId="07F76E27">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c>
          <w:tcPr>
            <w:tcW w:w="528" w:type="pct"/>
            <w:vMerge w:val="continue"/>
            <w:tcBorders>
              <w:left w:val="single" w:color="000000" w:sz="6" w:space="0"/>
            </w:tcBorders>
            <w:noWrap w:val="0"/>
            <w:vAlign w:val="center"/>
          </w:tcPr>
          <w:p w14:paraId="7EEB911E">
            <w:pPr>
              <w:pStyle w:val="5"/>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szCs w:val="21"/>
                <w:lang w:val="en-US" w:eastAsia="zh-CN"/>
              </w:rPr>
            </w:pPr>
          </w:p>
        </w:tc>
      </w:tr>
    </w:tbl>
    <w:p w14:paraId="1CDAF5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从表6.1-2可知，除电锯噪声外，施工机械距离场界30m时，昼间场界可以达标，施工机械距离场界100m时，夜间场界可以达标。由于施工现场往往是各种机械同时作业，噪声经过叠加会有所增加。</w:t>
      </w:r>
    </w:p>
    <w:p w14:paraId="2735C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项目地周围200m范围内敏感点主要为场界</w:t>
      </w:r>
      <w:r>
        <w:rPr>
          <w:rFonts w:hint="eastAsia" w:cs="Times New Roman"/>
          <w:color w:val="auto"/>
          <w:sz w:val="24"/>
          <w:lang w:val="en-US" w:eastAsia="zh-CN"/>
        </w:rPr>
        <w:t>东侧43m处居民及</w:t>
      </w:r>
      <w:r>
        <w:rPr>
          <w:rFonts w:hint="default" w:ascii="Times New Roman" w:hAnsi="Times New Roman" w:eastAsia="宋体" w:cs="Times New Roman"/>
          <w:color w:val="auto"/>
          <w:sz w:val="24"/>
        </w:rPr>
        <w:t>东南1</w:t>
      </w:r>
      <w:r>
        <w:rPr>
          <w:rFonts w:hint="eastAsia" w:cs="Times New Roman"/>
          <w:color w:val="auto"/>
          <w:sz w:val="24"/>
          <w:lang w:val="en-US" w:eastAsia="zh-CN"/>
        </w:rPr>
        <w:t>2</w:t>
      </w:r>
      <w:r>
        <w:rPr>
          <w:rFonts w:hint="default" w:ascii="Times New Roman" w:hAnsi="Times New Roman" w:eastAsia="宋体" w:cs="Times New Roman"/>
          <w:color w:val="auto"/>
          <w:sz w:val="24"/>
        </w:rPr>
        <w:t>0m处居民，电锯等高噪声工程位于项目西侧靠湘江沿岸，电锯等噪声源距离厂界东侧居民约200m，叠加其背景值后电锯噪声昼间贡献值为42dB(A)，夜间贡献值为32dB(A)，施工噪声不会产生扰民现象。为了减轻施工噪声对周围环境的影响，建议采取以下措施：</w:t>
      </w:r>
    </w:p>
    <w:p w14:paraId="09A599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（1）加强施工管理，合理安排施工作业时间，严格按照施工噪声管理的有关规定执行；</w:t>
      </w:r>
    </w:p>
    <w:p w14:paraId="7DB9C6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（2）尽量采用低噪声的施工工具，如以液压工具代替气压工具，同时尽可能采用施工噪声低的施工方法；</w:t>
      </w:r>
    </w:p>
    <w:p w14:paraId="66A8EC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（3）在高噪声设备周围设置掩蔽物；</w:t>
      </w:r>
    </w:p>
    <w:p w14:paraId="71B04B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除上述施工机械产生的噪声外，施工过程中各种运输车辆的运行，还将会引起公路沿线噪声级的增加。因此，应加强对运输车辆的管理，尽量压缩工区汽车数量和行车密度，控制汽车鸣笛。设备安装调试尽量在白天进行。随着施工结束，施工噪声污染也将随之消除。</w:t>
      </w:r>
    </w:p>
    <w:p w14:paraId="55699387">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651" w:name="_Toc27279"/>
      <w:bookmarkStart w:id="652" w:name="_Toc116111705"/>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.1.4固体废物环境影响分析</w:t>
      </w:r>
      <w:bookmarkEnd w:id="651"/>
      <w:bookmarkEnd w:id="652"/>
    </w:p>
    <w:p w14:paraId="5348DBB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施工期陆域生活垃圾拟由环卫部门收集处理，船舶生活垃圾由施工单位负责交具有专业资质的接收船接收处理。建筑垃圾中根据情况尽量回收利用，以降低成本并减少其发生量。</w:t>
      </w:r>
    </w:p>
    <w:p w14:paraId="2EC7190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rPr>
        <w:t>施工期最重要的就是要与施工单位签定环保责任书，由各施工单位负责施工期固体废弃物的处理。各施工单位要加强施工管理，对施工生活垃圾不能随意抛弃，应配置一定数量的垃圾箱，定点堆放并及时转运至市政垃圾处理场进行处理；施工产生的建筑垃圾就地利用，不可利用部分经岳阳</w:t>
      </w:r>
      <w:r>
        <w:rPr>
          <w:rFonts w:hint="default" w:ascii="Times New Roman" w:hAnsi="Times New Roman" w:eastAsia="宋体" w:cs="Times New Roman"/>
          <w:color w:val="auto"/>
          <w:sz w:val="24"/>
          <w:lang w:val="en-US" w:eastAsia="zh-CN"/>
        </w:rPr>
        <w:t>县</w:t>
      </w:r>
      <w:r>
        <w:rPr>
          <w:rFonts w:hint="default" w:ascii="Times New Roman" w:hAnsi="Times New Roman" w:eastAsia="宋体" w:cs="Times New Roman"/>
          <w:color w:val="auto"/>
          <w:sz w:val="24"/>
        </w:rPr>
        <w:t>城市管理和综合执法局进</w:t>
      </w:r>
      <w:r>
        <w:rPr>
          <w:rFonts w:hint="default" w:ascii="Times New Roman" w:hAnsi="Times New Roman" w:eastAsia="宋体" w:cs="Times New Roman"/>
          <w:color w:val="auto"/>
          <w:sz w:val="24"/>
          <w:u w:val="none"/>
        </w:rPr>
        <w:t>行统一调配处置。建设方应会同有关部门加强施工环保监理，一旦出现问题，应根据环保责任书进行处罚并限期改施工期的固体废弃物排放是暂时的，随着施工结束而不再增加，通过积极有效的施工管理措施，施工期固体废弃物不会对环境造成不利影响。</w:t>
      </w:r>
    </w:p>
    <w:p w14:paraId="1C85D34B">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u w:val="none"/>
        </w:rPr>
      </w:pPr>
      <w:bookmarkStart w:id="653" w:name="_Toc116111706"/>
      <w:bookmarkStart w:id="654" w:name="_Toc4702"/>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.1.5生态环境影响分析</w:t>
      </w:r>
      <w:bookmarkEnd w:id="653"/>
      <w:bookmarkEnd w:id="654"/>
    </w:p>
    <w:p w14:paraId="3BE0F8ED">
      <w:pPr>
        <w:spacing w:line="360" w:lineRule="auto"/>
        <w:ind w:firstLine="480" w:firstLineChars="200"/>
        <w:outlineLvl w:val="9"/>
        <w:rPr>
          <w:rFonts w:hint="default" w:ascii="Times New Roman" w:hAnsi="Times New Roman" w:eastAsia="宋体" w:cs="Times New Roman"/>
          <w:color w:val="auto"/>
          <w:sz w:val="24"/>
          <w:u w:val="none"/>
        </w:rPr>
      </w:pPr>
      <w:bookmarkStart w:id="655" w:name="_Toc20878"/>
      <w:r>
        <w:rPr>
          <w:rFonts w:hint="eastAsia" w:cs="Times New Roman"/>
          <w:color w:val="auto"/>
          <w:sz w:val="24"/>
          <w:u w:val="none"/>
          <w:lang w:val="en-US" w:eastAsia="zh-CN"/>
        </w:rPr>
        <w:t>1</w:t>
      </w:r>
      <w:r>
        <w:rPr>
          <w:rFonts w:hint="default" w:ascii="Times New Roman" w:hAnsi="Times New Roman" w:eastAsia="宋体" w:cs="Times New Roman"/>
          <w:color w:val="auto"/>
          <w:sz w:val="24"/>
          <w:u w:val="none"/>
        </w:rPr>
        <w:t>、</w:t>
      </w:r>
      <w:bookmarkEnd w:id="655"/>
      <w:r>
        <w:rPr>
          <w:rFonts w:hint="default" w:ascii="Times New Roman" w:hAnsi="Times New Roman" w:eastAsia="宋体" w:cs="Times New Roman"/>
          <w:color w:val="auto"/>
          <w:sz w:val="24"/>
          <w:u w:val="none"/>
        </w:rPr>
        <w:t>对鱼类等水生生物区系组成的影响</w:t>
      </w:r>
    </w:p>
    <w:p w14:paraId="7B6CC482">
      <w:pPr>
        <w:spacing w:line="360" w:lineRule="auto"/>
        <w:ind w:firstLine="480" w:firstLineChars="200"/>
        <w:rPr>
          <w:rFonts w:hint="eastAsia" w:cs="Times New Roman"/>
          <w:color w:val="auto"/>
          <w:kern w:val="0"/>
          <w:sz w:val="24"/>
          <w:u w:val="none"/>
          <w:lang w:val="en-US" w:eastAsia="zh-CN"/>
        </w:rPr>
      </w:pPr>
      <w:r>
        <w:rPr>
          <w:rFonts w:hint="eastAsia" w:cs="Times New Roman"/>
          <w:color w:val="auto"/>
          <w:kern w:val="0"/>
          <w:sz w:val="24"/>
          <w:u w:val="none"/>
          <w:lang w:val="en-US" w:eastAsia="zh-CN"/>
        </w:rPr>
        <w:t>施工扬尘、施工废水短期内造成河段水质恶化，破坏鱼类原有的栖息条件，将影响鱼类仔幼鱼的正常生长和生存，也会影响水生维管植物，浮游植物、浮游动物、底栖动物等饵料生物的密度下降。同时施工噪声，会使邻近水域鱼类受到惊吓而逃离作业水域，将对周边水域的水生生物资源造成损害。</w:t>
      </w:r>
    </w:p>
    <w:p w14:paraId="63BA932D">
      <w:pPr>
        <w:spacing w:line="360" w:lineRule="auto"/>
        <w:ind w:firstLine="480" w:firstLineChars="200"/>
        <w:rPr>
          <w:rFonts w:hint="eastAsia" w:cs="Times New Roman"/>
          <w:color w:val="auto"/>
          <w:kern w:val="0"/>
          <w:sz w:val="24"/>
          <w:u w:val="none"/>
          <w:lang w:val="en-US" w:eastAsia="zh-CN"/>
        </w:rPr>
      </w:pPr>
      <w:r>
        <w:rPr>
          <w:rFonts w:hint="eastAsia" w:cs="Times New Roman"/>
          <w:color w:val="auto"/>
          <w:kern w:val="0"/>
          <w:sz w:val="24"/>
          <w:u w:val="none"/>
          <w:lang w:val="en-US" w:eastAsia="zh-CN"/>
        </w:rPr>
        <w:t>工程临近水域虽无鱼类等水生生物的重要产卵场、索饵场，却是鲤、鲫、黄颡鱼、短颌鲚等水产种质资源的重要洄游通道。鱼类繁殖洄游、索饵洄游在一定程度上将受到施工活动影响，但不影响上下游鱼类正常的基因交流。</w:t>
      </w:r>
    </w:p>
    <w:p w14:paraId="30625DA6">
      <w:pPr>
        <w:spacing w:line="360" w:lineRule="auto"/>
        <w:ind w:firstLine="480" w:firstLineChars="200"/>
        <w:rPr>
          <w:rFonts w:hint="default" w:ascii="Times New Roman" w:hAnsi="Times New Roman" w:eastAsia="宋体" w:cs="Times New Roman"/>
          <w:color w:val="auto"/>
          <w:kern w:val="0"/>
          <w:sz w:val="24"/>
          <w:u w:val="none"/>
        </w:rPr>
      </w:pPr>
      <w:r>
        <w:rPr>
          <w:rFonts w:hint="eastAsia" w:cs="Times New Roman"/>
          <w:color w:val="auto"/>
          <w:kern w:val="0"/>
          <w:sz w:val="24"/>
          <w:u w:val="none"/>
          <w:lang w:val="en-US" w:eastAsia="zh-CN"/>
        </w:rPr>
        <w:t>2、</w:t>
      </w:r>
      <w:r>
        <w:rPr>
          <w:rFonts w:hint="default" w:ascii="Times New Roman" w:hAnsi="Times New Roman" w:eastAsia="宋体" w:cs="Times New Roman"/>
          <w:color w:val="auto"/>
          <w:kern w:val="0"/>
          <w:sz w:val="24"/>
          <w:u w:val="none"/>
        </w:rPr>
        <w:t>对浮游植物、底栖动物和水生植物的影响</w:t>
      </w:r>
    </w:p>
    <w:p w14:paraId="409F3CF7">
      <w:pPr>
        <w:spacing w:line="360" w:lineRule="auto"/>
        <w:ind w:firstLine="480" w:firstLineChars="200"/>
        <w:rPr>
          <w:rFonts w:hint="default" w:ascii="Times New Roman" w:hAnsi="Times New Roman" w:eastAsia="宋体" w:cs="Times New Roman"/>
          <w:color w:val="auto"/>
          <w:kern w:val="0"/>
          <w:sz w:val="24"/>
          <w:u w:val="none"/>
        </w:rPr>
      </w:pPr>
      <w:r>
        <w:rPr>
          <w:rFonts w:hint="eastAsia" w:ascii="宋体" w:hAnsi="宋体" w:eastAsia="宋体" w:cs="宋体"/>
          <w:color w:val="auto"/>
          <w:kern w:val="0"/>
          <w:sz w:val="24"/>
          <w:u w:val="none"/>
        </w:rPr>
        <w:t>①</w:t>
      </w:r>
      <w:r>
        <w:rPr>
          <w:rFonts w:hint="default" w:ascii="Times New Roman" w:hAnsi="Times New Roman" w:eastAsia="宋体" w:cs="Times New Roman"/>
          <w:color w:val="auto"/>
          <w:kern w:val="0"/>
          <w:sz w:val="24"/>
          <w:u w:val="none"/>
        </w:rPr>
        <w:t>浮游生物</w:t>
      </w:r>
      <w:r>
        <w:rPr>
          <w:rFonts w:hint="eastAsia" w:cs="Times New Roman"/>
          <w:color w:val="auto"/>
          <w:kern w:val="0"/>
          <w:sz w:val="24"/>
          <w:u w:val="none"/>
          <w:lang w:eastAsia="zh-CN"/>
        </w:rPr>
        <w:t>：</w:t>
      </w:r>
      <w:r>
        <w:rPr>
          <w:rFonts w:hint="default" w:ascii="Times New Roman" w:hAnsi="Times New Roman" w:eastAsia="宋体" w:cs="Times New Roman"/>
          <w:color w:val="auto"/>
          <w:kern w:val="0"/>
          <w:sz w:val="24"/>
          <w:u w:val="none"/>
        </w:rPr>
        <w:t>藻类是具有叶绿素和其他光合色素，能进行光合作用的原始、低等的植物。多数藻类是鱼类和其他经济动物的直接或间接的饵料。岳阳县鹿角交通渔政综合</w:t>
      </w:r>
      <w:r>
        <w:rPr>
          <w:rFonts w:hint="eastAsia" w:cs="Times New Roman"/>
          <w:color w:val="auto"/>
          <w:kern w:val="0"/>
          <w:sz w:val="24"/>
          <w:u w:val="none"/>
          <w:lang w:val="en-US" w:eastAsia="zh-CN"/>
        </w:rPr>
        <w:t>执法</w:t>
      </w:r>
      <w:r>
        <w:rPr>
          <w:rFonts w:hint="default" w:ascii="Times New Roman" w:hAnsi="Times New Roman" w:eastAsia="宋体" w:cs="Times New Roman"/>
          <w:color w:val="auto"/>
          <w:kern w:val="0"/>
          <w:sz w:val="24"/>
          <w:u w:val="none"/>
        </w:rPr>
        <w:t>码头停靠的船舶航行会引起局部水域中悬浮颗粒增加，水中悬浮物浓度升高降低了水体的透光率，不利于藻类生长繁殖，导致其数量阶段性减少。虽然工程施工会使浮游动物的生物量有一定的减少，但由于浮游动物个体小，繁殖速度快，待水质恢复后，浮游生物的数量将会逐步恢复，因此，工程施工对该江段的浮游生物的影响只是局部的、暂时性的。</w:t>
      </w:r>
    </w:p>
    <w:p w14:paraId="539ED644">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工程导致的局部水域水质浑浊，一方面会直接造成浮游动物的死亡，另一方面这些施工作业会造成作为饵料的浮游植物减少，同样也会加速浮游动物数量和种类的减少。同时，桩基施工导致沉积在江底的有害物质释放，从而导致施工江段及其下游局部水域的水质改变，对浮游动物有一定的致毒作用。施工江段平均水深8m，以泊位岸线长和施工区域外延200m为工程影响区计算影响水域体积，经计算，在施工期间，浮游动物的损失量16.8kg。</w:t>
      </w:r>
    </w:p>
    <w:p w14:paraId="5643D2D7">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同浮游植物一样，工程施工虽然会使浮游动物的生物量有一定的减少，但这种影响只是局部的、暂时性的，因此工程施工对评价区的浮游生物的影响有限。</w:t>
      </w:r>
    </w:p>
    <w:p w14:paraId="0B8D12DC">
      <w:pPr>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宋体" w:hAnsi="宋体" w:eastAsia="宋体" w:cs="宋体"/>
          <w:color w:val="auto"/>
          <w:kern w:val="0"/>
          <w:sz w:val="24"/>
          <w:u w:val="none"/>
        </w:rPr>
        <w:t>②底栖动物</w:t>
      </w:r>
      <w:r>
        <w:rPr>
          <w:rFonts w:hint="eastAsia" w:ascii="宋体" w:hAnsi="宋体" w:eastAsia="宋体" w:cs="宋体"/>
          <w:color w:val="auto"/>
          <w:kern w:val="0"/>
          <w:sz w:val="24"/>
          <w:u w:val="none"/>
          <w:lang w:eastAsia="zh-CN"/>
        </w:rPr>
        <w:t>：</w:t>
      </w:r>
      <w:r>
        <w:rPr>
          <w:rFonts w:hint="default" w:ascii="Times New Roman" w:hAnsi="Times New Roman" w:eastAsia="宋体" w:cs="Times New Roman"/>
          <w:color w:val="auto"/>
          <w:kern w:val="0"/>
          <w:sz w:val="24"/>
          <w:u w:val="none"/>
        </w:rPr>
        <w:t>工程施工如趸船、抛锚定位破坏了底栖生物的栖息地，使底栖生物失去了部分栖息地，栖息环境受到了影响。施工结束后，底栖生物将逐渐恢复，但底栖群落与原来相比将有很大的差别。底栖种类多样性会有所减少，群落结构简单化，群落的稳定性会下降。在抛锚定位时，挖掘区的局部水域悬浮物会增加，从而降低水体透明度，会使底栖生物的生理受到影响，一些敏感种会受损，甚至消失。本项目不涉及护岸抛石。同时施工所产生的悬浮物也会影响到附近水域底栖动物的呼吸、摄食等生命活动，也直接改变了其栖息环境。经计算，在施工期间，底栖动物的损失量83.5kg。由于施工影响范围有限，一段时间之后，施工区域生态效应作用将会逐渐形成新的平衡。由于施工量较小，施工期短暂，当施工停止后可恢复到原有水平</w:t>
      </w:r>
      <w:r>
        <w:rPr>
          <w:rFonts w:hint="eastAsia" w:cs="Times New Roman"/>
          <w:color w:val="auto"/>
          <w:kern w:val="0"/>
          <w:sz w:val="24"/>
          <w:u w:val="none"/>
          <w:lang w:eastAsia="zh-CN"/>
        </w:rPr>
        <w:t>。</w:t>
      </w:r>
    </w:p>
    <w:p w14:paraId="6749BDEB">
      <w:pPr>
        <w:spacing w:line="360" w:lineRule="auto"/>
        <w:ind w:firstLine="480" w:firstLineChars="200"/>
        <w:rPr>
          <w:rFonts w:hint="eastAsia" w:ascii="宋体" w:hAnsi="宋体" w:eastAsia="宋体" w:cs="宋体"/>
          <w:color w:val="auto"/>
          <w:kern w:val="0"/>
          <w:sz w:val="24"/>
          <w:u w:val="none"/>
          <w:lang w:eastAsia="zh-CN"/>
        </w:rPr>
      </w:pPr>
      <w:r>
        <w:rPr>
          <w:rFonts w:hint="eastAsia" w:ascii="宋体" w:hAnsi="宋体" w:eastAsia="宋体" w:cs="宋体"/>
          <w:color w:val="auto"/>
          <w:kern w:val="0"/>
          <w:sz w:val="24"/>
          <w:u w:val="none"/>
        </w:rPr>
        <w:t>③对水生维管束植物的影响</w:t>
      </w:r>
      <w:r>
        <w:rPr>
          <w:rFonts w:hint="eastAsia" w:ascii="宋体" w:hAnsi="宋体" w:eastAsia="宋体" w:cs="宋体"/>
          <w:color w:val="auto"/>
          <w:kern w:val="0"/>
          <w:sz w:val="24"/>
          <w:u w:val="none"/>
          <w:lang w:eastAsia="zh-CN"/>
        </w:rPr>
        <w:t>：工程对水生植被的影响主要是码头施工过程中，码头和引桥等的桩基永久占地和施工临时占地对沿岸湿生植被的直接破坏，此外，施工过程中所产生的悬浮物等会附着在水生植被上，对水生植被产生一定影响。由于施工区江段常水位以下水生植物稀少，常水位以上以陆生、湿生植物为主。工程区常水位以下水草较少，工程对水生维管束植物的影响很小。</w:t>
      </w:r>
    </w:p>
    <w:p w14:paraId="3BCE9F61">
      <w:pPr>
        <w:spacing w:line="360" w:lineRule="auto"/>
        <w:ind w:firstLine="480" w:firstLineChars="200"/>
        <w:rPr>
          <w:rFonts w:hint="default" w:ascii="Times New Roman" w:hAnsi="Times New Roman" w:eastAsia="宋体" w:cs="Times New Roman"/>
          <w:color w:val="auto"/>
          <w:kern w:val="0"/>
          <w:sz w:val="24"/>
          <w:u w:val="none"/>
          <w:lang w:val="en-US" w:eastAsia="zh-CN"/>
        </w:rPr>
      </w:pPr>
      <w:r>
        <w:rPr>
          <w:rFonts w:hint="default" w:ascii="Times New Roman" w:hAnsi="Times New Roman" w:cs="Times New Roman"/>
          <w:color w:val="auto"/>
          <w:kern w:val="0"/>
          <w:sz w:val="24"/>
          <w:u w:val="none"/>
          <w:lang w:val="en-US" w:eastAsia="zh-CN"/>
        </w:rPr>
        <w:t>3、东洞庭湖鲤、鲫、黄颡国家级水产种质资源影响</w:t>
      </w:r>
    </w:p>
    <w:p w14:paraId="4DF96EE5">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施工期河底固定钢锚桩打桩作业噪声、振动，同时施工作业过程造成钢锚桩固定区域河底水体悬浮物浓度的增加，会对铜鱼、短颌鲚等保护区鱼类受精卵附着、孵化和仔稚鱼的存活率有一定的影响。本项目水底固桩过程施工周期较短，对鱼类产卵场影响范围和时限都较为有限。同时施工水体中打桩等高强度噪声则对鱼类直接造成组织、器官损伤，可能导致死亡；还可以引起其他的非听觉效应，如噪声暴露可以导致鱼类应激水平升高，引起鱼类的行为变化，甚至致使鱼类繁殖失败。根据工程施工所采用的打桩机噪声特点，施工期船舶航行、打桩等过程机械噪声对水下鱼类具有一定的影响。施工期水生生物资源量补偿评估测算，鱼类早期资源密度28.32ind/m</w:t>
      </w:r>
      <w:r>
        <w:rPr>
          <w:rFonts w:hint="default" w:ascii="Times New Roman" w:hAnsi="Times New Roman" w:eastAsia="宋体" w:cs="Times New Roman"/>
          <w:color w:val="auto"/>
          <w:kern w:val="0"/>
          <w:sz w:val="24"/>
          <w:u w:val="none"/>
          <w:vertAlign w:val="superscript"/>
        </w:rPr>
        <w:t>2</w:t>
      </w:r>
      <w:r>
        <w:rPr>
          <w:rFonts w:hint="default" w:ascii="Times New Roman" w:hAnsi="Times New Roman" w:eastAsia="宋体" w:cs="Times New Roman"/>
          <w:color w:val="auto"/>
          <w:kern w:val="0"/>
          <w:sz w:val="24"/>
          <w:u w:val="none"/>
        </w:rPr>
        <w:t>(2019年版《长江流域渔业生态公报》)，鱼苗损失率按20%统计，结合施工期对水域影响面积计算造成鱼卵仔鱼损失量为4.65万粒/年。</w:t>
      </w:r>
    </w:p>
    <w:p w14:paraId="2419BE63">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kern w:val="0"/>
          <w:sz w:val="24"/>
          <w:u w:val="none"/>
        </w:rPr>
        <w:t>铜鱼和鲤受到噪声容易产生较强的应激反应，拟建工程在施工期产生的噪声和振动将使工程附近活动的铜鱼和鲤受到惊吓，但不会受到伤害。鲤为底栖鱼类，主要摄食底栖生物和小型鱼虾；铜鱼为杂食性鱼类。岸线硬化施工等活动将导致底栖生物的减少，影响鲤的摄食活动，由于施工的扰动导致该区域鱼类资源的降低导致铜鱼的摄食活动受阻。但由于施工范围小，施工周期短，施工结束后这种影响将逐渐消失。鲤产粘性卵，常在洲滩岸边有砂卵石的浅水区产卵，该区域不是鲤的产卵场，施工对鲤的繁殖影响有限。铜鱼产漂流性卵，产出的卵随水漂流孵化，在经过码头附近时，污染物对其发育产生一定影响。因此，在鱼类繁殖季节应降低施工强度，减少对主要保护对象的影响。</w:t>
      </w:r>
    </w:p>
    <w:p w14:paraId="4B39CC7D">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cs="Times New Roman"/>
          <w:color w:val="auto"/>
          <w:kern w:val="0"/>
          <w:sz w:val="24"/>
          <w:u w:val="none"/>
          <w:lang w:val="en-US" w:eastAsia="zh-CN"/>
        </w:rPr>
        <w:t>4、</w:t>
      </w:r>
      <w:r>
        <w:rPr>
          <w:rFonts w:hint="default" w:ascii="Times New Roman" w:hAnsi="Times New Roman" w:eastAsia="宋体" w:cs="Times New Roman"/>
          <w:color w:val="auto"/>
          <w:kern w:val="0"/>
          <w:sz w:val="24"/>
          <w:u w:val="none"/>
        </w:rPr>
        <w:t>对江豚及其栖息地的影响</w:t>
      </w:r>
    </w:p>
    <w:p w14:paraId="2FD6F759">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程区非保护区鱼类、长江江豚等水生生物的重要栖息地，不涉及鱼类大型的产卵场、索饵场、越冬场及主要洄游通道。工程建设对江豚的觅食、迁徙行为影响较小，对保护区功能的稳定性基本不构成威胁。</w:t>
      </w:r>
    </w:p>
    <w:p w14:paraId="38B5D6AB">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江豚在水下最主要的感觉系统是声纳系统，因此水下噪声将对它们产生不利影响，例如对豚类声纳系统造成干扰，影响其在水中探测和识别物体的能力，受到水下噪声惊吓后急速游动，容易撞上船只螺旋桨而受到伤害，此外较大强度的噪声将对豚类的听力产生破坏。</w:t>
      </w:r>
    </w:p>
    <w:p w14:paraId="1996A768">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江豚发出的回声定位信号的频率都超过100kHz；在听觉方面，江豚对45-139kHz的声音极其敏感，江豚对10kHz以下的声音，其听阈值为80~100dB re 1Pa，而在其各自敏感频率范围内，其听阈值为50~60dB。因此，相对来讲，江豚对低频噪声（水流和波浪噪声，10kHz以下）相对不敏感，而对高频噪声（10~100kHz）相对更敏感。由于声传播特性，频率低于10kHz的声音较超声来说能够在衰减之前传播更远的距离，这些频率较低的声音将可能对豚类的听力产生严重的破坏。在施工期，该项目的主要水下噪声源有打桩和施工船舶噪声。</w:t>
      </w:r>
    </w:p>
    <w:p w14:paraId="0DEB6BBF">
      <w:pPr>
        <w:spacing w:line="360" w:lineRule="auto"/>
        <w:ind w:firstLine="480" w:firstLineChars="200"/>
        <w:outlineLvl w:val="9"/>
        <w:rPr>
          <w:rFonts w:hint="default" w:ascii="Times New Roman" w:hAnsi="Times New Roman" w:eastAsia="宋体" w:cs="Times New Roman"/>
          <w:color w:val="auto"/>
          <w:sz w:val="24"/>
          <w:u w:val="none"/>
        </w:rPr>
      </w:pPr>
      <w:bookmarkStart w:id="656" w:name="_Toc22758"/>
      <w:r>
        <w:rPr>
          <w:rFonts w:hint="default" w:ascii="Times New Roman" w:hAnsi="Times New Roman" w:cs="Times New Roman"/>
          <w:color w:val="auto"/>
          <w:sz w:val="24"/>
          <w:u w:val="none"/>
          <w:lang w:val="en-US" w:eastAsia="zh-CN"/>
        </w:rPr>
        <w:t>5</w:t>
      </w:r>
      <w:r>
        <w:rPr>
          <w:rFonts w:hint="default" w:ascii="Times New Roman" w:hAnsi="Times New Roman" w:eastAsia="宋体" w:cs="Times New Roman"/>
          <w:color w:val="auto"/>
          <w:sz w:val="24"/>
          <w:u w:val="none"/>
        </w:rPr>
        <w:t>、</w:t>
      </w:r>
      <w:r>
        <w:rPr>
          <w:rFonts w:hint="default" w:ascii="Times New Roman" w:hAnsi="Times New Roman" w:eastAsia="宋体" w:cs="Times New Roman"/>
          <w:color w:val="auto"/>
          <w:kern w:val="0"/>
          <w:sz w:val="24"/>
          <w:u w:val="none"/>
        </w:rPr>
        <w:t>对陆域生态的影响</w:t>
      </w:r>
      <w:bookmarkEnd w:id="656"/>
    </w:p>
    <w:p w14:paraId="749C3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为提质改造工程，利用现有码头陆域进行改造，用地现状为河岸滩地和砂石地，码头的建设将保留河岸滩地内的灌木、草本植被，对码头前沿进行混凝土硬化，后方进行生态复绿，增加区域内生物总量、植被覆盖率，促进湘江河岸滩地的生态环境功能的恢复，其生态功能和稳定性为有利的影响。</w:t>
      </w:r>
    </w:p>
    <w:p w14:paraId="01C83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和施工单位应重视植被恢复工作，减少土方的二次搬运和防止临时堆土洒落在地表水体中。复绿应采用机械全面耕松、耙平，进行土地整治、覆土，用耕植土进行回填，回填覆盖层不小于设计要求，通过移植草皮、恢复植被等措施恢复地表原貌，复绿植被宜采用当地常见绿化植被。</w:t>
      </w:r>
    </w:p>
    <w:p w14:paraId="29F59949">
      <w:pPr>
        <w:pStyle w:val="9"/>
        <w:pageBreakBefore w:val="0"/>
        <w:kinsoku/>
        <w:wordWrap/>
        <w:overflowPunct/>
        <w:topLinePunct w:val="0"/>
        <w:bidi w:val="0"/>
        <w:spacing w:before="0" w:after="0" w:line="360" w:lineRule="auto"/>
        <w:textAlignment w:val="auto"/>
        <w:rPr>
          <w:rFonts w:hint="default" w:ascii="Times New Roman" w:hAnsi="Times New Roman" w:eastAsia="宋体" w:cs="Times New Roman"/>
          <w:color w:val="auto"/>
          <w:sz w:val="24"/>
          <w:szCs w:val="24"/>
          <w:u w:val="none"/>
          <w:lang w:val="en-US" w:eastAsia="zh-CN"/>
        </w:rPr>
      </w:pPr>
      <w:bookmarkStart w:id="657" w:name="_Toc10554"/>
      <w:r>
        <w:rPr>
          <w:rFonts w:hint="default"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w:t>
      </w:r>
      <w:r>
        <w:rPr>
          <w:rFonts w:hint="eastAsia" w:cs="Times New Roman"/>
          <w:color w:val="auto"/>
          <w:sz w:val="24"/>
          <w:szCs w:val="24"/>
          <w:u w:val="none"/>
          <w:lang w:val="en-US" w:eastAsia="zh-CN"/>
        </w:rPr>
        <w:t>6施工期环境管理</w:t>
      </w:r>
      <w:bookmarkEnd w:id="657"/>
    </w:p>
    <w:p w14:paraId="4FC9E5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在施工前，施工单位应详细编制施工组织计划并建立环境管理制度，要有专人负责施工期 间的环境保护工作，对施工中产生的“三废”应作出相应的防治措施及处置方法。环境管理要做 到贯彻国家的环保法规标准，建立各项环保管理制度，做到有章可循，科学管理。</w:t>
      </w:r>
    </w:p>
    <w:p w14:paraId="7DA5F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综上所述，施工期的噪声、废气、废水和固体废弃物将会对环境产生一定程度的影响，但只要施工单位认真做好施工组织工作（包括劳动力、工期计划和施工平面管理等），并进行文 明施工，加强对当地水体的保护，遵守上述环保建议，工程建设期将不会对环境产生明显不利影响。</w:t>
      </w:r>
    </w:p>
    <w:p w14:paraId="31B01DE9">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658" w:name="_Toc12225"/>
      <w:bookmarkStart w:id="659" w:name="_Toc1597"/>
      <w:bookmarkStart w:id="660" w:name="_Toc116111707"/>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.2营运期环境影响分析</w:t>
      </w:r>
      <w:bookmarkEnd w:id="658"/>
      <w:bookmarkEnd w:id="659"/>
      <w:bookmarkEnd w:id="660"/>
    </w:p>
    <w:p w14:paraId="7EACA020">
      <w:pPr>
        <w:pStyle w:val="9"/>
        <w:pageBreakBefore w:val="0"/>
        <w:kinsoku/>
        <w:wordWrap/>
        <w:overflowPunct/>
        <w:topLinePunct w:val="0"/>
        <w:bidi w:val="0"/>
        <w:spacing w:before="0" w:after="0" w:line="360" w:lineRule="auto"/>
        <w:textAlignment w:val="auto"/>
        <w:rPr>
          <w:rFonts w:hint="default" w:ascii="Times New Roman" w:hAnsi="Times New Roman" w:eastAsia="宋体" w:cs="Times New Roman"/>
          <w:color w:val="auto"/>
          <w:sz w:val="24"/>
          <w:szCs w:val="24"/>
          <w:u w:val="none"/>
        </w:rPr>
      </w:pPr>
      <w:bookmarkStart w:id="661" w:name="_Toc25886"/>
      <w:bookmarkStart w:id="662" w:name="_Toc116111708"/>
      <w:r>
        <w:rPr>
          <w:rFonts w:hint="default"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.2.1地表水环境影响分析</w:t>
      </w:r>
      <w:bookmarkEnd w:id="661"/>
      <w:bookmarkEnd w:id="662"/>
    </w:p>
    <w:p w14:paraId="6B1584B8">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本项目产生的废水主要为船舶</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包括趸船</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废水（船舶舱底油污水、船舶生活污水）、</w:t>
      </w:r>
      <w:r>
        <w:rPr>
          <w:rFonts w:hint="default" w:ascii="Times New Roman" w:hAnsi="Times New Roman" w:eastAsia="宋体" w:cs="Times New Roman"/>
          <w:color w:val="auto"/>
          <w:sz w:val="24"/>
          <w:szCs w:val="24"/>
          <w:u w:val="none"/>
          <w:lang w:val="en-US" w:eastAsia="zh-CN"/>
        </w:rPr>
        <w:t>趸船</w:t>
      </w:r>
      <w:r>
        <w:rPr>
          <w:rFonts w:hint="default" w:ascii="Times New Roman" w:hAnsi="Times New Roman" w:eastAsia="宋体" w:cs="Times New Roman"/>
          <w:color w:val="auto"/>
          <w:sz w:val="24"/>
          <w:szCs w:val="24"/>
          <w:u w:val="none"/>
        </w:rPr>
        <w:t>员工生活污水。</w:t>
      </w:r>
    </w:p>
    <w:p w14:paraId="3220470C">
      <w:pPr>
        <w:pStyle w:val="28"/>
        <w:keepNext w:val="0"/>
        <w:keepLines w:val="0"/>
        <w:pageBreakBefore w:val="0"/>
        <w:widowControl/>
        <w:kinsoku/>
        <w:wordWrap/>
        <w:overflowPunct/>
        <w:topLinePunct w:val="0"/>
        <w:autoSpaceDE w:val="0"/>
        <w:autoSpaceDN w:val="0"/>
        <w:bidi w:val="0"/>
        <w:adjustRightInd w:val="0"/>
        <w:snapToGrid w:val="0"/>
        <w:spacing w:after="0" w:line="360" w:lineRule="auto"/>
        <w:ind w:firstLine="480" w:firstLineChars="200"/>
        <w:textAlignment w:val="auto"/>
        <w:outlineLvl w:val="9"/>
        <w:rPr>
          <w:rFonts w:hint="default" w:ascii="Times New Roman" w:hAnsi="Times New Roman" w:eastAsia="宋体" w:cs="Times New Roman"/>
          <w:color w:val="auto"/>
          <w:sz w:val="24"/>
          <w:szCs w:val="24"/>
          <w:u w:val="none"/>
        </w:rPr>
      </w:pPr>
      <w:bookmarkStart w:id="663" w:name="_Toc20775"/>
      <w:r>
        <w:rPr>
          <w:rFonts w:hint="default" w:ascii="Times New Roman" w:hAnsi="Times New Roman" w:eastAsia="宋体" w:cs="Times New Roman"/>
          <w:color w:val="auto"/>
          <w:sz w:val="24"/>
          <w:szCs w:val="24"/>
          <w:u w:val="none"/>
        </w:rPr>
        <w:t>1、营运期</w:t>
      </w:r>
      <w:r>
        <w:rPr>
          <w:rFonts w:hint="default" w:ascii="Times New Roman" w:hAnsi="Times New Roman" w:eastAsia="宋体" w:cs="Times New Roman"/>
          <w:color w:val="auto"/>
          <w:sz w:val="24"/>
          <w:szCs w:val="24"/>
          <w:u w:val="none"/>
          <w:lang w:val="en-US" w:eastAsia="zh-CN"/>
        </w:rPr>
        <w:t>趸船</w:t>
      </w:r>
      <w:r>
        <w:rPr>
          <w:rFonts w:hint="default" w:ascii="Times New Roman" w:hAnsi="Times New Roman" w:eastAsia="宋体" w:cs="Times New Roman"/>
          <w:color w:val="auto"/>
          <w:sz w:val="24"/>
          <w:szCs w:val="24"/>
          <w:u w:val="none"/>
        </w:rPr>
        <w:t>员工的生活废水</w:t>
      </w:r>
      <w:bookmarkEnd w:id="663"/>
    </w:p>
    <w:p w14:paraId="64B2C888">
      <w:pPr>
        <w:pStyle w:val="38"/>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趸船劳动定员为8人，用水量按每人60L/d人计算，排水量则为54L/d，则趸船生活用水排放量为0.216t/d（</w:t>
      </w:r>
      <w:r>
        <w:rPr>
          <w:rFonts w:hint="eastAsia" w:cs="Times New Roman"/>
          <w:color w:val="auto"/>
          <w:sz w:val="24"/>
          <w:szCs w:val="24"/>
          <w:u w:val="none"/>
          <w:lang w:val="en-US" w:eastAsia="zh-CN"/>
        </w:rPr>
        <w:t>64.</w:t>
      </w:r>
      <w:r>
        <w:rPr>
          <w:rFonts w:hint="default" w:ascii="Times New Roman" w:hAnsi="Times New Roman" w:eastAsia="宋体" w:cs="Times New Roman"/>
          <w:color w:val="auto"/>
          <w:sz w:val="24"/>
          <w:szCs w:val="24"/>
          <w:u w:val="none"/>
          <w:lang w:val="en-US" w:eastAsia="zh-CN"/>
        </w:rPr>
        <w:t>8t/a）。</w:t>
      </w:r>
      <w:r>
        <w:rPr>
          <w:rFonts w:hint="default" w:ascii="Times New Roman" w:hAnsi="Times New Roman" w:eastAsia="宋体" w:cs="Times New Roman"/>
          <w:color w:val="auto"/>
          <w:sz w:val="24"/>
          <w:szCs w:val="24"/>
          <w:u w:val="none"/>
          <w:lang w:val="en-US"/>
        </w:rPr>
        <w:t>主要污染物为COD、SS、氨氮，产生浓度分别为350mg/L、150mg/L、30mg/L，生活污水经趸船生活污水</w:t>
      </w:r>
      <w:r>
        <w:rPr>
          <w:rFonts w:hint="default" w:ascii="Times New Roman" w:hAnsi="Times New Roman" w:eastAsia="宋体" w:cs="Times New Roman"/>
          <w:color w:val="auto"/>
          <w:sz w:val="24"/>
          <w:szCs w:val="24"/>
          <w:u w:val="none"/>
          <w:lang w:val="en-US" w:eastAsia="zh-CN"/>
        </w:rPr>
        <w:t>预处理系统处理后定期泵入岸边接受箱接</w:t>
      </w:r>
      <w:r>
        <w:rPr>
          <w:rFonts w:hint="eastAsia" w:cs="Times New Roman"/>
          <w:color w:val="auto"/>
          <w:sz w:val="24"/>
          <w:szCs w:val="24"/>
          <w:u w:val="none"/>
          <w:lang w:val="en-US" w:eastAsia="zh-CN"/>
        </w:rPr>
        <w:t>收</w:t>
      </w:r>
      <w:r>
        <w:rPr>
          <w:rFonts w:hint="default" w:ascii="Times New Roman" w:hAnsi="Times New Roman" w:eastAsia="宋体" w:cs="Times New Roman"/>
          <w:color w:val="auto"/>
          <w:sz w:val="24"/>
          <w:szCs w:val="24"/>
          <w:u w:val="none"/>
          <w:lang w:val="en-US" w:eastAsia="zh-CN"/>
        </w:rPr>
        <w:t>，作为区域林地施肥，不排入区域水环境。</w:t>
      </w:r>
    </w:p>
    <w:p w14:paraId="11D87ACA">
      <w:pPr>
        <w:pStyle w:val="38"/>
        <w:pageBreakBefore w:val="0"/>
        <w:kinsoku/>
        <w:wordWrap/>
        <w:overflowPunct/>
        <w:topLinePunct w:val="0"/>
        <w:bidi w:val="0"/>
        <w:spacing w:line="360" w:lineRule="auto"/>
        <w:ind w:firstLine="480"/>
        <w:textAlignment w:val="auto"/>
        <w:outlineLvl w:val="9"/>
        <w:rPr>
          <w:rFonts w:hint="default" w:ascii="Times New Roman" w:hAnsi="Times New Roman" w:eastAsia="宋体" w:cs="Times New Roman"/>
          <w:color w:val="auto"/>
          <w:sz w:val="24"/>
          <w:szCs w:val="24"/>
          <w:u w:val="none"/>
          <w:lang w:eastAsia="zh-CN"/>
        </w:rPr>
      </w:pPr>
      <w:bookmarkStart w:id="664" w:name="_Toc4542"/>
      <w:r>
        <w:rPr>
          <w:rFonts w:hint="default" w:ascii="Times New Roman" w:hAnsi="Times New Roman" w:eastAsia="宋体" w:cs="Times New Roman"/>
          <w:color w:val="auto"/>
          <w:sz w:val="24"/>
          <w:szCs w:val="24"/>
          <w:u w:val="none"/>
          <w:lang w:eastAsia="zh-CN"/>
        </w:rPr>
        <w:t>2、</w:t>
      </w:r>
      <w:r>
        <w:rPr>
          <w:rFonts w:hint="default" w:ascii="Times New Roman" w:hAnsi="Times New Roman" w:eastAsia="宋体" w:cs="Times New Roman"/>
          <w:color w:val="auto"/>
          <w:sz w:val="24"/>
          <w:szCs w:val="24"/>
          <w:u w:val="none"/>
        </w:rPr>
        <w:t>船舶废水（舱底油污水</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生活污水</w:t>
      </w:r>
      <w:r>
        <w:rPr>
          <w:rFonts w:hint="default" w:ascii="Times New Roman" w:hAnsi="Times New Roman" w:eastAsia="宋体" w:cs="Times New Roman"/>
          <w:color w:val="auto"/>
          <w:sz w:val="24"/>
          <w:szCs w:val="24"/>
          <w:u w:val="none"/>
        </w:rPr>
        <w:t>）</w:t>
      </w:r>
      <w:bookmarkEnd w:id="664"/>
    </w:p>
    <w:p w14:paraId="2693ABA5">
      <w:pPr>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本项目产生的废水主要为船舶</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包括趸船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包括</w:t>
      </w:r>
      <w:r>
        <w:rPr>
          <w:rFonts w:hint="default" w:ascii="Times New Roman" w:hAnsi="Times New Roman" w:eastAsia="宋体" w:cs="Times New Roman"/>
          <w:color w:val="auto"/>
          <w:sz w:val="24"/>
        </w:rPr>
        <w:t>船舶舱底油污水、船舶生活污水</w:t>
      </w:r>
      <w:r>
        <w:rPr>
          <w:rFonts w:hint="default" w:ascii="Times New Roman" w:hAnsi="Times New Roman" w:eastAsia="宋体" w:cs="Times New Roman"/>
          <w:color w:val="auto"/>
          <w:sz w:val="24"/>
          <w:lang w:eastAsia="zh-CN"/>
        </w:rPr>
        <w:t>。</w:t>
      </w:r>
    </w:p>
    <w:p w14:paraId="79F0F5E3">
      <w:pPr>
        <w:pStyle w:val="38"/>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u w:val="none"/>
          <w:lang w:val="en-US" w:eastAsia="zh-CN"/>
        </w:rPr>
        <w:t>船舶员工生活污水：</w:t>
      </w:r>
      <w:r>
        <w:rPr>
          <w:rFonts w:hint="default" w:ascii="Times New Roman" w:hAnsi="Times New Roman" w:eastAsia="宋体" w:cs="Times New Roman"/>
          <w:color w:val="auto"/>
          <w:lang w:val="en-US" w:eastAsia="zh-CN"/>
        </w:rPr>
        <w:t>本项目停泊的公务船只按6人/船计算，到港船舶按日平均</w:t>
      </w:r>
      <w:r>
        <w:rPr>
          <w:rFonts w:hint="eastAsia" w:cs="Times New Roman"/>
          <w:color w:val="auto"/>
          <w:lang w:val="en-US" w:eastAsia="zh-CN"/>
        </w:rPr>
        <w:t>3</w:t>
      </w:r>
      <w:r>
        <w:rPr>
          <w:rFonts w:hint="default" w:ascii="Times New Roman" w:hAnsi="Times New Roman" w:eastAsia="宋体" w:cs="Times New Roman"/>
          <w:color w:val="auto"/>
          <w:lang w:val="en-US" w:eastAsia="zh-CN"/>
        </w:rPr>
        <w:t>艘/d，考虑到航程较短，用水量按50L/D人计算，则排水量为40L/D人计算，则船舶</w:t>
      </w:r>
      <w:r>
        <w:rPr>
          <w:rFonts w:hint="default" w:ascii="Times New Roman" w:hAnsi="Times New Roman" w:eastAsia="宋体" w:cs="Times New Roman"/>
          <w:color w:val="auto"/>
          <w:lang w:eastAsia="zh-CN"/>
        </w:rPr>
        <w:t>员工</w:t>
      </w:r>
      <w:r>
        <w:rPr>
          <w:rFonts w:hint="default" w:ascii="Times New Roman" w:hAnsi="Times New Roman" w:eastAsia="宋体" w:cs="Times New Roman"/>
          <w:color w:val="auto"/>
          <w:lang w:val="en-US" w:eastAsia="zh-CN"/>
        </w:rPr>
        <w:t>生活污水的产生量为0.72t/d（216t/a）。</w:t>
      </w:r>
      <w:r>
        <w:rPr>
          <w:rFonts w:hint="default" w:ascii="Times New Roman" w:hAnsi="Times New Roman" w:eastAsia="宋体" w:cs="Times New Roman"/>
          <w:color w:val="auto"/>
          <w:sz w:val="24"/>
          <w:szCs w:val="24"/>
          <w:u w:val="none"/>
          <w:lang w:val="en-US"/>
        </w:rPr>
        <w:t>主要污染物为COD、SS、氨氮，产生浓度分别为350mg/L、150mg/L、30mg/L</w:t>
      </w:r>
      <w:r>
        <w:rPr>
          <w:rFonts w:hint="default" w:ascii="Times New Roman" w:hAnsi="Times New Roman" w:eastAsia="宋体" w:cs="Times New Roman"/>
          <w:color w:val="auto"/>
          <w:sz w:val="24"/>
          <w:szCs w:val="24"/>
          <w:u w:val="none"/>
          <w:lang w:val="en-US" w:eastAsia="zh-CN"/>
        </w:rPr>
        <w:t>。</w:t>
      </w:r>
    </w:p>
    <w:p w14:paraId="684E9E37">
      <w:pPr>
        <w:pStyle w:val="38"/>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none"/>
        </w:rPr>
        <w:t>舱底油污水</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rPr>
        <w:t>船舶含油废水</w:t>
      </w:r>
      <w:r>
        <w:rPr>
          <w:rFonts w:hint="default" w:ascii="Times New Roman" w:hAnsi="Times New Roman" w:eastAsia="宋体" w:cs="Times New Roman"/>
          <w:color w:val="auto"/>
          <w:lang w:eastAsia="zh-CN"/>
        </w:rPr>
        <w:t>是由于机舱内各种阀件和管路中漏出的水与轮机在运转过程中的润滑油、燃烧油等混合在一起的污油水。</w:t>
      </w:r>
      <w:r>
        <w:rPr>
          <w:rFonts w:hint="default" w:ascii="Times New Roman" w:hAnsi="Times New Roman" w:eastAsia="宋体" w:cs="Times New Roman"/>
          <w:color w:val="auto"/>
          <w:lang w:val="en-US" w:eastAsia="zh-CN"/>
        </w:rPr>
        <w:t>本项目港口停泊的船只均为规模较小的公务船，产生的油污水较小，每天约为0.5t/d。</w:t>
      </w:r>
      <w:r>
        <w:rPr>
          <w:rFonts w:hint="default" w:ascii="Times New Roman" w:hAnsi="Times New Roman" w:eastAsia="宋体" w:cs="Times New Roman"/>
          <w:color w:val="auto"/>
          <w:lang w:eastAsia="zh-CN"/>
        </w:rPr>
        <w:t>船舶机舱水水质较为复杂，它是多种油类的混合物含油量一般在5000mg/L左右，</w:t>
      </w:r>
      <w:r>
        <w:rPr>
          <w:rFonts w:hint="default" w:ascii="Times New Roman" w:hAnsi="Times New Roman" w:eastAsia="宋体" w:cs="Times New Roman"/>
          <w:color w:val="auto"/>
          <w:spacing w:val="4"/>
          <w:lang w:val="en-US" w:eastAsia="zh-CN"/>
        </w:rPr>
        <w:t>船舶含油废水由码头上含油污水箱收集后由有资质单位接收处置</w:t>
      </w:r>
      <w:r>
        <w:rPr>
          <w:rFonts w:hint="default" w:ascii="Times New Roman" w:hAnsi="Times New Roman" w:eastAsia="宋体" w:cs="Times New Roman"/>
          <w:color w:val="auto"/>
          <w:lang w:eastAsia="zh-CN"/>
        </w:rPr>
        <w:t>。</w:t>
      </w:r>
    </w:p>
    <w:p w14:paraId="6C872FF1">
      <w:pPr>
        <w:pStyle w:val="38"/>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eastAsia="zh-CN"/>
        </w:rPr>
        <w:t>根据交通部2015年25号令《中华人民共和国防治船舶污染内河水域环境管理规定》，营运船舶舱底油污水应申请海事部门认可的有资质的船舶污水接收点接收处理，生活污水上岸依托港区或区域污水处理厂处理，不得在航道内随意排放未经处理的船舶舱底油污水和船舶生活污水。</w:t>
      </w:r>
      <w:r>
        <w:rPr>
          <w:rFonts w:hint="default" w:ascii="Times New Roman" w:hAnsi="Times New Roman" w:eastAsia="宋体" w:cs="Times New Roman"/>
          <w:color w:val="auto"/>
          <w:sz w:val="24"/>
          <w:szCs w:val="24"/>
          <w:u w:val="none"/>
          <w:lang w:val="en-US" w:eastAsia="zh-CN"/>
        </w:rPr>
        <w:t>本项目来港船只产生污水在船上暂存，进港后均统一交由由具有专业资质的接收船接收。</w:t>
      </w:r>
    </w:p>
    <w:p w14:paraId="3E7E8977">
      <w:pPr>
        <w:pStyle w:val="38"/>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营运期海事部门应加强对航道内船舶污水的管理，只要管理到位，船舶污水基本不会对湘江水环境造成污染影响。</w:t>
      </w:r>
    </w:p>
    <w:p w14:paraId="0EA1EB42">
      <w:pPr>
        <w:pStyle w:val="38"/>
        <w:ind w:firstLine="480"/>
        <w:rPr>
          <w:rFonts w:hint="default" w:ascii="Times New Roman" w:hAnsi="Times New Roman" w:eastAsia="宋体" w:cs="Times New Roman"/>
          <w:bCs/>
          <w:color w:val="auto"/>
          <w:u w:val="none"/>
        </w:rPr>
      </w:pPr>
      <w:r>
        <w:rPr>
          <w:rFonts w:hint="default" w:ascii="Times New Roman" w:hAnsi="Times New Roman" w:eastAsia="宋体" w:cs="Times New Roman"/>
          <w:bCs/>
          <w:color w:val="auto"/>
          <w:u w:val="none"/>
        </w:rPr>
        <w:t>本项目废水类别、污染物及污染治理措施见表</w:t>
      </w:r>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eastAsia="zh-CN"/>
        </w:rPr>
        <w:t>2</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eastAsia="zh-CN"/>
        </w:rPr>
        <w:t>1</w:t>
      </w:r>
      <w:r>
        <w:rPr>
          <w:rFonts w:hint="default" w:ascii="Times New Roman" w:hAnsi="Times New Roman" w:eastAsia="宋体" w:cs="Times New Roman"/>
          <w:bCs/>
          <w:color w:val="auto"/>
          <w:u w:val="none"/>
        </w:rPr>
        <w:t>。</w:t>
      </w:r>
    </w:p>
    <w:p w14:paraId="79CBA88C">
      <w:pPr>
        <w:pStyle w:val="40"/>
        <w:rPr>
          <w:rFonts w:hint="default" w:ascii="Times New Roman" w:hAnsi="Times New Roman" w:eastAsia="宋体" w:cs="Times New Roman"/>
          <w:color w:val="auto"/>
          <w:u w:val="single"/>
        </w:rPr>
      </w:pPr>
      <w:r>
        <w:rPr>
          <w:rFonts w:hint="default" w:cs="Times New Roman"/>
          <w:color w:val="auto"/>
          <w:sz w:val="24"/>
          <w:szCs w:val="24"/>
          <w:lang w:val="en-US" w:eastAsia="zh-CN"/>
        </w:rPr>
        <w:t>表5.2-1  本项目废水类别、污染物及污染治理措施信息表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672"/>
        <w:gridCol w:w="657"/>
        <w:gridCol w:w="585"/>
        <w:gridCol w:w="873"/>
        <w:gridCol w:w="844"/>
        <w:gridCol w:w="844"/>
        <w:gridCol w:w="686"/>
        <w:gridCol w:w="902"/>
        <w:gridCol w:w="1525"/>
      </w:tblGrid>
      <w:tr w14:paraId="23FE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restart"/>
            <w:noWrap w:val="0"/>
            <w:vAlign w:val="center"/>
          </w:tcPr>
          <w:p w14:paraId="481A7A13">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废水类别</w:t>
            </w:r>
          </w:p>
        </w:tc>
        <w:tc>
          <w:tcPr>
            <w:tcW w:w="690" w:type="dxa"/>
            <w:vMerge w:val="restart"/>
            <w:noWrap w:val="0"/>
            <w:vAlign w:val="center"/>
          </w:tcPr>
          <w:p w14:paraId="27205B60">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污染物种类</w:t>
            </w:r>
          </w:p>
        </w:tc>
        <w:tc>
          <w:tcPr>
            <w:tcW w:w="675" w:type="dxa"/>
            <w:vMerge w:val="restart"/>
            <w:noWrap w:val="0"/>
            <w:vAlign w:val="center"/>
          </w:tcPr>
          <w:p w14:paraId="30BA692A">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排放去向</w:t>
            </w:r>
          </w:p>
        </w:tc>
        <w:tc>
          <w:tcPr>
            <w:tcW w:w="600" w:type="dxa"/>
            <w:vMerge w:val="restart"/>
            <w:noWrap w:val="0"/>
            <w:vAlign w:val="center"/>
          </w:tcPr>
          <w:p w14:paraId="06D710FF">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排放规律</w:t>
            </w:r>
          </w:p>
        </w:tc>
        <w:tc>
          <w:tcPr>
            <w:tcW w:w="2640" w:type="dxa"/>
            <w:gridSpan w:val="3"/>
            <w:noWrap w:val="0"/>
            <w:vAlign w:val="center"/>
          </w:tcPr>
          <w:p w14:paraId="5AF4F988">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污染治理设施</w:t>
            </w:r>
          </w:p>
        </w:tc>
        <w:tc>
          <w:tcPr>
            <w:tcW w:w="705" w:type="dxa"/>
            <w:vMerge w:val="restart"/>
            <w:noWrap w:val="0"/>
            <w:vAlign w:val="center"/>
          </w:tcPr>
          <w:p w14:paraId="0DDFEB24">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排放口编号</w:t>
            </w:r>
          </w:p>
        </w:tc>
        <w:tc>
          <w:tcPr>
            <w:tcW w:w="930" w:type="dxa"/>
            <w:vMerge w:val="restart"/>
            <w:noWrap w:val="0"/>
            <w:vAlign w:val="center"/>
          </w:tcPr>
          <w:p w14:paraId="70535D7D">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排放口设置是否符合要求</w:t>
            </w:r>
          </w:p>
        </w:tc>
        <w:tc>
          <w:tcPr>
            <w:tcW w:w="1577" w:type="dxa"/>
            <w:vMerge w:val="restart"/>
            <w:noWrap w:val="0"/>
            <w:vAlign w:val="center"/>
          </w:tcPr>
          <w:p w14:paraId="26725AC6">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排放口类型</w:t>
            </w:r>
          </w:p>
        </w:tc>
      </w:tr>
      <w:tr w14:paraId="3517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noWrap w:val="0"/>
            <w:vAlign w:val="center"/>
          </w:tcPr>
          <w:p w14:paraId="34138124">
            <w:pPr>
              <w:pStyle w:val="41"/>
              <w:rPr>
                <w:rFonts w:hint="default" w:ascii="Times New Roman" w:hAnsi="Times New Roman" w:eastAsia="宋体" w:cs="Times New Roman"/>
                <w:b/>
                <w:bCs/>
                <w:color w:val="auto"/>
                <w:kern w:val="2"/>
                <w:sz w:val="21"/>
                <w:szCs w:val="21"/>
                <w:u w:val="none"/>
              </w:rPr>
            </w:pPr>
          </w:p>
        </w:tc>
        <w:tc>
          <w:tcPr>
            <w:tcW w:w="690" w:type="dxa"/>
            <w:vMerge w:val="continue"/>
            <w:noWrap w:val="0"/>
            <w:vAlign w:val="center"/>
          </w:tcPr>
          <w:p w14:paraId="5377B279">
            <w:pPr>
              <w:pStyle w:val="41"/>
              <w:rPr>
                <w:rFonts w:hint="default" w:ascii="Times New Roman" w:hAnsi="Times New Roman" w:eastAsia="宋体" w:cs="Times New Roman"/>
                <w:b/>
                <w:bCs/>
                <w:color w:val="auto"/>
                <w:kern w:val="2"/>
                <w:sz w:val="21"/>
                <w:szCs w:val="21"/>
                <w:u w:val="none"/>
              </w:rPr>
            </w:pPr>
          </w:p>
        </w:tc>
        <w:tc>
          <w:tcPr>
            <w:tcW w:w="675" w:type="dxa"/>
            <w:vMerge w:val="continue"/>
            <w:noWrap w:val="0"/>
            <w:vAlign w:val="center"/>
          </w:tcPr>
          <w:p w14:paraId="68C3427A">
            <w:pPr>
              <w:pStyle w:val="41"/>
              <w:rPr>
                <w:rFonts w:hint="default" w:ascii="Times New Roman" w:hAnsi="Times New Roman" w:eastAsia="宋体" w:cs="Times New Roman"/>
                <w:b/>
                <w:bCs/>
                <w:color w:val="auto"/>
                <w:kern w:val="2"/>
                <w:sz w:val="21"/>
                <w:szCs w:val="21"/>
                <w:u w:val="none"/>
              </w:rPr>
            </w:pPr>
          </w:p>
        </w:tc>
        <w:tc>
          <w:tcPr>
            <w:tcW w:w="600" w:type="dxa"/>
            <w:vMerge w:val="continue"/>
            <w:noWrap w:val="0"/>
            <w:vAlign w:val="center"/>
          </w:tcPr>
          <w:p w14:paraId="4055DE36">
            <w:pPr>
              <w:pStyle w:val="41"/>
              <w:rPr>
                <w:rFonts w:hint="default" w:ascii="Times New Roman" w:hAnsi="Times New Roman" w:eastAsia="宋体" w:cs="Times New Roman"/>
                <w:b/>
                <w:bCs/>
                <w:color w:val="auto"/>
                <w:kern w:val="2"/>
                <w:sz w:val="21"/>
                <w:szCs w:val="21"/>
                <w:u w:val="none"/>
              </w:rPr>
            </w:pPr>
          </w:p>
        </w:tc>
        <w:tc>
          <w:tcPr>
            <w:tcW w:w="900" w:type="dxa"/>
            <w:noWrap w:val="0"/>
            <w:vAlign w:val="center"/>
          </w:tcPr>
          <w:p w14:paraId="78BB9EA5">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污染治理设施编号</w:t>
            </w:r>
          </w:p>
        </w:tc>
        <w:tc>
          <w:tcPr>
            <w:tcW w:w="870" w:type="dxa"/>
            <w:noWrap w:val="0"/>
            <w:vAlign w:val="center"/>
          </w:tcPr>
          <w:p w14:paraId="07BFAA07">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污染治理设施名称</w:t>
            </w:r>
          </w:p>
        </w:tc>
        <w:tc>
          <w:tcPr>
            <w:tcW w:w="870" w:type="dxa"/>
            <w:noWrap w:val="0"/>
            <w:vAlign w:val="center"/>
          </w:tcPr>
          <w:p w14:paraId="1FC33FEC">
            <w:pPr>
              <w:pStyle w:val="41"/>
              <w:rPr>
                <w:rFonts w:hint="default" w:ascii="Times New Roman" w:hAnsi="Times New Roman" w:eastAsia="宋体" w:cs="Times New Roman"/>
                <w:b w:val="0"/>
                <w:bCs w:val="0"/>
                <w:color w:val="auto"/>
                <w:kern w:val="2"/>
                <w:sz w:val="21"/>
                <w:szCs w:val="21"/>
                <w:u w:val="none"/>
              </w:rPr>
            </w:pPr>
            <w:r>
              <w:rPr>
                <w:rFonts w:hint="default" w:ascii="Times New Roman" w:hAnsi="Times New Roman" w:eastAsia="宋体" w:cs="Times New Roman"/>
                <w:b w:val="0"/>
                <w:bCs w:val="0"/>
                <w:color w:val="auto"/>
                <w:kern w:val="2"/>
                <w:sz w:val="21"/>
                <w:szCs w:val="21"/>
                <w:u w:val="none"/>
              </w:rPr>
              <w:t>污染治理设施工艺</w:t>
            </w:r>
          </w:p>
        </w:tc>
        <w:tc>
          <w:tcPr>
            <w:tcW w:w="705" w:type="dxa"/>
            <w:vMerge w:val="continue"/>
            <w:noWrap w:val="0"/>
            <w:vAlign w:val="center"/>
          </w:tcPr>
          <w:p w14:paraId="11615CFD">
            <w:pPr>
              <w:pStyle w:val="41"/>
              <w:rPr>
                <w:rFonts w:hint="default" w:ascii="Times New Roman" w:hAnsi="Times New Roman" w:eastAsia="宋体" w:cs="Times New Roman"/>
                <w:color w:val="auto"/>
                <w:kern w:val="2"/>
                <w:sz w:val="21"/>
                <w:szCs w:val="21"/>
                <w:u w:val="single"/>
              </w:rPr>
            </w:pPr>
          </w:p>
        </w:tc>
        <w:tc>
          <w:tcPr>
            <w:tcW w:w="930" w:type="dxa"/>
            <w:vMerge w:val="continue"/>
            <w:noWrap w:val="0"/>
            <w:vAlign w:val="center"/>
          </w:tcPr>
          <w:p w14:paraId="42938E90">
            <w:pPr>
              <w:pStyle w:val="41"/>
              <w:rPr>
                <w:rFonts w:hint="default" w:ascii="Times New Roman" w:hAnsi="Times New Roman" w:eastAsia="宋体" w:cs="Times New Roman"/>
                <w:color w:val="auto"/>
                <w:kern w:val="2"/>
                <w:sz w:val="21"/>
                <w:szCs w:val="21"/>
                <w:u w:val="single"/>
              </w:rPr>
            </w:pPr>
          </w:p>
        </w:tc>
        <w:tc>
          <w:tcPr>
            <w:tcW w:w="1577" w:type="dxa"/>
            <w:vMerge w:val="continue"/>
            <w:noWrap w:val="0"/>
            <w:vAlign w:val="center"/>
          </w:tcPr>
          <w:p w14:paraId="31A57E7D">
            <w:pPr>
              <w:pStyle w:val="41"/>
              <w:rPr>
                <w:rFonts w:hint="default" w:ascii="Times New Roman" w:hAnsi="Times New Roman" w:eastAsia="宋体" w:cs="Times New Roman"/>
                <w:color w:val="auto"/>
                <w:kern w:val="2"/>
                <w:sz w:val="21"/>
                <w:szCs w:val="21"/>
                <w:u w:val="single"/>
              </w:rPr>
            </w:pPr>
          </w:p>
        </w:tc>
      </w:tr>
      <w:tr w14:paraId="7F1A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noWrap w:val="0"/>
            <w:vAlign w:val="center"/>
          </w:tcPr>
          <w:p w14:paraId="6781D253">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lang w:val="en-US" w:eastAsia="zh-CN"/>
              </w:rPr>
              <w:t>趸船</w:t>
            </w:r>
            <w:r>
              <w:rPr>
                <w:rFonts w:hint="default" w:ascii="Times New Roman" w:hAnsi="Times New Roman" w:eastAsia="宋体" w:cs="Times New Roman"/>
                <w:color w:val="auto"/>
                <w:kern w:val="2"/>
                <w:sz w:val="21"/>
                <w:szCs w:val="21"/>
                <w:u w:val="none"/>
              </w:rPr>
              <w:t>员工生活污水</w:t>
            </w:r>
          </w:p>
        </w:tc>
        <w:tc>
          <w:tcPr>
            <w:tcW w:w="690" w:type="dxa"/>
            <w:noWrap w:val="0"/>
            <w:vAlign w:val="center"/>
          </w:tcPr>
          <w:p w14:paraId="58CE75C3">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COD</w:t>
            </w:r>
            <w:r>
              <w:rPr>
                <w:rFonts w:hint="default" w:ascii="Times New Roman" w:hAnsi="Times New Roman" w:eastAsia="宋体" w:cs="Times New Roman"/>
                <w:color w:val="auto"/>
                <w:kern w:val="2"/>
                <w:sz w:val="21"/>
                <w:szCs w:val="21"/>
                <w:u w:val="none"/>
                <w:vertAlign w:val="subscript"/>
                <w:lang w:eastAsia="zh-CN"/>
              </w:rPr>
              <w:t>C</w:t>
            </w:r>
            <w:r>
              <w:rPr>
                <w:rFonts w:hint="default" w:ascii="Times New Roman" w:hAnsi="Times New Roman" w:eastAsia="宋体" w:cs="Times New Roman"/>
                <w:color w:val="auto"/>
                <w:kern w:val="2"/>
                <w:sz w:val="21"/>
                <w:szCs w:val="21"/>
                <w:u w:val="none"/>
                <w:vertAlign w:val="subscript"/>
              </w:rPr>
              <w:t>r</w:t>
            </w:r>
            <w:r>
              <w:rPr>
                <w:rFonts w:hint="default" w:ascii="Times New Roman" w:hAnsi="Times New Roman" w:eastAsia="宋体" w:cs="Times New Roman"/>
                <w:color w:val="auto"/>
                <w:kern w:val="2"/>
                <w:sz w:val="21"/>
                <w:szCs w:val="21"/>
                <w:u w:val="none"/>
              </w:rPr>
              <w:t>、SS、氨氮</w:t>
            </w:r>
          </w:p>
        </w:tc>
        <w:tc>
          <w:tcPr>
            <w:tcW w:w="675" w:type="dxa"/>
            <w:noWrap w:val="0"/>
            <w:vAlign w:val="center"/>
          </w:tcPr>
          <w:p w14:paraId="633664A4">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区域林地回用</w:t>
            </w:r>
          </w:p>
        </w:tc>
        <w:tc>
          <w:tcPr>
            <w:tcW w:w="600" w:type="dxa"/>
            <w:noWrap w:val="0"/>
            <w:vAlign w:val="center"/>
          </w:tcPr>
          <w:p w14:paraId="4A319576">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sz w:val="21"/>
                <w:szCs w:val="21"/>
                <w:u w:val="none"/>
                <w:lang w:val="en-US" w:eastAsia="zh-CN"/>
              </w:rPr>
              <w:t>不外排</w:t>
            </w:r>
          </w:p>
        </w:tc>
        <w:tc>
          <w:tcPr>
            <w:tcW w:w="900" w:type="dxa"/>
            <w:noWrap w:val="0"/>
            <w:vAlign w:val="center"/>
          </w:tcPr>
          <w:p w14:paraId="17792B67">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1</w:t>
            </w:r>
          </w:p>
        </w:tc>
        <w:tc>
          <w:tcPr>
            <w:tcW w:w="870" w:type="dxa"/>
            <w:noWrap w:val="0"/>
            <w:vAlign w:val="center"/>
          </w:tcPr>
          <w:p w14:paraId="3A934EB2">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生活污水箱</w:t>
            </w:r>
          </w:p>
        </w:tc>
        <w:tc>
          <w:tcPr>
            <w:tcW w:w="870" w:type="dxa"/>
            <w:noWrap w:val="0"/>
            <w:vAlign w:val="center"/>
          </w:tcPr>
          <w:p w14:paraId="00F057B6">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lang w:eastAsia="zh-CN"/>
              </w:rPr>
              <w:t>沉淀</w:t>
            </w:r>
          </w:p>
        </w:tc>
        <w:tc>
          <w:tcPr>
            <w:tcW w:w="705" w:type="dxa"/>
            <w:noWrap w:val="0"/>
            <w:vAlign w:val="center"/>
          </w:tcPr>
          <w:p w14:paraId="04B1B4AB">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val="en-US" w:eastAsia="zh-CN"/>
              </w:rPr>
              <w:t>/</w:t>
            </w:r>
          </w:p>
        </w:tc>
        <w:tc>
          <w:tcPr>
            <w:tcW w:w="930" w:type="dxa"/>
            <w:noWrap w:val="0"/>
            <w:vAlign w:val="center"/>
          </w:tcPr>
          <w:p w14:paraId="3801696C">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√是</w:t>
            </w:r>
          </w:p>
          <w:p w14:paraId="649A3ECF">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sym w:font="Wingdings 2" w:char="00A3"/>
            </w:r>
            <w:r>
              <w:rPr>
                <w:rFonts w:hint="default" w:ascii="Times New Roman" w:hAnsi="Times New Roman" w:eastAsia="宋体" w:cs="Times New Roman"/>
                <w:color w:val="auto"/>
                <w:kern w:val="2"/>
                <w:sz w:val="21"/>
                <w:szCs w:val="21"/>
                <w:u w:val="none"/>
              </w:rPr>
              <w:t>否</w:t>
            </w:r>
          </w:p>
        </w:tc>
        <w:tc>
          <w:tcPr>
            <w:tcW w:w="1577" w:type="dxa"/>
            <w:noWrap w:val="0"/>
            <w:vAlign w:val="center"/>
          </w:tcPr>
          <w:p w14:paraId="317FB8A6">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kern w:val="2"/>
                <w:sz w:val="21"/>
                <w:szCs w:val="21"/>
                <w:u w:val="none"/>
              </w:rPr>
              <w:t>√</w:t>
            </w:r>
            <w:r>
              <w:rPr>
                <w:rFonts w:hint="default" w:ascii="Times New Roman" w:hAnsi="Times New Roman" w:eastAsia="宋体" w:cs="Times New Roman"/>
                <w:color w:val="auto"/>
                <w:sz w:val="21"/>
                <w:szCs w:val="21"/>
                <w:u w:val="none"/>
              </w:rPr>
              <w:t>企业总排</w:t>
            </w:r>
          </w:p>
          <w:p w14:paraId="47B02CDB">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雨水排放</w:t>
            </w:r>
          </w:p>
          <w:p w14:paraId="35392C14">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清净下水排放</w:t>
            </w:r>
          </w:p>
          <w:p w14:paraId="7BB0E3B5">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温排水排放</w:t>
            </w:r>
          </w:p>
          <w:p w14:paraId="5F98D82B">
            <w:pPr>
              <w:pStyle w:val="41"/>
              <w:jc w:val="both"/>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车间或车间处理口设施排放</w:t>
            </w:r>
          </w:p>
        </w:tc>
      </w:tr>
      <w:tr w14:paraId="60D1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noWrap w:val="0"/>
            <w:vAlign w:val="center"/>
          </w:tcPr>
          <w:p w14:paraId="220D2A46">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船舶生活</w:t>
            </w:r>
            <w:r>
              <w:rPr>
                <w:rFonts w:hint="default" w:ascii="Times New Roman" w:hAnsi="Times New Roman" w:eastAsia="宋体" w:cs="Times New Roman"/>
                <w:color w:val="auto"/>
                <w:kern w:val="2"/>
                <w:sz w:val="21"/>
                <w:szCs w:val="21"/>
                <w:u w:val="none"/>
                <w:lang w:eastAsia="zh-CN"/>
              </w:rPr>
              <w:t>废</w:t>
            </w:r>
            <w:r>
              <w:rPr>
                <w:rFonts w:hint="default" w:ascii="Times New Roman" w:hAnsi="Times New Roman" w:eastAsia="宋体" w:cs="Times New Roman"/>
                <w:color w:val="auto"/>
                <w:kern w:val="2"/>
                <w:sz w:val="21"/>
                <w:szCs w:val="21"/>
                <w:u w:val="none"/>
              </w:rPr>
              <w:t>水</w:t>
            </w:r>
          </w:p>
        </w:tc>
        <w:tc>
          <w:tcPr>
            <w:tcW w:w="690" w:type="dxa"/>
            <w:noWrap w:val="0"/>
            <w:vAlign w:val="center"/>
          </w:tcPr>
          <w:p w14:paraId="051C46DC">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COD</w:t>
            </w:r>
            <w:r>
              <w:rPr>
                <w:rFonts w:hint="default" w:ascii="Times New Roman" w:hAnsi="Times New Roman" w:eastAsia="宋体" w:cs="Times New Roman"/>
                <w:color w:val="auto"/>
                <w:kern w:val="2"/>
                <w:sz w:val="21"/>
                <w:szCs w:val="21"/>
                <w:u w:val="none"/>
                <w:vertAlign w:val="subscript"/>
                <w:lang w:eastAsia="zh-CN"/>
              </w:rPr>
              <w:t>C</w:t>
            </w:r>
            <w:r>
              <w:rPr>
                <w:rFonts w:hint="default" w:ascii="Times New Roman" w:hAnsi="Times New Roman" w:eastAsia="宋体" w:cs="Times New Roman"/>
                <w:color w:val="auto"/>
                <w:kern w:val="2"/>
                <w:sz w:val="21"/>
                <w:szCs w:val="21"/>
                <w:u w:val="none"/>
                <w:vertAlign w:val="subscript"/>
              </w:rPr>
              <w:t>r</w:t>
            </w:r>
            <w:r>
              <w:rPr>
                <w:rFonts w:hint="default" w:ascii="Times New Roman" w:hAnsi="Times New Roman" w:eastAsia="宋体" w:cs="Times New Roman"/>
                <w:color w:val="auto"/>
                <w:kern w:val="2"/>
                <w:sz w:val="21"/>
                <w:szCs w:val="21"/>
                <w:u w:val="none"/>
              </w:rPr>
              <w:t>、SS、氨氮</w:t>
            </w:r>
          </w:p>
        </w:tc>
        <w:tc>
          <w:tcPr>
            <w:tcW w:w="675" w:type="dxa"/>
            <w:noWrap w:val="0"/>
            <w:vAlign w:val="center"/>
          </w:tcPr>
          <w:p w14:paraId="0B3D4469">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lang w:val="en-US" w:eastAsia="zh-CN"/>
              </w:rPr>
              <w:t>区域林地回用</w:t>
            </w:r>
          </w:p>
        </w:tc>
        <w:tc>
          <w:tcPr>
            <w:tcW w:w="600" w:type="dxa"/>
            <w:noWrap w:val="0"/>
            <w:vAlign w:val="center"/>
          </w:tcPr>
          <w:p w14:paraId="52CF7556">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sz w:val="21"/>
                <w:szCs w:val="21"/>
                <w:u w:val="none"/>
                <w:lang w:val="en-US" w:eastAsia="zh-CN"/>
              </w:rPr>
              <w:t>不外排</w:t>
            </w:r>
          </w:p>
        </w:tc>
        <w:tc>
          <w:tcPr>
            <w:tcW w:w="900" w:type="dxa"/>
            <w:noWrap w:val="0"/>
            <w:vAlign w:val="center"/>
          </w:tcPr>
          <w:p w14:paraId="07125404">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1</w:t>
            </w:r>
          </w:p>
        </w:tc>
        <w:tc>
          <w:tcPr>
            <w:tcW w:w="870" w:type="dxa"/>
            <w:noWrap w:val="0"/>
            <w:vAlign w:val="center"/>
          </w:tcPr>
          <w:p w14:paraId="21F57BA8">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val="en-US" w:eastAsia="zh-CN"/>
              </w:rPr>
              <w:t>化粪池</w:t>
            </w:r>
          </w:p>
        </w:tc>
        <w:tc>
          <w:tcPr>
            <w:tcW w:w="870" w:type="dxa"/>
            <w:noWrap w:val="0"/>
            <w:vAlign w:val="center"/>
          </w:tcPr>
          <w:p w14:paraId="6444BE27">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lang w:eastAsia="zh-CN"/>
              </w:rPr>
              <w:t>沉淀</w:t>
            </w:r>
          </w:p>
        </w:tc>
        <w:tc>
          <w:tcPr>
            <w:tcW w:w="705" w:type="dxa"/>
            <w:noWrap w:val="0"/>
            <w:vAlign w:val="center"/>
          </w:tcPr>
          <w:p w14:paraId="74739ED7">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val="en-US" w:eastAsia="zh-CN"/>
              </w:rPr>
              <w:t>/</w:t>
            </w:r>
          </w:p>
        </w:tc>
        <w:tc>
          <w:tcPr>
            <w:tcW w:w="930" w:type="dxa"/>
            <w:noWrap w:val="0"/>
            <w:vAlign w:val="center"/>
          </w:tcPr>
          <w:p w14:paraId="7C6316FA">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√是</w:t>
            </w:r>
          </w:p>
          <w:p w14:paraId="7E6E457F">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sym w:font="Wingdings 2" w:char="00A3"/>
            </w:r>
            <w:r>
              <w:rPr>
                <w:rFonts w:hint="default" w:ascii="Times New Roman" w:hAnsi="Times New Roman" w:eastAsia="宋体" w:cs="Times New Roman"/>
                <w:color w:val="auto"/>
                <w:kern w:val="2"/>
                <w:sz w:val="21"/>
                <w:szCs w:val="21"/>
                <w:u w:val="none"/>
              </w:rPr>
              <w:t>否</w:t>
            </w:r>
          </w:p>
        </w:tc>
        <w:tc>
          <w:tcPr>
            <w:tcW w:w="1577" w:type="dxa"/>
            <w:noWrap w:val="0"/>
            <w:vAlign w:val="center"/>
          </w:tcPr>
          <w:p w14:paraId="113B4635">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kern w:val="2"/>
                <w:sz w:val="21"/>
                <w:szCs w:val="21"/>
                <w:u w:val="none"/>
              </w:rPr>
              <w:t>√</w:t>
            </w:r>
            <w:r>
              <w:rPr>
                <w:rFonts w:hint="default" w:ascii="Times New Roman" w:hAnsi="Times New Roman" w:eastAsia="宋体" w:cs="Times New Roman"/>
                <w:color w:val="auto"/>
                <w:sz w:val="21"/>
                <w:szCs w:val="21"/>
                <w:u w:val="none"/>
              </w:rPr>
              <w:t>企业总排</w:t>
            </w:r>
          </w:p>
          <w:p w14:paraId="082DD1CF">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雨水排放</w:t>
            </w:r>
          </w:p>
          <w:p w14:paraId="1C74939B">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清净下水排放</w:t>
            </w:r>
          </w:p>
          <w:p w14:paraId="0976B389">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温排水排放</w:t>
            </w:r>
          </w:p>
          <w:p w14:paraId="2439B34B">
            <w:pPr>
              <w:pStyle w:val="41"/>
              <w:jc w:val="both"/>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车间或车间处理口设施排放</w:t>
            </w:r>
          </w:p>
        </w:tc>
      </w:tr>
      <w:tr w14:paraId="1D0C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noWrap w:val="0"/>
            <w:vAlign w:val="center"/>
          </w:tcPr>
          <w:p w14:paraId="75CB89E7">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船舶含油废水</w:t>
            </w:r>
          </w:p>
        </w:tc>
        <w:tc>
          <w:tcPr>
            <w:tcW w:w="690" w:type="dxa"/>
            <w:noWrap w:val="0"/>
            <w:vAlign w:val="center"/>
          </w:tcPr>
          <w:p w14:paraId="0E4B198A">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石油类</w:t>
            </w:r>
          </w:p>
        </w:tc>
        <w:tc>
          <w:tcPr>
            <w:tcW w:w="675" w:type="dxa"/>
            <w:noWrap w:val="0"/>
            <w:vAlign w:val="center"/>
          </w:tcPr>
          <w:p w14:paraId="0239DEBE">
            <w:pPr>
              <w:pStyle w:val="41"/>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2"/>
                <w:sz w:val="21"/>
                <w:szCs w:val="21"/>
                <w:u w:val="none"/>
                <w:lang w:val="en-US"/>
              </w:rPr>
              <w:t>具有专业资质的接收船接收</w:t>
            </w:r>
          </w:p>
        </w:tc>
        <w:tc>
          <w:tcPr>
            <w:tcW w:w="600" w:type="dxa"/>
            <w:noWrap w:val="0"/>
            <w:vAlign w:val="center"/>
          </w:tcPr>
          <w:p w14:paraId="34605CC6">
            <w:pPr>
              <w:pStyle w:val="41"/>
              <w:rPr>
                <w:rFonts w:hint="default" w:ascii="Times New Roman" w:hAnsi="Times New Roman" w:eastAsia="宋体" w:cs="Times New Roman"/>
                <w:color w:val="auto"/>
                <w:sz w:val="21"/>
                <w:szCs w:val="21"/>
                <w:u w:val="none"/>
                <w:lang w:val="en-US"/>
              </w:rPr>
            </w:pPr>
            <w:r>
              <w:rPr>
                <w:rFonts w:hint="default" w:ascii="Times New Roman" w:hAnsi="Times New Roman" w:eastAsia="宋体" w:cs="Times New Roman"/>
                <w:color w:val="auto"/>
                <w:sz w:val="21"/>
                <w:szCs w:val="21"/>
                <w:u w:val="none"/>
                <w:lang w:val="en-US"/>
              </w:rPr>
              <w:t>不外排</w:t>
            </w:r>
          </w:p>
        </w:tc>
        <w:tc>
          <w:tcPr>
            <w:tcW w:w="900" w:type="dxa"/>
            <w:noWrap w:val="0"/>
            <w:vAlign w:val="center"/>
          </w:tcPr>
          <w:p w14:paraId="4BAFA1D0">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w:t>
            </w:r>
          </w:p>
        </w:tc>
        <w:tc>
          <w:tcPr>
            <w:tcW w:w="870" w:type="dxa"/>
            <w:noWrap w:val="0"/>
            <w:vAlign w:val="center"/>
          </w:tcPr>
          <w:p w14:paraId="4C964C82">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rPr>
              <w:t>含油污水箱</w:t>
            </w:r>
          </w:p>
        </w:tc>
        <w:tc>
          <w:tcPr>
            <w:tcW w:w="870" w:type="dxa"/>
            <w:noWrap w:val="0"/>
            <w:vAlign w:val="center"/>
          </w:tcPr>
          <w:p w14:paraId="775EF9B3">
            <w:pPr>
              <w:pStyle w:val="41"/>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w:t>
            </w:r>
          </w:p>
        </w:tc>
        <w:tc>
          <w:tcPr>
            <w:tcW w:w="705" w:type="dxa"/>
            <w:noWrap w:val="0"/>
            <w:vAlign w:val="center"/>
          </w:tcPr>
          <w:p w14:paraId="36063910">
            <w:pPr>
              <w:pStyle w:val="41"/>
              <w:rPr>
                <w:rFonts w:hint="default" w:ascii="Times New Roman" w:hAnsi="Times New Roman" w:eastAsia="宋体" w:cs="Times New Roman"/>
                <w:color w:val="auto"/>
                <w:kern w:val="2"/>
                <w:sz w:val="21"/>
                <w:szCs w:val="21"/>
                <w:u w:val="none"/>
                <w:lang w:eastAsia="zh-CN"/>
              </w:rPr>
            </w:pPr>
            <w:r>
              <w:rPr>
                <w:rFonts w:hint="default" w:ascii="Times New Roman" w:hAnsi="Times New Roman" w:eastAsia="宋体" w:cs="Times New Roman"/>
                <w:color w:val="auto"/>
                <w:kern w:val="2"/>
                <w:sz w:val="21"/>
                <w:szCs w:val="21"/>
                <w:u w:val="none"/>
                <w:lang w:eastAsia="zh-CN"/>
              </w:rPr>
              <w:t>/</w:t>
            </w:r>
          </w:p>
        </w:tc>
        <w:tc>
          <w:tcPr>
            <w:tcW w:w="930" w:type="dxa"/>
            <w:noWrap w:val="0"/>
            <w:vAlign w:val="center"/>
          </w:tcPr>
          <w:p w14:paraId="5DE3E9F7">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sym w:font="Wingdings 2" w:char="00A3"/>
            </w:r>
            <w:r>
              <w:rPr>
                <w:rFonts w:hint="default" w:ascii="Times New Roman" w:hAnsi="Times New Roman" w:eastAsia="宋体" w:cs="Times New Roman"/>
                <w:color w:val="auto"/>
                <w:kern w:val="2"/>
                <w:sz w:val="21"/>
                <w:szCs w:val="21"/>
                <w:u w:val="none"/>
              </w:rPr>
              <w:t>是</w:t>
            </w:r>
          </w:p>
          <w:p w14:paraId="0632474C">
            <w:pPr>
              <w:pStyle w:val="41"/>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sym w:font="Wingdings 2" w:char="00A3"/>
            </w:r>
            <w:r>
              <w:rPr>
                <w:rFonts w:hint="default" w:ascii="Times New Roman" w:hAnsi="Times New Roman" w:eastAsia="宋体" w:cs="Times New Roman"/>
                <w:color w:val="auto"/>
                <w:kern w:val="2"/>
                <w:sz w:val="21"/>
                <w:szCs w:val="21"/>
                <w:u w:val="none"/>
              </w:rPr>
              <w:t>否</w:t>
            </w:r>
          </w:p>
        </w:tc>
        <w:tc>
          <w:tcPr>
            <w:tcW w:w="1577" w:type="dxa"/>
            <w:noWrap w:val="0"/>
            <w:vAlign w:val="center"/>
          </w:tcPr>
          <w:p w14:paraId="302B50FB">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kern w:val="2"/>
                <w:sz w:val="21"/>
                <w:szCs w:val="21"/>
                <w:u w:val="none"/>
              </w:rPr>
              <w:sym w:font="Wingdings 2" w:char="00A3"/>
            </w:r>
            <w:r>
              <w:rPr>
                <w:rFonts w:hint="default" w:ascii="Times New Roman" w:hAnsi="Times New Roman" w:eastAsia="宋体" w:cs="Times New Roman"/>
                <w:color w:val="auto"/>
                <w:sz w:val="21"/>
                <w:szCs w:val="21"/>
                <w:u w:val="none"/>
              </w:rPr>
              <w:t>企业总排</w:t>
            </w:r>
          </w:p>
          <w:p w14:paraId="4FC751D8">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雨水排放</w:t>
            </w:r>
          </w:p>
          <w:p w14:paraId="5BA5A2FA">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清净下水排放</w:t>
            </w:r>
          </w:p>
          <w:p w14:paraId="37D08F32">
            <w:pPr>
              <w:pStyle w:val="41"/>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温排水排放</w:t>
            </w:r>
          </w:p>
          <w:p w14:paraId="7F140737">
            <w:pPr>
              <w:pStyle w:val="41"/>
              <w:jc w:val="both"/>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sz w:val="21"/>
                <w:szCs w:val="21"/>
                <w:u w:val="none"/>
              </w:rPr>
              <w:sym w:font="Wingdings 2" w:char="00A3"/>
            </w:r>
            <w:r>
              <w:rPr>
                <w:rFonts w:hint="default" w:ascii="Times New Roman" w:hAnsi="Times New Roman" w:eastAsia="宋体" w:cs="Times New Roman"/>
                <w:color w:val="auto"/>
                <w:sz w:val="21"/>
                <w:szCs w:val="21"/>
                <w:u w:val="none"/>
              </w:rPr>
              <w:t>车间或车间处理口设施排放</w:t>
            </w:r>
          </w:p>
        </w:tc>
      </w:tr>
    </w:tbl>
    <w:p w14:paraId="08BFFBA9">
      <w:pPr>
        <w:pStyle w:val="40"/>
        <w:keepNext w:val="0"/>
        <w:keepLines w:val="0"/>
        <w:pageBreakBefore w:val="0"/>
        <w:widowControl/>
        <w:kinsoku/>
        <w:wordWrap/>
        <w:overflowPunct/>
        <w:topLinePunct w:val="0"/>
        <w:autoSpaceDE/>
        <w:autoSpaceDN/>
        <w:bidi w:val="0"/>
        <w:adjustRightInd/>
        <w:snapToGrid/>
        <w:spacing w:before="167" w:beforeLines="50"/>
        <w:textAlignment w:val="auto"/>
        <w:rPr>
          <w:rFonts w:hint="default" w:cs="Times New Roman"/>
          <w:color w:val="auto"/>
          <w:sz w:val="24"/>
          <w:szCs w:val="24"/>
          <w:lang w:val="en-US" w:eastAsia="zh-CN"/>
        </w:rPr>
      </w:pPr>
      <w:r>
        <w:rPr>
          <w:rFonts w:hint="default" w:cs="Times New Roman"/>
          <w:color w:val="auto"/>
          <w:sz w:val="24"/>
          <w:szCs w:val="24"/>
          <w:lang w:val="en-US" w:eastAsia="zh-CN"/>
        </w:rPr>
        <w:t>表5.2-2 项目废水污染物排放执行情况表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78"/>
        <w:gridCol w:w="908"/>
        <w:gridCol w:w="3881"/>
        <w:gridCol w:w="1978"/>
      </w:tblGrid>
      <w:tr w14:paraId="4D6E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Merge w:val="restart"/>
            <w:noWrap w:val="0"/>
            <w:vAlign w:val="center"/>
          </w:tcPr>
          <w:p w14:paraId="5481B7FC">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序号</w:t>
            </w:r>
          </w:p>
        </w:tc>
        <w:tc>
          <w:tcPr>
            <w:tcW w:w="1008" w:type="dxa"/>
            <w:vMerge w:val="restart"/>
            <w:noWrap w:val="0"/>
            <w:vAlign w:val="center"/>
          </w:tcPr>
          <w:p w14:paraId="31FAA538">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排放口编号</w:t>
            </w:r>
          </w:p>
        </w:tc>
        <w:tc>
          <w:tcPr>
            <w:tcW w:w="935" w:type="dxa"/>
            <w:vMerge w:val="restart"/>
            <w:noWrap w:val="0"/>
            <w:vAlign w:val="center"/>
          </w:tcPr>
          <w:p w14:paraId="59F3BDE7">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污染物种类</w:t>
            </w:r>
          </w:p>
        </w:tc>
        <w:tc>
          <w:tcPr>
            <w:tcW w:w="6075" w:type="dxa"/>
            <w:gridSpan w:val="2"/>
            <w:noWrap w:val="0"/>
            <w:vAlign w:val="center"/>
          </w:tcPr>
          <w:p w14:paraId="5A5FAD37">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国家或地方污染物排放标准及其他按规定商定的排放协议</w:t>
            </w:r>
          </w:p>
        </w:tc>
      </w:tr>
      <w:tr w14:paraId="4B07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Merge w:val="continue"/>
            <w:noWrap w:val="0"/>
            <w:vAlign w:val="center"/>
          </w:tcPr>
          <w:p w14:paraId="57CA85BF">
            <w:pPr>
              <w:pStyle w:val="41"/>
              <w:rPr>
                <w:rFonts w:hint="default" w:ascii="Times New Roman" w:hAnsi="Times New Roman" w:eastAsia="宋体" w:cs="Times New Roman"/>
                <w:color w:val="auto"/>
                <w:kern w:val="2"/>
                <w:sz w:val="21"/>
                <w:szCs w:val="24"/>
                <w:u w:val="none"/>
              </w:rPr>
            </w:pPr>
          </w:p>
        </w:tc>
        <w:tc>
          <w:tcPr>
            <w:tcW w:w="1008" w:type="dxa"/>
            <w:vMerge w:val="continue"/>
            <w:noWrap w:val="0"/>
            <w:vAlign w:val="center"/>
          </w:tcPr>
          <w:p w14:paraId="079434E1">
            <w:pPr>
              <w:pStyle w:val="41"/>
              <w:rPr>
                <w:rFonts w:hint="default" w:ascii="Times New Roman" w:hAnsi="Times New Roman" w:eastAsia="宋体" w:cs="Times New Roman"/>
                <w:color w:val="auto"/>
                <w:kern w:val="2"/>
                <w:sz w:val="21"/>
                <w:szCs w:val="24"/>
                <w:u w:val="none"/>
              </w:rPr>
            </w:pPr>
          </w:p>
        </w:tc>
        <w:tc>
          <w:tcPr>
            <w:tcW w:w="935" w:type="dxa"/>
            <w:vMerge w:val="continue"/>
            <w:noWrap w:val="0"/>
            <w:vAlign w:val="center"/>
          </w:tcPr>
          <w:p w14:paraId="08F7E552">
            <w:pPr>
              <w:pStyle w:val="41"/>
              <w:rPr>
                <w:rFonts w:hint="default" w:ascii="Times New Roman" w:hAnsi="Times New Roman" w:eastAsia="宋体" w:cs="Times New Roman"/>
                <w:color w:val="auto"/>
                <w:kern w:val="2"/>
                <w:sz w:val="21"/>
                <w:szCs w:val="24"/>
                <w:u w:val="none"/>
              </w:rPr>
            </w:pPr>
          </w:p>
        </w:tc>
        <w:tc>
          <w:tcPr>
            <w:tcW w:w="4027" w:type="dxa"/>
            <w:noWrap w:val="0"/>
            <w:vAlign w:val="center"/>
          </w:tcPr>
          <w:p w14:paraId="515FBE9F">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名称</w:t>
            </w:r>
          </w:p>
        </w:tc>
        <w:tc>
          <w:tcPr>
            <w:tcW w:w="2048" w:type="dxa"/>
            <w:noWrap w:val="0"/>
            <w:vAlign w:val="center"/>
          </w:tcPr>
          <w:p w14:paraId="59F2BAFF">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浓度限值/（mg/L）</w:t>
            </w:r>
          </w:p>
        </w:tc>
      </w:tr>
      <w:tr w14:paraId="3AB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Merge w:val="restart"/>
            <w:noWrap w:val="0"/>
            <w:vAlign w:val="center"/>
          </w:tcPr>
          <w:p w14:paraId="4F6BCD63">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1</w:t>
            </w:r>
          </w:p>
        </w:tc>
        <w:tc>
          <w:tcPr>
            <w:tcW w:w="1008" w:type="dxa"/>
            <w:vMerge w:val="restart"/>
            <w:noWrap w:val="0"/>
            <w:vAlign w:val="center"/>
          </w:tcPr>
          <w:p w14:paraId="3272B518">
            <w:pPr>
              <w:pStyle w:val="41"/>
              <w:rPr>
                <w:rFonts w:hint="default" w:ascii="Times New Roman" w:hAnsi="Times New Roman" w:eastAsia="宋体" w:cs="Times New Roman"/>
                <w:color w:val="auto"/>
                <w:kern w:val="2"/>
                <w:sz w:val="21"/>
                <w:szCs w:val="24"/>
                <w:u w:val="none"/>
                <w:lang w:eastAsia="zh-CN"/>
              </w:rPr>
            </w:pPr>
            <w:r>
              <w:rPr>
                <w:rFonts w:hint="default" w:ascii="Times New Roman" w:hAnsi="Times New Roman" w:eastAsia="宋体" w:cs="Times New Roman"/>
                <w:color w:val="auto"/>
                <w:kern w:val="2"/>
                <w:sz w:val="21"/>
                <w:szCs w:val="24"/>
                <w:u w:val="none"/>
                <w:lang w:val="en-US" w:eastAsia="zh-CN"/>
              </w:rPr>
              <w:t>/</w:t>
            </w:r>
          </w:p>
        </w:tc>
        <w:tc>
          <w:tcPr>
            <w:tcW w:w="935" w:type="dxa"/>
            <w:noWrap w:val="0"/>
            <w:vAlign w:val="center"/>
          </w:tcPr>
          <w:p w14:paraId="485FDD76">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COD</w:t>
            </w:r>
            <w:r>
              <w:rPr>
                <w:rFonts w:hint="default" w:ascii="Times New Roman" w:hAnsi="Times New Roman" w:eastAsia="宋体" w:cs="Times New Roman"/>
                <w:color w:val="auto"/>
                <w:kern w:val="2"/>
                <w:sz w:val="21"/>
                <w:szCs w:val="24"/>
                <w:u w:val="none"/>
                <w:vertAlign w:val="subscript"/>
              </w:rPr>
              <w:t>Cr</w:t>
            </w:r>
          </w:p>
        </w:tc>
        <w:tc>
          <w:tcPr>
            <w:tcW w:w="4027" w:type="dxa"/>
            <w:vMerge w:val="restart"/>
            <w:noWrap w:val="0"/>
            <w:vAlign w:val="center"/>
          </w:tcPr>
          <w:p w14:paraId="1572F6B2">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《污水综合排放标准》（GB8978-1996）表4中的三级标准</w:t>
            </w:r>
          </w:p>
        </w:tc>
        <w:tc>
          <w:tcPr>
            <w:tcW w:w="2048" w:type="dxa"/>
            <w:noWrap w:val="0"/>
            <w:vAlign w:val="center"/>
          </w:tcPr>
          <w:p w14:paraId="536826A1">
            <w:pPr>
              <w:pStyle w:val="41"/>
              <w:rPr>
                <w:rFonts w:hint="default" w:ascii="Times New Roman" w:hAnsi="Times New Roman" w:eastAsia="宋体" w:cs="Times New Roman"/>
                <w:color w:val="auto"/>
                <w:kern w:val="2"/>
                <w:sz w:val="21"/>
                <w:szCs w:val="24"/>
                <w:u w:val="none"/>
                <w:lang w:eastAsia="zh-CN"/>
              </w:rPr>
            </w:pPr>
            <w:r>
              <w:rPr>
                <w:rFonts w:hint="default" w:ascii="Times New Roman" w:hAnsi="Times New Roman" w:eastAsia="宋体" w:cs="Times New Roman"/>
                <w:color w:val="auto"/>
                <w:kern w:val="2"/>
                <w:sz w:val="21"/>
                <w:szCs w:val="24"/>
                <w:u w:val="none"/>
                <w:lang w:eastAsia="zh-CN"/>
              </w:rPr>
              <w:t>500</w:t>
            </w:r>
          </w:p>
        </w:tc>
      </w:tr>
      <w:tr w14:paraId="0301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Merge w:val="continue"/>
            <w:noWrap w:val="0"/>
            <w:vAlign w:val="center"/>
          </w:tcPr>
          <w:p w14:paraId="3FAEF460">
            <w:pPr>
              <w:pStyle w:val="41"/>
              <w:rPr>
                <w:rFonts w:hint="default" w:ascii="Times New Roman" w:hAnsi="Times New Roman" w:eastAsia="宋体" w:cs="Times New Roman"/>
                <w:color w:val="auto"/>
                <w:kern w:val="2"/>
                <w:sz w:val="21"/>
                <w:szCs w:val="24"/>
                <w:u w:val="none"/>
              </w:rPr>
            </w:pPr>
          </w:p>
        </w:tc>
        <w:tc>
          <w:tcPr>
            <w:tcW w:w="1008" w:type="dxa"/>
            <w:vMerge w:val="continue"/>
            <w:noWrap w:val="0"/>
            <w:vAlign w:val="center"/>
          </w:tcPr>
          <w:p w14:paraId="06674750">
            <w:pPr>
              <w:pStyle w:val="41"/>
              <w:rPr>
                <w:rFonts w:hint="default" w:ascii="Times New Roman" w:hAnsi="Times New Roman" w:eastAsia="宋体" w:cs="Times New Roman"/>
                <w:color w:val="auto"/>
                <w:kern w:val="2"/>
                <w:sz w:val="21"/>
                <w:szCs w:val="24"/>
                <w:u w:val="none"/>
              </w:rPr>
            </w:pPr>
          </w:p>
        </w:tc>
        <w:tc>
          <w:tcPr>
            <w:tcW w:w="935" w:type="dxa"/>
            <w:noWrap w:val="0"/>
            <w:vAlign w:val="center"/>
          </w:tcPr>
          <w:p w14:paraId="5FF653A4">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SS</w:t>
            </w:r>
          </w:p>
        </w:tc>
        <w:tc>
          <w:tcPr>
            <w:tcW w:w="4027" w:type="dxa"/>
            <w:vMerge w:val="continue"/>
            <w:noWrap w:val="0"/>
            <w:vAlign w:val="center"/>
          </w:tcPr>
          <w:p w14:paraId="6A378625">
            <w:pPr>
              <w:pStyle w:val="41"/>
              <w:rPr>
                <w:rFonts w:hint="default" w:ascii="Times New Roman" w:hAnsi="Times New Roman" w:eastAsia="宋体" w:cs="Times New Roman"/>
                <w:color w:val="auto"/>
                <w:kern w:val="2"/>
                <w:sz w:val="21"/>
                <w:szCs w:val="24"/>
                <w:u w:val="none"/>
              </w:rPr>
            </w:pPr>
          </w:p>
        </w:tc>
        <w:tc>
          <w:tcPr>
            <w:tcW w:w="2048" w:type="dxa"/>
            <w:noWrap w:val="0"/>
            <w:vAlign w:val="center"/>
          </w:tcPr>
          <w:p w14:paraId="49AD3677">
            <w:pPr>
              <w:pStyle w:val="41"/>
              <w:rPr>
                <w:rFonts w:hint="default" w:ascii="Times New Roman" w:hAnsi="Times New Roman" w:eastAsia="宋体" w:cs="Times New Roman"/>
                <w:color w:val="auto"/>
                <w:kern w:val="2"/>
                <w:sz w:val="21"/>
                <w:szCs w:val="24"/>
                <w:u w:val="none"/>
                <w:lang w:eastAsia="zh-CN"/>
              </w:rPr>
            </w:pPr>
            <w:r>
              <w:rPr>
                <w:rFonts w:hint="default" w:ascii="Times New Roman" w:hAnsi="Times New Roman" w:eastAsia="宋体" w:cs="Times New Roman"/>
                <w:color w:val="auto"/>
                <w:kern w:val="2"/>
                <w:sz w:val="21"/>
                <w:szCs w:val="24"/>
                <w:u w:val="none"/>
                <w:lang w:eastAsia="zh-CN"/>
              </w:rPr>
              <w:t>400</w:t>
            </w:r>
          </w:p>
        </w:tc>
      </w:tr>
      <w:tr w14:paraId="3A42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Merge w:val="continue"/>
            <w:noWrap w:val="0"/>
            <w:vAlign w:val="center"/>
          </w:tcPr>
          <w:p w14:paraId="3E0E2719">
            <w:pPr>
              <w:pStyle w:val="41"/>
              <w:rPr>
                <w:rFonts w:hint="default" w:ascii="Times New Roman" w:hAnsi="Times New Roman" w:eastAsia="宋体" w:cs="Times New Roman"/>
                <w:color w:val="auto"/>
                <w:kern w:val="2"/>
                <w:sz w:val="21"/>
                <w:szCs w:val="24"/>
                <w:u w:val="none"/>
              </w:rPr>
            </w:pPr>
          </w:p>
        </w:tc>
        <w:tc>
          <w:tcPr>
            <w:tcW w:w="1008" w:type="dxa"/>
            <w:vMerge w:val="continue"/>
            <w:noWrap w:val="0"/>
            <w:vAlign w:val="center"/>
          </w:tcPr>
          <w:p w14:paraId="20B184F8">
            <w:pPr>
              <w:pStyle w:val="41"/>
              <w:rPr>
                <w:rFonts w:hint="default" w:ascii="Times New Roman" w:hAnsi="Times New Roman" w:eastAsia="宋体" w:cs="Times New Roman"/>
                <w:color w:val="auto"/>
                <w:kern w:val="2"/>
                <w:sz w:val="21"/>
                <w:szCs w:val="24"/>
                <w:u w:val="none"/>
              </w:rPr>
            </w:pPr>
          </w:p>
        </w:tc>
        <w:tc>
          <w:tcPr>
            <w:tcW w:w="935" w:type="dxa"/>
            <w:noWrap w:val="0"/>
            <w:vAlign w:val="center"/>
          </w:tcPr>
          <w:p w14:paraId="6462A1CA">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氨氮</w:t>
            </w:r>
          </w:p>
        </w:tc>
        <w:tc>
          <w:tcPr>
            <w:tcW w:w="4027" w:type="dxa"/>
            <w:vMerge w:val="continue"/>
            <w:noWrap w:val="0"/>
            <w:vAlign w:val="center"/>
          </w:tcPr>
          <w:p w14:paraId="61E772B3">
            <w:pPr>
              <w:pStyle w:val="41"/>
              <w:rPr>
                <w:rFonts w:hint="default" w:ascii="Times New Roman" w:hAnsi="Times New Roman" w:eastAsia="宋体" w:cs="Times New Roman"/>
                <w:color w:val="auto"/>
                <w:kern w:val="2"/>
                <w:sz w:val="21"/>
                <w:szCs w:val="24"/>
                <w:u w:val="none"/>
              </w:rPr>
            </w:pPr>
          </w:p>
        </w:tc>
        <w:tc>
          <w:tcPr>
            <w:tcW w:w="2048" w:type="dxa"/>
            <w:noWrap w:val="0"/>
            <w:vAlign w:val="center"/>
          </w:tcPr>
          <w:p w14:paraId="126AE165">
            <w:pPr>
              <w:pStyle w:val="41"/>
              <w:rPr>
                <w:rFonts w:hint="default" w:ascii="Times New Roman" w:hAnsi="Times New Roman" w:eastAsia="宋体" w:cs="Times New Roman"/>
                <w:color w:val="auto"/>
                <w:kern w:val="2"/>
                <w:sz w:val="21"/>
                <w:szCs w:val="24"/>
                <w:u w:val="none"/>
                <w:lang w:eastAsia="zh-CN"/>
              </w:rPr>
            </w:pPr>
            <w:r>
              <w:rPr>
                <w:rFonts w:hint="default" w:ascii="Times New Roman" w:hAnsi="Times New Roman" w:eastAsia="宋体" w:cs="Times New Roman"/>
                <w:color w:val="auto"/>
                <w:kern w:val="2"/>
                <w:sz w:val="21"/>
                <w:szCs w:val="24"/>
                <w:u w:val="none"/>
                <w:lang w:eastAsia="zh-CN"/>
              </w:rPr>
              <w:t>30</w:t>
            </w:r>
          </w:p>
        </w:tc>
      </w:tr>
    </w:tbl>
    <w:p w14:paraId="46C4125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采取以上措施后，项目营运期码头员工生活污水、船舶废水均得到合理的处置，对湘江水环境影响较小。</w:t>
      </w:r>
    </w:p>
    <w:p w14:paraId="48CA2254">
      <w:pPr>
        <w:pStyle w:val="9"/>
        <w:pageBreakBefore w:val="0"/>
        <w:kinsoku/>
        <w:wordWrap/>
        <w:overflowPunct/>
        <w:topLinePunct w:val="0"/>
        <w:autoSpaceDE/>
        <w:autoSpaceDN/>
        <w:bidi w:val="0"/>
        <w:adjustRightInd/>
        <w:snapToGrid/>
        <w:spacing w:before="0" w:after="0" w:line="360" w:lineRule="auto"/>
        <w:rPr>
          <w:rFonts w:hint="default" w:ascii="Times New Roman" w:hAnsi="Times New Roman" w:eastAsia="宋体" w:cs="Times New Roman"/>
          <w:color w:val="auto"/>
        </w:rPr>
      </w:pPr>
      <w:bookmarkStart w:id="665" w:name="_Toc5803"/>
      <w:bookmarkStart w:id="666" w:name="_Toc116111709"/>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.2.2大气环境影响分析</w:t>
      </w:r>
      <w:bookmarkEnd w:id="665"/>
      <w:bookmarkEnd w:id="666"/>
    </w:p>
    <w:p w14:paraId="7F69343A">
      <w:pPr>
        <w:pStyle w:val="38"/>
        <w:pageBreakBefore w:val="0"/>
        <w:kinsoku/>
        <w:wordWrap/>
        <w:overflowPunct/>
        <w:topLinePunct w:val="0"/>
        <w:autoSpaceDE/>
        <w:autoSpaceDN/>
        <w:bidi w:val="0"/>
        <w:adjustRightInd/>
        <w:snapToGrid/>
        <w:spacing w:line="360" w:lineRule="auto"/>
        <w:ind w:firstLine="480"/>
        <w:rPr>
          <w:rFonts w:hint="eastAsia" w:ascii="Times New Roman" w:hAnsi="Times New Roman" w:eastAsia="宋体"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）船舶</w:t>
      </w:r>
      <w:r>
        <w:rPr>
          <w:rFonts w:hint="eastAsia" w:cs="Times New Roman"/>
          <w:color w:val="auto"/>
          <w:sz w:val="24"/>
          <w:lang w:val="en-US" w:eastAsia="zh-CN"/>
        </w:rPr>
        <w:t>燃油</w:t>
      </w:r>
      <w:r>
        <w:rPr>
          <w:rFonts w:hint="eastAsia" w:cs="Times New Roman"/>
          <w:color w:val="auto"/>
          <w:sz w:val="24"/>
          <w:lang w:eastAsia="zh-CN"/>
        </w:rPr>
        <w:t>废气</w:t>
      </w:r>
    </w:p>
    <w:p w14:paraId="51023392">
      <w:pPr>
        <w:pStyle w:val="38"/>
        <w:pageBreakBefore w:val="0"/>
        <w:kinsoku/>
        <w:wordWrap/>
        <w:overflowPunct/>
        <w:topLinePunct w:val="0"/>
        <w:autoSpaceDE/>
        <w:autoSpaceDN/>
        <w:bidi w:val="0"/>
        <w:adjustRightInd/>
        <w:snapToGrid/>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码头靠泊的工作船使用柴油作为燃料，发动机燃油废气中主要含有CO、THC、NOx等污染物，靠港作业的船舶大部分处于主机停运状态，耗油较少，只有在靠岸离港的时候才会发动，所以燃油排放的废气量很少，本次评价不做定量分析。同时船舶废气排放源具有间歇性和流动性，且污染物为露天排放，有利于空气的扩散，污染物经大气扩散和稀释后，对局部地区的环境影响较小。</w:t>
      </w:r>
    </w:p>
    <w:p w14:paraId="20382A93">
      <w:pPr>
        <w:pStyle w:val="38"/>
        <w:pageBreakBefore w:val="0"/>
        <w:kinsoku/>
        <w:wordWrap/>
        <w:overflowPunct/>
        <w:topLinePunct w:val="0"/>
        <w:autoSpaceDE/>
        <w:autoSpaceDN/>
        <w:bidi w:val="0"/>
        <w:adjustRightInd/>
        <w:snapToGrid/>
        <w:spacing w:line="360" w:lineRule="auto"/>
        <w:ind w:firstLine="480"/>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食堂油烟</w:t>
      </w:r>
    </w:p>
    <w:p w14:paraId="36223E22">
      <w:pPr>
        <w:pStyle w:val="38"/>
        <w:pageBreakBefore w:val="0"/>
        <w:kinsoku/>
        <w:wordWrap/>
        <w:overflowPunct/>
        <w:topLinePunct w:val="0"/>
        <w:autoSpaceDE/>
        <w:autoSpaceDN/>
        <w:bidi w:val="0"/>
        <w:adjustRightInd/>
        <w:snapToGrid/>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项目在趸船上设置食堂供工作人员用餐，食堂油烟废气经油烟净化器处理达标后通过趸船顶专用烟气通道排放，对环境影响较小。</w:t>
      </w:r>
    </w:p>
    <w:p w14:paraId="272C149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评价结果表明，项目所采取的废气治理措施合理可行，排放的大气污染物均能得到有效治理，能够做到达标排放，对周围地区空气质量影响不明显，不会改变评价范围内的大气环境功能，不会对评价范围内的保护目标造成明显不利影响。</w:t>
      </w:r>
    </w:p>
    <w:p w14:paraId="6544FD34">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bookmarkStart w:id="667" w:name="_Toc18344"/>
      <w:bookmarkStart w:id="668" w:name="_Toc116111710"/>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.2.3声环境影响分析</w:t>
      </w:r>
      <w:bookmarkEnd w:id="667"/>
      <w:bookmarkEnd w:id="668"/>
    </w:p>
    <w:p w14:paraId="2388E4F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1）对周边居民的影响</w:t>
      </w:r>
    </w:p>
    <w:p w14:paraId="7E230C6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本项目营运期噪声污染源主要为</w:t>
      </w:r>
      <w:r>
        <w:rPr>
          <w:rFonts w:hint="default" w:ascii="Times New Roman" w:hAnsi="Times New Roman" w:eastAsia="宋体" w:cs="Times New Roman"/>
          <w:color w:val="auto"/>
          <w:lang w:val="en-US" w:eastAsia="zh-CN"/>
        </w:rPr>
        <w:t>车辆噪声</w:t>
      </w:r>
      <w:r>
        <w:rPr>
          <w:rFonts w:hint="default" w:ascii="Times New Roman" w:hAnsi="Times New Roman" w:eastAsia="宋体" w:cs="Times New Roman"/>
          <w:color w:val="auto"/>
          <w:lang w:eastAsia="zh-CN"/>
        </w:rPr>
        <w:t>，船舶运行噪声，各噪声声级见</w:t>
      </w:r>
      <w:r>
        <w:rPr>
          <w:rFonts w:hint="default" w:ascii="Times New Roman" w:hAnsi="Times New Roman" w:eastAsia="宋体" w:cs="Times New Roman"/>
          <w:color w:val="auto"/>
          <w:lang w:val="en-US" w:eastAsia="zh-CN"/>
        </w:rPr>
        <w:t>下表</w:t>
      </w:r>
      <w:r>
        <w:rPr>
          <w:rFonts w:hint="default" w:ascii="Times New Roman" w:hAnsi="Times New Roman" w:eastAsia="宋体" w:cs="Times New Roman"/>
          <w:color w:val="auto"/>
          <w:lang w:eastAsia="zh-CN"/>
        </w:rPr>
        <w:t>。</w:t>
      </w:r>
    </w:p>
    <w:p w14:paraId="3CD05AD1">
      <w:pPr>
        <w:pStyle w:val="40"/>
        <w:rPr>
          <w:rFonts w:hint="default" w:cs="Times New Roman"/>
          <w:color w:val="auto"/>
          <w:sz w:val="24"/>
          <w:szCs w:val="24"/>
          <w:lang w:val="en-US" w:eastAsia="zh-CN"/>
        </w:rPr>
      </w:pPr>
      <w:r>
        <w:rPr>
          <w:rFonts w:hint="default" w:cs="Times New Roman"/>
          <w:color w:val="auto"/>
          <w:sz w:val="24"/>
          <w:szCs w:val="24"/>
          <w:lang w:val="en-US" w:eastAsia="zh-CN"/>
        </w:rPr>
        <w:t>表5.2-3  项目设备噪声源强 单位：dB（A）</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92"/>
        <w:gridCol w:w="1275"/>
        <w:gridCol w:w="1288"/>
        <w:gridCol w:w="1271"/>
        <w:gridCol w:w="3694"/>
      </w:tblGrid>
      <w:tr w14:paraId="5BD9D1B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2F96E84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编号</w:t>
            </w:r>
          </w:p>
        </w:tc>
        <w:tc>
          <w:tcPr>
            <w:tcW w:w="775" w:type="pct"/>
            <w:noWrap w:val="0"/>
            <w:vAlign w:val="center"/>
          </w:tcPr>
          <w:p w14:paraId="201586EF">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设备名称</w:t>
            </w:r>
          </w:p>
        </w:tc>
        <w:tc>
          <w:tcPr>
            <w:tcW w:w="783" w:type="pct"/>
            <w:noWrap w:val="0"/>
            <w:vAlign w:val="center"/>
          </w:tcPr>
          <w:p w14:paraId="5EEA61E2">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治理前源强</w:t>
            </w:r>
          </w:p>
        </w:tc>
        <w:tc>
          <w:tcPr>
            <w:tcW w:w="773" w:type="pct"/>
            <w:noWrap w:val="0"/>
            <w:vAlign w:val="center"/>
          </w:tcPr>
          <w:p w14:paraId="5E5DF4CF">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治理后源强</w:t>
            </w:r>
          </w:p>
        </w:tc>
        <w:tc>
          <w:tcPr>
            <w:tcW w:w="2246" w:type="pct"/>
            <w:noWrap w:val="0"/>
            <w:vAlign w:val="center"/>
          </w:tcPr>
          <w:p w14:paraId="4187877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拟采取的降噪措施</w:t>
            </w:r>
          </w:p>
        </w:tc>
      </w:tr>
      <w:tr w14:paraId="591CDF8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49EA0E5B">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75" w:type="pct"/>
            <w:noWrap w:val="0"/>
            <w:vAlign w:val="center"/>
          </w:tcPr>
          <w:p w14:paraId="5541C3D4">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进港船舶</w:t>
            </w:r>
          </w:p>
        </w:tc>
        <w:tc>
          <w:tcPr>
            <w:tcW w:w="783" w:type="pct"/>
            <w:noWrap w:val="0"/>
            <w:vAlign w:val="center"/>
          </w:tcPr>
          <w:p w14:paraId="582D181F">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773" w:type="pct"/>
            <w:noWrap w:val="0"/>
            <w:vAlign w:val="center"/>
          </w:tcPr>
          <w:p w14:paraId="060D891E">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2246" w:type="pct"/>
            <w:noWrap w:val="0"/>
            <w:vAlign w:val="center"/>
          </w:tcPr>
          <w:p w14:paraId="507E2E8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加强管理，降低航速，减少鸣笛次数，船舶发动机及排气进行隔声处理</w:t>
            </w:r>
          </w:p>
        </w:tc>
      </w:tr>
      <w:tr w14:paraId="17A3C2F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1" w:type="pct"/>
            <w:noWrap w:val="0"/>
            <w:vAlign w:val="center"/>
          </w:tcPr>
          <w:p w14:paraId="7B83D5D1">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775" w:type="pct"/>
            <w:noWrap w:val="0"/>
            <w:vAlign w:val="center"/>
          </w:tcPr>
          <w:p w14:paraId="6AE965E3">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小型车辆</w:t>
            </w:r>
          </w:p>
        </w:tc>
        <w:tc>
          <w:tcPr>
            <w:tcW w:w="783" w:type="pct"/>
            <w:noWrap w:val="0"/>
            <w:vAlign w:val="center"/>
          </w:tcPr>
          <w:p w14:paraId="40FFA75B">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73" w:type="pct"/>
            <w:noWrap w:val="0"/>
            <w:vAlign w:val="center"/>
          </w:tcPr>
          <w:p w14:paraId="252DB99A">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2246" w:type="pct"/>
            <w:noWrap w:val="0"/>
            <w:vAlign w:val="center"/>
          </w:tcPr>
          <w:p w14:paraId="0E5049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减速慢行、优化卸货装货时间段</w:t>
            </w:r>
          </w:p>
        </w:tc>
      </w:tr>
    </w:tbl>
    <w:p w14:paraId="43088DEB">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根据《环境影响评价技术导则 声环境》（HJ/T2.4-2009）推荐的公式。选择点源预测模式预测项目声源产生的噪声随距离衰减变化规律。</w:t>
      </w:r>
    </w:p>
    <w:p w14:paraId="43AFEDCF">
      <w:pPr>
        <w:spacing w:line="360" w:lineRule="auto"/>
        <w:ind w:firstLine="480" w:firstLineChars="200"/>
        <w:textAlignment w:val="baseline"/>
        <w:outlineLvl w:val="9"/>
        <w:rPr>
          <w:rFonts w:hint="default" w:ascii="Times New Roman" w:hAnsi="Times New Roman" w:eastAsia="宋体" w:cs="Times New Roman"/>
          <w:color w:val="auto"/>
          <w:kern w:val="0"/>
          <w:sz w:val="24"/>
        </w:rPr>
      </w:pPr>
      <w:bookmarkStart w:id="669" w:name="_Toc5978"/>
      <w:r>
        <w:rPr>
          <w:rFonts w:hint="default" w:ascii="Times New Roman" w:hAnsi="Times New Roman" w:eastAsia="宋体" w:cs="Times New Roman"/>
          <w:color w:val="auto"/>
          <w:kern w:val="0"/>
          <w:sz w:val="24"/>
        </w:rPr>
        <w:t>1．点声源几何发散衰减公式及环境因素衰减：</w:t>
      </w:r>
      <w:bookmarkEnd w:id="669"/>
    </w:p>
    <w:p w14:paraId="0072A00B">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1477010" cy="238125"/>
            <wp:effectExtent l="0" t="0" r="8890"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3"/>
                    <a:stretch>
                      <a:fillRect/>
                    </a:stretch>
                  </pic:blipFill>
                  <pic:spPr>
                    <a:xfrm>
                      <a:off x="0" y="0"/>
                      <a:ext cx="1477010" cy="238125"/>
                    </a:xfrm>
                    <a:prstGeom prst="rect">
                      <a:avLst/>
                    </a:prstGeom>
                    <a:noFill/>
                    <a:ln>
                      <a:noFill/>
                    </a:ln>
                  </pic:spPr>
                </pic:pic>
              </a:graphicData>
            </a:graphic>
          </wp:inline>
        </w:drawing>
      </w:r>
    </w:p>
    <w:p w14:paraId="7B7AA2A6">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838200" cy="2286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54"/>
                    <a:stretch>
                      <a:fillRect/>
                    </a:stretch>
                  </pic:blipFill>
                  <pic:spPr>
                    <a:xfrm>
                      <a:off x="0" y="0"/>
                      <a:ext cx="838200" cy="228600"/>
                    </a:xfrm>
                    <a:prstGeom prst="rect">
                      <a:avLst/>
                    </a:prstGeom>
                    <a:noFill/>
                    <a:ln>
                      <a:noFill/>
                    </a:ln>
                  </pic:spPr>
                </pic:pic>
              </a:graphicData>
            </a:graphic>
          </wp:inline>
        </w:drawing>
      </w:r>
    </w:p>
    <w:p w14:paraId="6C17CBD7">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式中：L</w:t>
      </w:r>
      <w:r>
        <w:rPr>
          <w:rFonts w:hint="default" w:ascii="Times New Roman" w:hAnsi="Times New Roman" w:eastAsia="宋体" w:cs="Times New Roman"/>
          <w:color w:val="auto"/>
          <w:kern w:val="0"/>
          <w:sz w:val="24"/>
          <w:vertAlign w:val="subscript"/>
        </w:rPr>
        <w:t>p</w:t>
      </w:r>
      <w:r>
        <w:rPr>
          <w:rFonts w:hint="default" w:ascii="Times New Roman" w:hAnsi="Times New Roman" w:eastAsia="宋体" w:cs="Times New Roman"/>
          <w:color w:val="auto"/>
          <w:kern w:val="0"/>
          <w:sz w:val="24"/>
        </w:rPr>
        <w:t>—距离声源r米处的声压级；</w:t>
      </w:r>
    </w:p>
    <w:p w14:paraId="7DDCA63A">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r — 预测点与声源的距离；</w:t>
      </w:r>
    </w:p>
    <w:p w14:paraId="389F4C3F">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r</w:t>
      </w:r>
      <w:r>
        <w:rPr>
          <w:rFonts w:hint="default" w:ascii="Times New Roman" w:hAnsi="Times New Roman" w:eastAsia="宋体" w:cs="Times New Roman"/>
          <w:color w:val="auto"/>
          <w:kern w:val="0"/>
          <w:sz w:val="24"/>
          <w:vertAlign w:val="subscript"/>
        </w:rPr>
        <w:t>0</w:t>
      </w:r>
      <w:r>
        <w:rPr>
          <w:rFonts w:hint="default" w:ascii="Times New Roman" w:hAnsi="Times New Roman" w:eastAsia="宋体" w:cs="Times New Roman"/>
          <w:color w:val="auto"/>
          <w:kern w:val="0"/>
          <w:sz w:val="24"/>
        </w:rPr>
        <w:t>—距离声源r</w:t>
      </w:r>
      <w:r>
        <w:rPr>
          <w:rFonts w:hint="default" w:ascii="Times New Roman" w:hAnsi="Times New Roman" w:eastAsia="宋体" w:cs="Times New Roman"/>
          <w:color w:val="auto"/>
          <w:kern w:val="0"/>
          <w:sz w:val="24"/>
          <w:vertAlign w:val="subscript"/>
        </w:rPr>
        <w:t>0</w:t>
      </w:r>
      <w:r>
        <w:rPr>
          <w:rFonts w:hint="default" w:ascii="Times New Roman" w:hAnsi="Times New Roman" w:eastAsia="宋体" w:cs="Times New Roman"/>
          <w:color w:val="auto"/>
          <w:kern w:val="0"/>
          <w:sz w:val="24"/>
        </w:rPr>
        <w:t>米处的距离；</w:t>
      </w:r>
    </w:p>
    <w:p w14:paraId="06D26525">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a—空气衰减系数；</w:t>
      </w:r>
    </w:p>
    <w:p w14:paraId="6079824F">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△L—各种因素引起的衰减量（包括声屏障、空气吸收等）。</w:t>
      </w:r>
    </w:p>
    <w:p w14:paraId="78A68DBF">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2．对两个以上多个声源同时存在时，多点源叠加计算总源强，采用如下公式：</w:t>
      </w:r>
    </w:p>
    <w:p w14:paraId="0C59D18B">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1247775" cy="257175"/>
            <wp:effectExtent l="0" t="0" r="9525" b="825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55"/>
                    <a:stretch>
                      <a:fillRect/>
                    </a:stretch>
                  </pic:blipFill>
                  <pic:spPr>
                    <a:xfrm>
                      <a:off x="0" y="0"/>
                      <a:ext cx="1247775" cy="257175"/>
                    </a:xfrm>
                    <a:prstGeom prst="rect">
                      <a:avLst/>
                    </a:prstGeom>
                    <a:noFill/>
                    <a:ln>
                      <a:noFill/>
                    </a:ln>
                  </pic:spPr>
                </pic:pic>
              </a:graphicData>
            </a:graphic>
          </wp:inline>
        </w:drawing>
      </w:r>
    </w:p>
    <w:p w14:paraId="1CB1D7D8">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式中：L</w:t>
      </w:r>
      <w:r>
        <w:rPr>
          <w:rFonts w:hint="default" w:ascii="Times New Roman" w:hAnsi="Times New Roman" w:eastAsia="宋体" w:cs="Times New Roman"/>
          <w:color w:val="auto"/>
          <w:kern w:val="0"/>
          <w:sz w:val="24"/>
          <w:vertAlign w:val="subscript"/>
        </w:rPr>
        <w:t>eq</w:t>
      </w:r>
      <w:r>
        <w:rPr>
          <w:rFonts w:hint="default" w:ascii="Times New Roman" w:hAnsi="Times New Roman" w:eastAsia="宋体" w:cs="Times New Roman"/>
          <w:color w:val="auto"/>
          <w:kern w:val="0"/>
          <w:sz w:val="24"/>
        </w:rPr>
        <w:t>—预测点的总等效声级，dB(A)；</w:t>
      </w:r>
    </w:p>
    <w:p w14:paraId="2263C8F3">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L</w:t>
      </w:r>
      <w:r>
        <w:rPr>
          <w:rFonts w:hint="default" w:ascii="Times New Roman" w:hAnsi="Times New Roman" w:eastAsia="宋体" w:cs="Times New Roman"/>
          <w:color w:val="auto"/>
          <w:kern w:val="0"/>
          <w:sz w:val="24"/>
          <w:vertAlign w:val="subscript"/>
        </w:rPr>
        <w:t>i</w:t>
      </w:r>
      <w:r>
        <w:rPr>
          <w:rFonts w:hint="default" w:ascii="Times New Roman" w:hAnsi="Times New Roman" w:eastAsia="宋体" w:cs="Times New Roman"/>
          <w:color w:val="auto"/>
          <w:kern w:val="0"/>
          <w:sz w:val="24"/>
        </w:rPr>
        <w:t>—第i个声源对预测点的声级影响，dB(A)；</w:t>
      </w:r>
    </w:p>
    <w:p w14:paraId="2813F217">
      <w:pPr>
        <w:spacing w:line="360" w:lineRule="auto"/>
        <w:ind w:firstLine="480" w:firstLineChars="200"/>
        <w:textAlignment w:val="baseline"/>
        <w:outlineLvl w:val="9"/>
        <w:rPr>
          <w:rFonts w:hint="default" w:ascii="Times New Roman" w:hAnsi="Times New Roman" w:eastAsia="宋体" w:cs="Times New Roman"/>
          <w:color w:val="auto"/>
          <w:kern w:val="0"/>
          <w:sz w:val="24"/>
        </w:rPr>
      </w:pPr>
      <w:bookmarkStart w:id="670" w:name="_Toc9745"/>
      <w:r>
        <w:rPr>
          <w:rFonts w:hint="default" w:ascii="Times New Roman" w:hAnsi="Times New Roman" w:eastAsia="宋体" w:cs="Times New Roman"/>
          <w:color w:val="auto"/>
          <w:kern w:val="0"/>
          <w:sz w:val="24"/>
        </w:rPr>
        <w:t>3．预测点预测值计算</w:t>
      </w:r>
      <w:bookmarkEnd w:id="670"/>
    </w:p>
    <w:p w14:paraId="7FF0E3EF">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1991360" cy="318135"/>
            <wp:effectExtent l="0" t="0" r="8890" b="571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56"/>
                    <a:stretch>
                      <a:fillRect/>
                    </a:stretch>
                  </pic:blipFill>
                  <pic:spPr>
                    <a:xfrm>
                      <a:off x="0" y="0"/>
                      <a:ext cx="1991360" cy="318135"/>
                    </a:xfrm>
                    <a:prstGeom prst="rect">
                      <a:avLst/>
                    </a:prstGeom>
                    <a:noFill/>
                    <a:ln>
                      <a:noFill/>
                    </a:ln>
                  </pic:spPr>
                </pic:pic>
              </a:graphicData>
            </a:graphic>
          </wp:inline>
        </w:drawing>
      </w:r>
    </w:p>
    <w:p w14:paraId="45305B83">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式中：Leqg—建设项目声源在预测点的等效声级贡献值，dB(A)；</w:t>
      </w:r>
    </w:p>
    <w:p w14:paraId="723434E0">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Leqb—预测点的背景值，dB(A)。</w:t>
      </w:r>
    </w:p>
    <w:p w14:paraId="1F8A0E3F">
      <w:pPr>
        <w:spacing w:line="360" w:lineRule="auto"/>
        <w:ind w:firstLine="480" w:firstLineChars="200"/>
        <w:textAlignment w:val="baseline"/>
        <w:outlineLvl w:val="9"/>
        <w:rPr>
          <w:rFonts w:hint="default" w:ascii="Times New Roman" w:hAnsi="Times New Roman" w:eastAsia="宋体" w:cs="Times New Roman"/>
          <w:color w:val="auto"/>
          <w:kern w:val="0"/>
          <w:sz w:val="24"/>
        </w:rPr>
      </w:pPr>
      <w:bookmarkStart w:id="671" w:name="_Toc31291"/>
      <w:r>
        <w:rPr>
          <w:rFonts w:hint="default" w:ascii="Times New Roman" w:hAnsi="Times New Roman" w:eastAsia="宋体" w:cs="Times New Roman"/>
          <w:color w:val="auto"/>
          <w:kern w:val="0"/>
          <w:sz w:val="24"/>
        </w:rPr>
        <w:t>4、预测结果与评价</w:t>
      </w:r>
      <w:bookmarkEnd w:id="671"/>
    </w:p>
    <w:p w14:paraId="14C0CC62">
      <w:pPr>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项目设备主要集中在码头前沿作业区，各作业机械在不同距离处的噪声级见表</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.2-</w:t>
      </w:r>
      <w:r>
        <w:rPr>
          <w:rFonts w:hint="default"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w:t>
      </w:r>
    </w:p>
    <w:p w14:paraId="4B2777E1">
      <w:pPr>
        <w:pStyle w:val="40"/>
        <w:rPr>
          <w:rFonts w:hint="default" w:cs="Times New Roman"/>
          <w:color w:val="auto"/>
          <w:sz w:val="24"/>
          <w:szCs w:val="24"/>
          <w:lang w:val="en-US" w:eastAsia="zh-CN"/>
        </w:rPr>
      </w:pPr>
      <w:r>
        <w:rPr>
          <w:rFonts w:hint="default" w:cs="Times New Roman"/>
          <w:color w:val="auto"/>
          <w:sz w:val="24"/>
          <w:szCs w:val="24"/>
          <w:lang w:val="en-US" w:eastAsia="zh-CN"/>
        </w:rPr>
        <w:t>表5.2-4    机械噪声衰减距离</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898"/>
        <w:gridCol w:w="1143"/>
        <w:gridCol w:w="1028"/>
        <w:gridCol w:w="1028"/>
        <w:gridCol w:w="1028"/>
        <w:gridCol w:w="1031"/>
        <w:gridCol w:w="1028"/>
        <w:gridCol w:w="1036"/>
      </w:tblGrid>
      <w:tr w14:paraId="6002480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46" w:type="pct"/>
            <w:vMerge w:val="restart"/>
            <w:noWrap w:val="0"/>
            <w:vAlign w:val="center"/>
          </w:tcPr>
          <w:p w14:paraId="214AABF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95" w:type="pct"/>
            <w:vMerge w:val="restart"/>
            <w:noWrap w:val="0"/>
            <w:vAlign w:val="center"/>
          </w:tcPr>
          <w:p w14:paraId="6064A2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机械类型</w:t>
            </w:r>
          </w:p>
        </w:tc>
        <w:tc>
          <w:tcPr>
            <w:tcW w:w="3757" w:type="pct"/>
            <w:gridSpan w:val="6"/>
            <w:noWrap w:val="0"/>
            <w:vAlign w:val="center"/>
          </w:tcPr>
          <w:p w14:paraId="07569A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噪声预测值dB(A)</w:t>
            </w:r>
          </w:p>
        </w:tc>
      </w:tr>
      <w:tr w14:paraId="149540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46" w:type="pct"/>
            <w:vMerge w:val="continue"/>
            <w:noWrap w:val="0"/>
            <w:vAlign w:val="center"/>
          </w:tcPr>
          <w:p w14:paraId="698F1F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5" w:type="pct"/>
            <w:vMerge w:val="continue"/>
            <w:noWrap w:val="0"/>
            <w:vAlign w:val="center"/>
          </w:tcPr>
          <w:p w14:paraId="36FFEA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25" w:type="pct"/>
            <w:noWrap w:val="0"/>
            <w:vAlign w:val="center"/>
          </w:tcPr>
          <w:p w14:paraId="35E37C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5m</w:t>
            </w:r>
          </w:p>
        </w:tc>
        <w:tc>
          <w:tcPr>
            <w:tcW w:w="625" w:type="pct"/>
            <w:noWrap w:val="0"/>
            <w:vAlign w:val="center"/>
          </w:tcPr>
          <w:p w14:paraId="14A5C26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w:t>
            </w:r>
          </w:p>
        </w:tc>
        <w:tc>
          <w:tcPr>
            <w:tcW w:w="625" w:type="pct"/>
            <w:noWrap w:val="0"/>
            <w:vAlign w:val="center"/>
          </w:tcPr>
          <w:p w14:paraId="5C957DC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w:t>
            </w:r>
          </w:p>
        </w:tc>
        <w:tc>
          <w:tcPr>
            <w:tcW w:w="627" w:type="pct"/>
            <w:noWrap w:val="0"/>
            <w:vAlign w:val="center"/>
          </w:tcPr>
          <w:p w14:paraId="3279812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p>
        </w:tc>
        <w:tc>
          <w:tcPr>
            <w:tcW w:w="625" w:type="pct"/>
            <w:noWrap w:val="0"/>
            <w:vAlign w:val="center"/>
          </w:tcPr>
          <w:p w14:paraId="69D5850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w:t>
            </w:r>
          </w:p>
        </w:tc>
        <w:tc>
          <w:tcPr>
            <w:tcW w:w="629" w:type="pct"/>
            <w:noWrap w:val="0"/>
            <w:vAlign w:val="center"/>
          </w:tcPr>
          <w:p w14:paraId="0E6723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w:t>
            </w:r>
          </w:p>
        </w:tc>
      </w:tr>
      <w:tr w14:paraId="42C52E8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46" w:type="pct"/>
            <w:noWrap w:val="0"/>
            <w:vAlign w:val="center"/>
          </w:tcPr>
          <w:p w14:paraId="3B66C999">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5" w:type="pct"/>
            <w:noWrap w:val="0"/>
            <w:vAlign w:val="center"/>
          </w:tcPr>
          <w:p w14:paraId="1586873D">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进港船舶</w:t>
            </w:r>
          </w:p>
        </w:tc>
        <w:tc>
          <w:tcPr>
            <w:tcW w:w="625" w:type="pct"/>
            <w:noWrap w:val="0"/>
            <w:vAlign w:val="center"/>
          </w:tcPr>
          <w:p w14:paraId="0915F78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625" w:type="pct"/>
            <w:noWrap w:val="0"/>
            <w:vAlign w:val="center"/>
          </w:tcPr>
          <w:p w14:paraId="063704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625" w:type="pct"/>
            <w:noWrap w:val="0"/>
            <w:vAlign w:val="center"/>
          </w:tcPr>
          <w:p w14:paraId="12FDD4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27" w:type="pct"/>
            <w:noWrap w:val="0"/>
            <w:vAlign w:val="center"/>
          </w:tcPr>
          <w:p w14:paraId="6FBCE61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625" w:type="pct"/>
            <w:noWrap w:val="0"/>
            <w:vAlign w:val="center"/>
          </w:tcPr>
          <w:p w14:paraId="578279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629" w:type="pct"/>
            <w:noWrap w:val="0"/>
            <w:vAlign w:val="center"/>
          </w:tcPr>
          <w:p w14:paraId="0B8A78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14:paraId="3731E5C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46" w:type="pct"/>
            <w:noWrap w:val="0"/>
            <w:vAlign w:val="center"/>
          </w:tcPr>
          <w:p w14:paraId="5E536A0F">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95" w:type="pct"/>
            <w:noWrap w:val="0"/>
            <w:vAlign w:val="center"/>
          </w:tcPr>
          <w:p w14:paraId="0D0B0440">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小型车辆</w:t>
            </w:r>
          </w:p>
        </w:tc>
        <w:tc>
          <w:tcPr>
            <w:tcW w:w="625" w:type="pct"/>
            <w:noWrap w:val="0"/>
            <w:vAlign w:val="center"/>
          </w:tcPr>
          <w:p w14:paraId="08AC357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25" w:type="pct"/>
            <w:noWrap w:val="0"/>
            <w:vAlign w:val="center"/>
          </w:tcPr>
          <w:p w14:paraId="47AAB7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625" w:type="pct"/>
            <w:noWrap w:val="0"/>
            <w:vAlign w:val="center"/>
          </w:tcPr>
          <w:p w14:paraId="5318F8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627" w:type="pct"/>
            <w:noWrap w:val="0"/>
            <w:vAlign w:val="center"/>
          </w:tcPr>
          <w:p w14:paraId="6994865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625" w:type="pct"/>
            <w:noWrap w:val="0"/>
            <w:vAlign w:val="center"/>
          </w:tcPr>
          <w:p w14:paraId="0F7346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629" w:type="pct"/>
            <w:noWrap w:val="0"/>
            <w:vAlign w:val="center"/>
          </w:tcPr>
          <w:p w14:paraId="213E901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r>
    </w:tbl>
    <w:p w14:paraId="14F123D6">
      <w:pPr>
        <w:pStyle w:val="54"/>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rPr>
        <w:t>根据表</w:t>
      </w:r>
      <w:r>
        <w:rPr>
          <w:rFonts w:hint="default" w:ascii="Times New Roman" w:hAnsi="Times New Roman" w:eastAsia="宋体" w:cs="Times New Roman"/>
          <w:color w:val="auto"/>
          <w:lang w:val="en-US" w:eastAsia="zh-CN"/>
        </w:rPr>
        <w:t>5.2</w:t>
      </w:r>
      <w:r>
        <w:rPr>
          <w:rFonts w:hint="default" w:ascii="Times New Roman" w:hAnsi="Times New Roman" w:eastAsia="宋体" w:cs="Times New Roman"/>
          <w:color w:val="auto"/>
          <w:lang w:val="en-US"/>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val="en-US"/>
        </w:rPr>
        <w:t>的预测噪声结果表明：在不采取任何噪声控制措施条件下</w:t>
      </w:r>
      <w:r>
        <w:rPr>
          <w:rFonts w:hint="default" w:ascii="Times New Roman" w:hAnsi="Times New Roman" w:eastAsia="宋体" w:cs="Times New Roman"/>
          <w:color w:val="auto"/>
          <w:lang w:val="en-US" w:eastAsia="zh-CN"/>
        </w:rPr>
        <w:t>工程</w:t>
      </w:r>
      <w:r>
        <w:rPr>
          <w:rFonts w:hint="default" w:ascii="Times New Roman" w:hAnsi="Times New Roman" w:eastAsia="宋体" w:cs="Times New Roman"/>
          <w:color w:val="auto"/>
          <w:lang w:val="en-US"/>
        </w:rPr>
        <w:t>船机械设备运转产生的噪声经过距离衰减一般在</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US"/>
        </w:rPr>
        <w:t>0m以外昼间可达到</w:t>
      </w:r>
      <w:r>
        <w:rPr>
          <w:rFonts w:hint="default" w:ascii="Times New Roman" w:hAnsi="Times New Roman" w:eastAsia="宋体" w:cs="Times New Roman"/>
          <w:color w:val="auto"/>
        </w:rPr>
        <w:t>《工业企业厂界环境噪声排放标准》（GB12348-2008）</w:t>
      </w:r>
      <w:r>
        <w:rPr>
          <w:rFonts w:hint="default" w:ascii="Times New Roman" w:hAnsi="Times New Roman" w:eastAsia="宋体" w:cs="Times New Roman"/>
          <w:color w:val="auto"/>
          <w:lang w:eastAsia="zh-CN"/>
        </w:rPr>
        <w:t>4</w:t>
      </w:r>
      <w:r>
        <w:rPr>
          <w:rFonts w:hint="default" w:ascii="Times New Roman" w:hAnsi="Times New Roman" w:eastAsia="宋体" w:cs="Times New Roman"/>
          <w:color w:val="auto"/>
        </w:rPr>
        <w:t>类标准</w:t>
      </w:r>
      <w:r>
        <w:rPr>
          <w:rFonts w:hint="default" w:ascii="Times New Roman" w:hAnsi="Times New Roman" w:eastAsia="宋体" w:cs="Times New Roman"/>
          <w:color w:val="auto"/>
          <w:lang w:val="en-US"/>
        </w:rPr>
        <w:t>。</w:t>
      </w:r>
    </w:p>
    <w:p w14:paraId="1F26584D">
      <w:pPr>
        <w:pStyle w:val="40"/>
        <w:rPr>
          <w:rFonts w:hint="default" w:cs="Times New Roman"/>
          <w:color w:val="auto"/>
          <w:sz w:val="24"/>
          <w:szCs w:val="24"/>
          <w:lang w:val="en-US" w:eastAsia="zh-CN"/>
        </w:rPr>
      </w:pPr>
      <w:r>
        <w:rPr>
          <w:rFonts w:hint="default" w:cs="Times New Roman"/>
          <w:color w:val="auto"/>
          <w:sz w:val="24"/>
          <w:szCs w:val="24"/>
          <w:lang w:val="en-US" w:eastAsia="zh-CN"/>
        </w:rPr>
        <w:t>表5.2-</w:t>
      </w:r>
      <w:r>
        <w:rPr>
          <w:rFonts w:hint="eastAsia" w:cs="Times New Roman"/>
          <w:color w:val="auto"/>
          <w:sz w:val="24"/>
          <w:szCs w:val="24"/>
          <w:lang w:val="en-US" w:eastAsia="zh-CN"/>
        </w:rPr>
        <w:t>5</w:t>
      </w:r>
      <w:r>
        <w:rPr>
          <w:rFonts w:hint="default" w:cs="Times New Roman"/>
          <w:color w:val="auto"/>
          <w:sz w:val="24"/>
          <w:szCs w:val="24"/>
          <w:lang w:val="en-US" w:eastAsia="zh-CN"/>
        </w:rPr>
        <w:t xml:space="preserve">    </w:t>
      </w:r>
      <w:r>
        <w:rPr>
          <w:rFonts w:hint="eastAsia" w:cs="Times New Roman"/>
          <w:color w:val="auto"/>
          <w:sz w:val="24"/>
          <w:szCs w:val="24"/>
          <w:lang w:val="en-US" w:eastAsia="zh-CN"/>
        </w:rPr>
        <w:t>声环境保护目标噪声预测结果</w:t>
      </w:r>
    </w:p>
    <w:tbl>
      <w:tblPr>
        <w:tblStyle w:val="29"/>
        <w:tblW w:w="484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446"/>
        <w:gridCol w:w="2043"/>
        <w:gridCol w:w="823"/>
        <w:gridCol w:w="689"/>
        <w:gridCol w:w="918"/>
        <w:gridCol w:w="684"/>
        <w:gridCol w:w="949"/>
        <w:gridCol w:w="901"/>
        <w:gridCol w:w="806"/>
      </w:tblGrid>
      <w:tr w14:paraId="3442205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70" w:type="pct"/>
            <w:vMerge w:val="restart"/>
            <w:noWrap w:val="0"/>
            <w:vAlign w:val="center"/>
          </w:tcPr>
          <w:p w14:paraId="4FB2A3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36" w:type="pct"/>
            <w:vMerge w:val="restart"/>
            <w:noWrap w:val="0"/>
            <w:vAlign w:val="center"/>
          </w:tcPr>
          <w:p w14:paraId="343FDC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声环境敏感目标</w:t>
            </w:r>
          </w:p>
        </w:tc>
        <w:tc>
          <w:tcPr>
            <w:tcW w:w="915" w:type="pct"/>
            <w:gridSpan w:val="2"/>
            <w:noWrap w:val="0"/>
            <w:vAlign w:val="center"/>
          </w:tcPr>
          <w:p w14:paraId="03A783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噪声现状值</w:t>
            </w:r>
          </w:p>
        </w:tc>
        <w:tc>
          <w:tcPr>
            <w:tcW w:w="969" w:type="pct"/>
            <w:gridSpan w:val="2"/>
            <w:noWrap w:val="0"/>
            <w:vAlign w:val="center"/>
          </w:tcPr>
          <w:p w14:paraId="6F4A00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rPr>
            </w:pPr>
            <w:r>
              <w:rPr>
                <w:rFonts w:hint="eastAsia" w:cs="Times New Roman"/>
                <w:b/>
                <w:bCs/>
                <w:color w:val="auto"/>
                <w:sz w:val="21"/>
                <w:szCs w:val="21"/>
                <w:lang w:val="en-US" w:eastAsia="zh-CN"/>
              </w:rPr>
              <w:t>噪声贡献值</w:t>
            </w:r>
          </w:p>
        </w:tc>
        <w:tc>
          <w:tcPr>
            <w:tcW w:w="1119" w:type="pct"/>
            <w:gridSpan w:val="2"/>
            <w:tcBorders>
              <w:right w:val="single" w:color="auto" w:sz="4" w:space="0"/>
            </w:tcBorders>
            <w:noWrap w:val="0"/>
            <w:vAlign w:val="center"/>
          </w:tcPr>
          <w:p w14:paraId="2F613D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噪声预测值</w:t>
            </w:r>
          </w:p>
        </w:tc>
        <w:tc>
          <w:tcPr>
            <w:tcW w:w="487" w:type="pct"/>
            <w:vMerge w:val="restart"/>
            <w:tcBorders>
              <w:left w:val="single" w:color="auto" w:sz="4" w:space="0"/>
            </w:tcBorders>
            <w:noWrap w:val="0"/>
            <w:vAlign w:val="center"/>
          </w:tcPr>
          <w:p w14:paraId="14BF510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标准</w:t>
            </w:r>
          </w:p>
        </w:tc>
      </w:tr>
      <w:tr w14:paraId="3B253B5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70" w:type="pct"/>
            <w:vMerge w:val="continue"/>
            <w:noWrap w:val="0"/>
            <w:vAlign w:val="center"/>
          </w:tcPr>
          <w:p w14:paraId="2F9951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36" w:type="pct"/>
            <w:vMerge w:val="continue"/>
            <w:noWrap w:val="0"/>
            <w:vAlign w:val="center"/>
          </w:tcPr>
          <w:p w14:paraId="594838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98" w:type="pct"/>
            <w:noWrap w:val="0"/>
            <w:vAlign w:val="center"/>
          </w:tcPr>
          <w:p w14:paraId="257AF3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昼间</w:t>
            </w:r>
          </w:p>
        </w:tc>
        <w:tc>
          <w:tcPr>
            <w:tcW w:w="417" w:type="pct"/>
            <w:noWrap w:val="0"/>
            <w:vAlign w:val="center"/>
          </w:tcPr>
          <w:p w14:paraId="25184A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夜间</w:t>
            </w:r>
          </w:p>
        </w:tc>
        <w:tc>
          <w:tcPr>
            <w:tcW w:w="555" w:type="pct"/>
            <w:shd w:val="clear" w:color="auto" w:fill="auto"/>
            <w:noWrap w:val="0"/>
            <w:vAlign w:val="center"/>
          </w:tcPr>
          <w:p w14:paraId="6D989A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昼间</w:t>
            </w:r>
          </w:p>
        </w:tc>
        <w:tc>
          <w:tcPr>
            <w:tcW w:w="414" w:type="pct"/>
            <w:shd w:val="clear" w:color="auto" w:fill="auto"/>
            <w:noWrap w:val="0"/>
            <w:vAlign w:val="center"/>
          </w:tcPr>
          <w:p w14:paraId="633F211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夜间</w:t>
            </w:r>
          </w:p>
        </w:tc>
        <w:tc>
          <w:tcPr>
            <w:tcW w:w="574" w:type="pct"/>
            <w:shd w:val="clear" w:color="auto" w:fill="auto"/>
            <w:noWrap w:val="0"/>
            <w:vAlign w:val="center"/>
          </w:tcPr>
          <w:p w14:paraId="1BAE2D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昼间</w:t>
            </w:r>
          </w:p>
        </w:tc>
        <w:tc>
          <w:tcPr>
            <w:tcW w:w="545" w:type="pct"/>
            <w:tcBorders>
              <w:right w:val="single" w:color="auto" w:sz="4" w:space="0"/>
            </w:tcBorders>
            <w:shd w:val="clear" w:color="auto" w:fill="auto"/>
            <w:noWrap w:val="0"/>
            <w:vAlign w:val="center"/>
          </w:tcPr>
          <w:p w14:paraId="7F1B55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夜间</w:t>
            </w:r>
          </w:p>
        </w:tc>
        <w:tc>
          <w:tcPr>
            <w:tcW w:w="487" w:type="pct"/>
            <w:vMerge w:val="continue"/>
            <w:tcBorders>
              <w:left w:val="single" w:color="auto" w:sz="4" w:space="0"/>
            </w:tcBorders>
            <w:noWrap w:val="0"/>
            <w:vAlign w:val="center"/>
          </w:tcPr>
          <w:p w14:paraId="4566F5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14713E6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70" w:type="pct"/>
            <w:noWrap w:val="0"/>
            <w:vAlign w:val="center"/>
          </w:tcPr>
          <w:p w14:paraId="08274F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1236" w:type="pct"/>
            <w:noWrap w:val="0"/>
            <w:vAlign w:val="center"/>
          </w:tcPr>
          <w:p w14:paraId="5FA385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东侧43m居民点</w:t>
            </w:r>
          </w:p>
        </w:tc>
        <w:tc>
          <w:tcPr>
            <w:tcW w:w="498" w:type="pct"/>
            <w:noWrap w:val="0"/>
            <w:vAlign w:val="center"/>
          </w:tcPr>
          <w:p w14:paraId="4248B22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56.1</w:t>
            </w:r>
          </w:p>
        </w:tc>
        <w:tc>
          <w:tcPr>
            <w:tcW w:w="417" w:type="pct"/>
            <w:noWrap w:val="0"/>
            <w:vAlign w:val="center"/>
          </w:tcPr>
          <w:p w14:paraId="78EE0A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43.5</w:t>
            </w:r>
          </w:p>
        </w:tc>
        <w:tc>
          <w:tcPr>
            <w:tcW w:w="555" w:type="pct"/>
            <w:noWrap w:val="0"/>
            <w:vAlign w:val="center"/>
          </w:tcPr>
          <w:p w14:paraId="6A8340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414" w:type="pct"/>
            <w:noWrap w:val="0"/>
            <w:vAlign w:val="center"/>
          </w:tcPr>
          <w:p w14:paraId="625482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574" w:type="pct"/>
            <w:noWrap w:val="0"/>
            <w:vAlign w:val="center"/>
          </w:tcPr>
          <w:p w14:paraId="0E6B2F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56.2</w:t>
            </w:r>
          </w:p>
        </w:tc>
        <w:tc>
          <w:tcPr>
            <w:tcW w:w="545" w:type="pct"/>
            <w:tcBorders>
              <w:right w:val="single" w:color="auto" w:sz="4" w:space="0"/>
            </w:tcBorders>
            <w:noWrap w:val="0"/>
            <w:vAlign w:val="center"/>
          </w:tcPr>
          <w:p w14:paraId="0C47EE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45.1</w:t>
            </w:r>
          </w:p>
        </w:tc>
        <w:tc>
          <w:tcPr>
            <w:tcW w:w="487" w:type="pct"/>
            <w:tcBorders>
              <w:left w:val="single" w:color="auto" w:sz="4" w:space="0"/>
            </w:tcBorders>
            <w:noWrap w:val="0"/>
            <w:vAlign w:val="center"/>
          </w:tcPr>
          <w:p w14:paraId="79E5FD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r>
      <w:tr w14:paraId="456FA0D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70" w:type="pct"/>
            <w:noWrap w:val="0"/>
            <w:vAlign w:val="center"/>
          </w:tcPr>
          <w:p w14:paraId="5505D9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236" w:type="pct"/>
            <w:noWrap w:val="0"/>
            <w:vAlign w:val="center"/>
          </w:tcPr>
          <w:p w14:paraId="043CA9A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东南侧120m居民点</w:t>
            </w:r>
          </w:p>
        </w:tc>
        <w:tc>
          <w:tcPr>
            <w:tcW w:w="498" w:type="pct"/>
            <w:noWrap w:val="0"/>
            <w:vAlign w:val="center"/>
          </w:tcPr>
          <w:p w14:paraId="283740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53.4</w:t>
            </w:r>
          </w:p>
        </w:tc>
        <w:tc>
          <w:tcPr>
            <w:tcW w:w="417" w:type="pct"/>
            <w:noWrap w:val="0"/>
            <w:vAlign w:val="center"/>
          </w:tcPr>
          <w:p w14:paraId="525F455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rPr>
              <w:t>48.3</w:t>
            </w:r>
          </w:p>
        </w:tc>
        <w:tc>
          <w:tcPr>
            <w:tcW w:w="555" w:type="pct"/>
            <w:noWrap w:val="0"/>
            <w:vAlign w:val="center"/>
          </w:tcPr>
          <w:p w14:paraId="62B273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414" w:type="pct"/>
            <w:noWrap w:val="0"/>
            <w:vAlign w:val="center"/>
          </w:tcPr>
          <w:p w14:paraId="2CA24AB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574" w:type="pct"/>
            <w:noWrap w:val="0"/>
            <w:vAlign w:val="center"/>
          </w:tcPr>
          <w:p w14:paraId="79E869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53.6</w:t>
            </w:r>
          </w:p>
        </w:tc>
        <w:tc>
          <w:tcPr>
            <w:tcW w:w="545" w:type="pct"/>
            <w:tcBorders>
              <w:right w:val="single" w:color="auto" w:sz="4" w:space="0"/>
            </w:tcBorders>
            <w:noWrap w:val="0"/>
            <w:vAlign w:val="center"/>
          </w:tcPr>
          <w:p w14:paraId="0253FCE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48.9</w:t>
            </w:r>
          </w:p>
        </w:tc>
        <w:tc>
          <w:tcPr>
            <w:tcW w:w="487" w:type="pct"/>
            <w:tcBorders>
              <w:left w:val="single" w:color="auto" w:sz="4" w:space="0"/>
            </w:tcBorders>
            <w:noWrap w:val="0"/>
            <w:vAlign w:val="center"/>
          </w:tcPr>
          <w:p w14:paraId="4A2B688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bl>
    <w:p w14:paraId="6EFE7E64">
      <w:pPr>
        <w:pStyle w:val="54"/>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项目主要噪声源进港船舶噪声位于项目西侧湘江航道，最近的敏感点位于项目东侧场界外4</w:t>
      </w:r>
      <w:r>
        <w:rPr>
          <w:rFonts w:hint="eastAsia" w:cs="Times New Roman"/>
          <w:color w:val="auto"/>
          <w:lang w:val="en-US" w:eastAsia="zh-CN"/>
        </w:rPr>
        <w:t>3</w:t>
      </w:r>
      <w:r>
        <w:rPr>
          <w:rFonts w:hint="default" w:ascii="Times New Roman" w:hAnsi="Times New Roman" w:eastAsia="宋体" w:cs="Times New Roman"/>
          <w:color w:val="auto"/>
          <w:lang w:val="en-US" w:eastAsia="zh-CN"/>
        </w:rPr>
        <w:t>m，噪声源距离敏感点最近距离约</w:t>
      </w:r>
      <w:r>
        <w:rPr>
          <w:rFonts w:hint="eastAsia" w:cs="Times New Roman"/>
          <w:color w:val="auto"/>
          <w:lang w:val="en-US" w:eastAsia="zh-CN"/>
        </w:rPr>
        <w:t>2</w:t>
      </w:r>
      <w:r>
        <w:rPr>
          <w:rFonts w:hint="default" w:ascii="Times New Roman" w:hAnsi="Times New Roman" w:eastAsia="宋体" w:cs="Times New Roman"/>
          <w:color w:val="auto"/>
          <w:lang w:val="en-US" w:eastAsia="zh-CN"/>
        </w:rPr>
        <w:t>00m，到港船舶噪声贡献值为4</w:t>
      </w:r>
      <w:r>
        <w:rPr>
          <w:rFonts w:hint="eastAsia" w:cs="Times New Roman"/>
          <w:color w:val="auto"/>
          <w:lang w:val="en-US" w:eastAsia="zh-CN"/>
        </w:rPr>
        <w:t>0</w:t>
      </w:r>
      <w:r>
        <w:rPr>
          <w:rFonts w:hint="default" w:ascii="Times New Roman" w:hAnsi="Times New Roman" w:eastAsia="宋体" w:cs="Times New Roman"/>
          <w:color w:val="auto"/>
          <w:szCs w:val="21"/>
        </w:rPr>
        <w:t>dB(A)</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经叠加背景值后敏感点噪声声压级为昼间</w:t>
      </w:r>
      <w:r>
        <w:rPr>
          <w:rFonts w:hint="default" w:ascii="Times New Roman" w:hAnsi="Times New Roman" w:eastAsia="宋体" w:cs="Times New Roman"/>
          <w:color w:val="auto"/>
          <w:szCs w:val="21"/>
          <w:lang w:eastAsia="zh-CN"/>
        </w:rPr>
        <w:t>5</w:t>
      </w:r>
      <w:r>
        <w:rPr>
          <w:rFonts w:hint="eastAsia" w:cs="Times New Roman"/>
          <w:color w:val="auto"/>
          <w:szCs w:val="21"/>
          <w:lang w:val="en-US" w:eastAsia="zh-CN"/>
        </w:rPr>
        <w:t>6.2</w:t>
      </w:r>
      <w:r>
        <w:rPr>
          <w:rFonts w:hint="default" w:ascii="Times New Roman" w:hAnsi="Times New Roman" w:eastAsia="宋体" w:cs="Times New Roman"/>
          <w:color w:val="auto"/>
          <w:szCs w:val="21"/>
        </w:rPr>
        <w:t>dB(A)</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夜间</w:t>
      </w:r>
      <w:r>
        <w:rPr>
          <w:rFonts w:hint="default" w:ascii="Times New Roman" w:hAnsi="Times New Roman" w:eastAsia="宋体" w:cs="Times New Roman"/>
          <w:color w:val="auto"/>
          <w:szCs w:val="21"/>
          <w:lang w:eastAsia="zh-CN"/>
        </w:rPr>
        <w:t>4</w:t>
      </w:r>
      <w:r>
        <w:rPr>
          <w:rFonts w:hint="eastAsia" w:cs="Times New Roman"/>
          <w:color w:val="auto"/>
          <w:szCs w:val="21"/>
          <w:lang w:val="en-US" w:eastAsia="zh-CN"/>
        </w:rPr>
        <w:t>5.1</w:t>
      </w:r>
      <w:r>
        <w:rPr>
          <w:rFonts w:hint="default" w:ascii="Times New Roman" w:hAnsi="Times New Roman" w:eastAsia="宋体" w:cs="Times New Roman"/>
          <w:color w:val="auto"/>
          <w:szCs w:val="21"/>
        </w:rPr>
        <w:t>B(A)</w:t>
      </w:r>
      <w:r>
        <w:rPr>
          <w:rFonts w:hint="default" w:ascii="Times New Roman" w:hAnsi="Times New Roman" w:eastAsia="宋体" w:cs="Times New Roman"/>
          <w:color w:val="auto"/>
          <w:szCs w:val="21"/>
          <w:lang w:eastAsia="zh-CN"/>
        </w:rPr>
        <w:t>，满足</w:t>
      </w:r>
      <w:r>
        <w:rPr>
          <w:rFonts w:hint="default" w:ascii="Times New Roman" w:hAnsi="Times New Roman" w:eastAsia="宋体" w:cs="Times New Roman"/>
          <w:color w:val="auto"/>
          <w:szCs w:val="21"/>
        </w:rPr>
        <w:t>《声环境质量标准》（GB3096-2008）中</w:t>
      </w:r>
      <w:r>
        <w:rPr>
          <w:rFonts w:hint="default" w:ascii="Times New Roman" w:hAnsi="Times New Roman" w:eastAsia="宋体" w:cs="Times New Roman"/>
          <w:color w:val="auto"/>
          <w:szCs w:val="21"/>
          <w:lang w:eastAsia="zh-CN"/>
        </w:rPr>
        <w:t>2</w:t>
      </w:r>
      <w:r>
        <w:rPr>
          <w:rFonts w:hint="default" w:ascii="Times New Roman" w:hAnsi="Times New Roman" w:eastAsia="宋体" w:cs="Times New Roman"/>
          <w:color w:val="auto"/>
          <w:szCs w:val="21"/>
        </w:rPr>
        <w:t>类标准要求</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lang w:val="en-US"/>
        </w:rPr>
        <w:t>本项目噪声经距离衰减后对其影响较小。</w:t>
      </w:r>
    </w:p>
    <w:p w14:paraId="5510DF5A">
      <w:pPr>
        <w:pStyle w:val="54"/>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rPr>
        <w:t>本项目对进港船舶</w:t>
      </w:r>
      <w:r>
        <w:rPr>
          <w:rFonts w:hint="default" w:ascii="Times New Roman" w:hAnsi="Times New Roman" w:eastAsia="宋体" w:cs="Times New Roman"/>
          <w:color w:val="auto"/>
          <w:lang w:val="en-US" w:eastAsia="zh-CN"/>
        </w:rPr>
        <w:t>拟</w:t>
      </w:r>
      <w:r>
        <w:rPr>
          <w:rFonts w:hint="default" w:ascii="Times New Roman" w:hAnsi="Times New Roman" w:eastAsia="宋体" w:cs="Times New Roman"/>
          <w:color w:val="auto"/>
          <w:lang w:val="en-US"/>
        </w:rPr>
        <w:t>采取</w:t>
      </w:r>
      <w:r>
        <w:rPr>
          <w:rFonts w:hint="default" w:ascii="Times New Roman" w:hAnsi="Times New Roman" w:eastAsia="宋体" w:cs="Times New Roman"/>
          <w:color w:val="auto"/>
          <w:szCs w:val="21"/>
        </w:rPr>
        <w:t>加强管理，降低航速，减少鸣笛次数等措施</w:t>
      </w:r>
      <w:r>
        <w:rPr>
          <w:rFonts w:hint="default" w:ascii="Times New Roman" w:hAnsi="Times New Roman" w:eastAsia="宋体" w:cs="Times New Roman"/>
          <w:color w:val="auto"/>
          <w:szCs w:val="21"/>
          <w:lang w:eastAsia="zh-CN"/>
        </w:rPr>
        <w:t>，汽车降低车速，禁止鸣笛</w:t>
      </w:r>
      <w:r>
        <w:rPr>
          <w:rFonts w:hint="default" w:ascii="Times New Roman" w:hAnsi="Times New Roman" w:eastAsia="宋体" w:cs="Times New Roman"/>
          <w:color w:val="auto"/>
          <w:szCs w:val="21"/>
        </w:rPr>
        <w:t>可降低声压级</w:t>
      </w:r>
      <w:r>
        <w:rPr>
          <w:rFonts w:hint="default" w:ascii="Times New Roman" w:hAnsi="Times New Roman" w:eastAsia="宋体" w:cs="Times New Roman"/>
          <w:color w:val="auto"/>
          <w:szCs w:val="21"/>
          <w:lang w:eastAsia="zh-CN"/>
        </w:rPr>
        <w:t>10-15</w:t>
      </w:r>
      <w:r>
        <w:rPr>
          <w:rFonts w:hint="default" w:ascii="Times New Roman" w:hAnsi="Times New Roman" w:eastAsia="宋体" w:cs="Times New Roman"/>
          <w:color w:val="auto"/>
          <w:szCs w:val="21"/>
        </w:rPr>
        <w:t>dB(A)</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lang w:val="en-US"/>
        </w:rPr>
        <w:t>故本项目营运期四场界噪声均可满足</w:t>
      </w:r>
      <w:r>
        <w:rPr>
          <w:rFonts w:hint="default" w:ascii="Times New Roman" w:hAnsi="Times New Roman" w:eastAsia="宋体" w:cs="Times New Roman"/>
          <w:color w:val="auto"/>
        </w:rPr>
        <w:t>《工业企业厂界环境噪声排放标准》（GB12348-2008）4类标准要求</w:t>
      </w:r>
      <w:r>
        <w:rPr>
          <w:rFonts w:hint="default" w:ascii="Times New Roman" w:hAnsi="Times New Roman" w:eastAsia="宋体" w:cs="Times New Roman"/>
          <w:color w:val="auto"/>
          <w:lang w:eastAsia="zh-CN"/>
        </w:rPr>
        <w:t>。</w:t>
      </w:r>
    </w:p>
    <w:p w14:paraId="045E6EDD">
      <w:pPr>
        <w:pStyle w:val="54"/>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2）对鱼类的影响</w:t>
      </w:r>
    </w:p>
    <w:p w14:paraId="51BFF20E">
      <w:pPr>
        <w:pStyle w:val="54"/>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kern w:val="2"/>
          <w:sz w:val="24"/>
          <w:szCs w:val="22"/>
          <w:lang w:val="en-US" w:eastAsia="zh-CN" w:bidi="ar-SA"/>
        </w:rPr>
      </w:pPr>
      <w:bookmarkStart w:id="672" w:name="_Toc116111711"/>
      <w:r>
        <w:rPr>
          <w:rFonts w:hint="default" w:ascii="Times New Roman" w:hAnsi="Times New Roman" w:eastAsia="宋体" w:cs="Times New Roman"/>
          <w:color w:val="auto"/>
          <w:kern w:val="2"/>
          <w:sz w:val="24"/>
          <w:szCs w:val="22"/>
          <w:lang w:val="en-US" w:eastAsia="zh-CN" w:bidi="ar-SA"/>
        </w:rPr>
        <w:t>本项目的噪声和振动主要来自于两个方面，一是鹿角交通渔政综合执法码头趸船产生的噪声和振动；二是来往船只产生的噪声、振动。项目作业区码头提质改造将对江豚、鱼类等水生生物资源的生存繁衍产生较大的影响，项目作业区码头提质改造作业应采取必要的措施减缓所带来的影响。工程主要噪声源强值、影响分析及减缓措施详见表5.2-</w:t>
      </w:r>
      <w:r>
        <w:rPr>
          <w:rFonts w:hint="eastAsia" w:cs="Times New Roman"/>
          <w:color w:val="auto"/>
          <w:kern w:val="2"/>
          <w:sz w:val="24"/>
          <w:szCs w:val="22"/>
          <w:lang w:val="en-US" w:eastAsia="zh-CN" w:bidi="ar-SA"/>
        </w:rPr>
        <w:t>6</w:t>
      </w:r>
      <w:r>
        <w:rPr>
          <w:rFonts w:hint="default" w:ascii="Times New Roman" w:hAnsi="Times New Roman" w:eastAsia="宋体" w:cs="Times New Roman"/>
          <w:color w:val="auto"/>
          <w:kern w:val="2"/>
          <w:sz w:val="24"/>
          <w:szCs w:val="22"/>
          <w:lang w:val="en-US" w:eastAsia="zh-CN" w:bidi="ar-SA"/>
        </w:rPr>
        <w:t>，主要振动源、影响分析及减缓措施详见表5.2-</w:t>
      </w:r>
      <w:r>
        <w:rPr>
          <w:rFonts w:hint="eastAsia" w:cs="Times New Roman"/>
          <w:color w:val="auto"/>
          <w:kern w:val="2"/>
          <w:sz w:val="24"/>
          <w:szCs w:val="22"/>
          <w:lang w:val="en-US" w:eastAsia="zh-CN" w:bidi="ar-SA"/>
        </w:rPr>
        <w:t>7</w:t>
      </w:r>
      <w:r>
        <w:rPr>
          <w:rFonts w:hint="default" w:ascii="Times New Roman" w:hAnsi="Times New Roman" w:eastAsia="宋体" w:cs="Times New Roman"/>
          <w:color w:val="auto"/>
          <w:kern w:val="2"/>
          <w:sz w:val="24"/>
          <w:szCs w:val="22"/>
          <w:lang w:val="en-US" w:eastAsia="zh-CN" w:bidi="ar-SA"/>
        </w:rPr>
        <w:t>。</w:t>
      </w:r>
    </w:p>
    <w:p w14:paraId="4AF3A8C7">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u w:val="none" w:color="auto"/>
        </w:rPr>
      </w:pPr>
      <w:r>
        <w:rPr>
          <w:rFonts w:hint="default" w:ascii="Times New Roman" w:hAnsi="Times New Roman" w:eastAsia="宋体" w:cs="Times New Roman"/>
          <w:b/>
          <w:color w:val="auto"/>
          <w:kern w:val="0"/>
          <w:szCs w:val="21"/>
          <w:lang w:val="en-US" w:eastAsia="zh-CN"/>
        </w:rPr>
        <w:t>表5.2-</w:t>
      </w:r>
      <w:r>
        <w:rPr>
          <w:rFonts w:hint="eastAsia" w:cs="Times New Roman"/>
          <w:b/>
          <w:color w:val="auto"/>
          <w:kern w:val="0"/>
          <w:szCs w:val="21"/>
          <w:lang w:val="en-US" w:eastAsia="zh-CN"/>
        </w:rPr>
        <w:t>6</w:t>
      </w:r>
      <w:r>
        <w:rPr>
          <w:rFonts w:hint="default" w:ascii="Times New Roman" w:hAnsi="Times New Roman" w:eastAsia="宋体" w:cs="Times New Roman"/>
          <w:b/>
          <w:color w:val="auto"/>
          <w:kern w:val="0"/>
          <w:szCs w:val="21"/>
          <w:lang w:val="en-US" w:eastAsia="zh-CN"/>
        </w:rPr>
        <w:t xml:space="preserve"> </w:t>
      </w:r>
      <w:r>
        <w:rPr>
          <w:rFonts w:hint="default" w:ascii="Times New Roman" w:hAnsi="Times New Roman" w:eastAsia="宋体" w:cs="Times New Roman"/>
          <w:b/>
          <w:color w:val="auto"/>
          <w:kern w:val="0"/>
          <w:szCs w:val="21"/>
        </w:rPr>
        <w:t>主要噪声源及影响分析表</w:t>
      </w:r>
    </w:p>
    <w:tbl>
      <w:tblPr>
        <w:tblStyle w:val="29"/>
        <w:tblW w:w="8342"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2065"/>
        <w:gridCol w:w="1575"/>
        <w:gridCol w:w="1635"/>
        <w:gridCol w:w="1440"/>
        <w:gridCol w:w="1627"/>
      </w:tblGrid>
      <w:tr w14:paraId="159532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2065" w:type="dxa"/>
            <w:noWrap w:val="0"/>
            <w:vAlign w:val="center"/>
          </w:tcPr>
          <w:p w14:paraId="42A31E72">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污染源种类</w:t>
            </w:r>
          </w:p>
        </w:tc>
        <w:tc>
          <w:tcPr>
            <w:tcW w:w="1575" w:type="dxa"/>
            <w:noWrap w:val="0"/>
            <w:vAlign w:val="center"/>
          </w:tcPr>
          <w:p w14:paraId="09AF9C98">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污染源分布位置</w:t>
            </w:r>
          </w:p>
        </w:tc>
        <w:tc>
          <w:tcPr>
            <w:tcW w:w="1635" w:type="dxa"/>
            <w:noWrap w:val="0"/>
            <w:vAlign w:val="center"/>
          </w:tcPr>
          <w:p w14:paraId="0A2306C1">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测量位置</w:t>
            </w:r>
          </w:p>
        </w:tc>
        <w:tc>
          <w:tcPr>
            <w:tcW w:w="1440" w:type="dxa"/>
            <w:noWrap w:val="0"/>
            <w:vAlign w:val="center"/>
          </w:tcPr>
          <w:p w14:paraId="3B4A305F">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平均A声级</w:t>
            </w:r>
          </w:p>
          <w:p w14:paraId="44111709">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（dB）</w:t>
            </w:r>
          </w:p>
        </w:tc>
        <w:tc>
          <w:tcPr>
            <w:tcW w:w="1627" w:type="dxa"/>
            <w:noWrap w:val="0"/>
            <w:vAlign w:val="center"/>
          </w:tcPr>
          <w:p w14:paraId="2FCC695A">
            <w:pPr>
              <w:spacing w:line="240" w:lineRule="exact"/>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影响评价</w:t>
            </w:r>
          </w:p>
        </w:tc>
      </w:tr>
      <w:tr w14:paraId="03E5B1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2065" w:type="dxa"/>
            <w:noWrap w:val="0"/>
            <w:vAlign w:val="center"/>
          </w:tcPr>
          <w:p w14:paraId="5851CEA7">
            <w:pPr>
              <w:spacing w:line="240" w:lineRule="exact"/>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鹿角交通渔政综合执法码头</w:t>
            </w:r>
            <w:r>
              <w:rPr>
                <w:rFonts w:hint="default" w:ascii="Times New Roman" w:hAnsi="Times New Roman" w:eastAsia="宋体" w:cs="Times New Roman"/>
                <w:color w:val="auto"/>
                <w:sz w:val="21"/>
                <w:szCs w:val="21"/>
                <w:u w:val="none" w:color="auto"/>
                <w:lang w:val="en-US" w:eastAsia="zh-CN"/>
              </w:rPr>
              <w:t>固定</w:t>
            </w:r>
            <w:r>
              <w:rPr>
                <w:rFonts w:hint="default" w:ascii="Times New Roman" w:hAnsi="Times New Roman" w:eastAsia="宋体" w:cs="Times New Roman"/>
                <w:color w:val="auto"/>
                <w:sz w:val="21"/>
                <w:szCs w:val="21"/>
                <w:u w:val="none" w:color="auto"/>
              </w:rPr>
              <w:t>趸船</w:t>
            </w:r>
          </w:p>
        </w:tc>
        <w:tc>
          <w:tcPr>
            <w:tcW w:w="1575" w:type="dxa"/>
            <w:noWrap w:val="0"/>
            <w:vAlign w:val="center"/>
          </w:tcPr>
          <w:p w14:paraId="3849226A">
            <w:pPr>
              <w:spacing w:line="240" w:lineRule="exact"/>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项目作业区</w:t>
            </w:r>
          </w:p>
        </w:tc>
        <w:tc>
          <w:tcPr>
            <w:tcW w:w="1635" w:type="dxa"/>
            <w:noWrap w:val="0"/>
            <w:vAlign w:val="center"/>
          </w:tcPr>
          <w:p w14:paraId="613FE4CB">
            <w:pPr>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距离声源10m</w:t>
            </w:r>
          </w:p>
        </w:tc>
        <w:tc>
          <w:tcPr>
            <w:tcW w:w="1440" w:type="dxa"/>
            <w:noWrap w:val="0"/>
            <w:vAlign w:val="center"/>
          </w:tcPr>
          <w:p w14:paraId="68BC2A2E">
            <w:pPr>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w:t>
            </w:r>
            <w:r>
              <w:rPr>
                <w:rFonts w:hint="default" w:ascii="Times New Roman" w:hAnsi="Times New Roman" w:eastAsia="宋体" w:cs="Times New Roman"/>
                <w:color w:val="auto"/>
                <w:sz w:val="21"/>
                <w:szCs w:val="21"/>
                <w:u w:val="none" w:color="auto"/>
                <w:lang w:val="en-US" w:eastAsia="zh-CN"/>
              </w:rPr>
              <w:t>85</w:t>
            </w:r>
            <w:r>
              <w:rPr>
                <w:rFonts w:hint="default" w:ascii="Times New Roman" w:hAnsi="Times New Roman" w:eastAsia="宋体" w:cs="Times New Roman"/>
                <w:color w:val="auto"/>
                <w:sz w:val="21"/>
                <w:szCs w:val="21"/>
                <w:u w:val="none" w:color="auto"/>
              </w:rPr>
              <w:t>dB</w:t>
            </w:r>
          </w:p>
        </w:tc>
        <w:tc>
          <w:tcPr>
            <w:tcW w:w="1627" w:type="dxa"/>
            <w:vMerge w:val="restart"/>
            <w:noWrap w:val="0"/>
            <w:vAlign w:val="center"/>
          </w:tcPr>
          <w:p w14:paraId="3E708941">
            <w:pPr>
              <w:spacing w:line="240" w:lineRule="exact"/>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影响</w:t>
            </w:r>
            <w:r>
              <w:rPr>
                <w:rFonts w:hint="default" w:ascii="Times New Roman" w:hAnsi="Times New Roman" w:eastAsia="宋体" w:cs="Times New Roman"/>
                <w:color w:val="auto"/>
                <w:sz w:val="21"/>
                <w:szCs w:val="21"/>
                <w:u w:val="none" w:color="auto"/>
                <w:lang w:val="en-US" w:eastAsia="zh-CN"/>
              </w:rPr>
              <w:t>较小</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项目区非</w:t>
            </w:r>
            <w:r>
              <w:rPr>
                <w:rFonts w:hint="default" w:ascii="Times New Roman" w:hAnsi="Times New Roman" w:eastAsia="宋体" w:cs="Times New Roman"/>
                <w:color w:val="auto"/>
                <w:sz w:val="21"/>
                <w:szCs w:val="21"/>
                <w:u w:val="none" w:color="auto"/>
              </w:rPr>
              <w:t>江豚</w:t>
            </w:r>
            <w:r>
              <w:rPr>
                <w:rFonts w:hint="default" w:ascii="Times New Roman" w:hAnsi="Times New Roman" w:eastAsia="宋体" w:cs="Times New Roman"/>
                <w:color w:val="auto"/>
                <w:sz w:val="21"/>
                <w:szCs w:val="21"/>
                <w:u w:val="none" w:color="auto"/>
                <w:lang w:val="en-US" w:eastAsia="zh-CN"/>
              </w:rPr>
              <w:t>活动区</w:t>
            </w:r>
          </w:p>
        </w:tc>
      </w:tr>
      <w:tr w14:paraId="172FD3D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2065" w:type="dxa"/>
            <w:noWrap w:val="0"/>
            <w:vAlign w:val="center"/>
          </w:tcPr>
          <w:p w14:paraId="0CA5C7F3">
            <w:pPr>
              <w:spacing w:line="240" w:lineRule="exact"/>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来往</w:t>
            </w:r>
            <w:r>
              <w:rPr>
                <w:rFonts w:hint="default" w:ascii="Times New Roman" w:hAnsi="Times New Roman" w:eastAsia="宋体" w:cs="Times New Roman"/>
                <w:color w:val="auto"/>
                <w:sz w:val="21"/>
                <w:szCs w:val="21"/>
                <w:u w:val="none" w:color="auto"/>
              </w:rPr>
              <w:t>船</w:t>
            </w:r>
            <w:r>
              <w:rPr>
                <w:rFonts w:hint="default" w:ascii="Times New Roman" w:hAnsi="Times New Roman" w:eastAsia="宋体" w:cs="Times New Roman"/>
                <w:color w:val="auto"/>
                <w:sz w:val="21"/>
                <w:szCs w:val="21"/>
                <w:u w:val="none" w:color="auto"/>
                <w:lang w:val="en-US" w:eastAsia="zh-CN"/>
              </w:rPr>
              <w:t>只</w:t>
            </w:r>
          </w:p>
        </w:tc>
        <w:tc>
          <w:tcPr>
            <w:tcW w:w="1575" w:type="dxa"/>
            <w:noWrap w:val="0"/>
            <w:vAlign w:val="center"/>
          </w:tcPr>
          <w:p w14:paraId="287C0FB8">
            <w:pPr>
              <w:spacing w:line="240" w:lineRule="exact"/>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项目作业区</w:t>
            </w:r>
          </w:p>
        </w:tc>
        <w:tc>
          <w:tcPr>
            <w:tcW w:w="1635" w:type="dxa"/>
            <w:noWrap w:val="0"/>
            <w:vAlign w:val="center"/>
          </w:tcPr>
          <w:p w14:paraId="7485D301">
            <w:pPr>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距离声源10m</w:t>
            </w:r>
          </w:p>
        </w:tc>
        <w:tc>
          <w:tcPr>
            <w:tcW w:w="1440" w:type="dxa"/>
            <w:noWrap w:val="0"/>
            <w:vAlign w:val="center"/>
          </w:tcPr>
          <w:p w14:paraId="44209247">
            <w:pPr>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70-112dB</w:t>
            </w:r>
          </w:p>
        </w:tc>
        <w:tc>
          <w:tcPr>
            <w:tcW w:w="1627" w:type="dxa"/>
            <w:vMerge w:val="continue"/>
            <w:noWrap w:val="0"/>
            <w:vAlign w:val="center"/>
          </w:tcPr>
          <w:p w14:paraId="49D8A2C8">
            <w:pPr>
              <w:spacing w:line="240" w:lineRule="exact"/>
              <w:ind w:firstLine="0" w:firstLineChars="0"/>
              <w:jc w:val="center"/>
              <w:rPr>
                <w:rFonts w:hint="default" w:ascii="Times New Roman" w:hAnsi="Times New Roman" w:eastAsia="宋体" w:cs="Times New Roman"/>
                <w:color w:val="auto"/>
                <w:sz w:val="21"/>
                <w:szCs w:val="21"/>
                <w:u w:val="none" w:color="auto"/>
              </w:rPr>
            </w:pPr>
          </w:p>
        </w:tc>
      </w:tr>
    </w:tbl>
    <w:p w14:paraId="4C0353A1">
      <w:pPr>
        <w:keepNext w:val="0"/>
        <w:keepLines w:val="0"/>
        <w:pageBreakBefore w:val="0"/>
        <w:widowControl w:val="0"/>
        <w:kinsoku/>
        <w:wordWrap/>
        <w:overflowPunct/>
        <w:topLinePunct w:val="0"/>
        <w:autoSpaceDE w:val="0"/>
        <w:autoSpaceDN w:val="0"/>
        <w:bidi w:val="0"/>
        <w:adjustRightInd w:val="0"/>
        <w:snapToGrid/>
        <w:spacing w:before="167" w:beforeLines="50" w:line="240" w:lineRule="auto"/>
        <w:ind w:left="0" w:leftChars="0" w:firstLine="0" w:firstLineChars="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lang w:val="en-US" w:eastAsia="zh-CN"/>
        </w:rPr>
        <w:t>表5.2-</w:t>
      </w:r>
      <w:r>
        <w:rPr>
          <w:rFonts w:hint="eastAsia" w:ascii="Times New Roman" w:hAnsi="Times New Roman" w:eastAsia="宋体" w:cs="Times New Roman"/>
          <w:b/>
          <w:color w:val="auto"/>
          <w:kern w:val="0"/>
          <w:szCs w:val="21"/>
          <w:lang w:val="en-US" w:eastAsia="zh-CN"/>
        </w:rPr>
        <w:t>7</w:t>
      </w:r>
      <w:r>
        <w:rPr>
          <w:rFonts w:hint="default" w:ascii="Times New Roman" w:hAnsi="Times New Roman" w:eastAsia="宋体" w:cs="Times New Roman"/>
          <w:b/>
          <w:color w:val="auto"/>
          <w:kern w:val="0"/>
          <w:szCs w:val="21"/>
        </w:rPr>
        <w:t>主要振动源及影响分析表</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696"/>
        <w:gridCol w:w="1635"/>
        <w:gridCol w:w="1631"/>
        <w:gridCol w:w="1738"/>
        <w:gridCol w:w="1612"/>
      </w:tblGrid>
      <w:tr w14:paraId="1BF1B0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96" w:type="dxa"/>
            <w:noWrap w:val="0"/>
            <w:vAlign w:val="center"/>
          </w:tcPr>
          <w:p w14:paraId="502A27FA">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污染源种类</w:t>
            </w:r>
          </w:p>
        </w:tc>
        <w:tc>
          <w:tcPr>
            <w:tcW w:w="1635" w:type="dxa"/>
            <w:noWrap w:val="0"/>
            <w:vAlign w:val="center"/>
          </w:tcPr>
          <w:p w14:paraId="074DE873">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污染源分布位置</w:t>
            </w:r>
          </w:p>
        </w:tc>
        <w:tc>
          <w:tcPr>
            <w:tcW w:w="1631" w:type="dxa"/>
            <w:noWrap w:val="0"/>
            <w:vAlign w:val="center"/>
          </w:tcPr>
          <w:p w14:paraId="50783938">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测量位置</w:t>
            </w:r>
          </w:p>
        </w:tc>
        <w:tc>
          <w:tcPr>
            <w:tcW w:w="1738" w:type="dxa"/>
            <w:noWrap w:val="0"/>
            <w:vAlign w:val="center"/>
          </w:tcPr>
          <w:p w14:paraId="7D90BE38">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最大Z</w:t>
            </w:r>
            <w:r>
              <w:rPr>
                <w:rFonts w:hint="default" w:ascii="Times New Roman" w:hAnsi="Times New Roman" w:eastAsia="宋体" w:cs="Times New Roman"/>
                <w:b/>
                <w:bCs/>
                <w:color w:val="auto"/>
                <w:spacing w:val="1"/>
                <w:sz w:val="21"/>
                <w:szCs w:val="21"/>
                <w:u w:val="none" w:color="auto"/>
              </w:rPr>
              <w:t>振级</w:t>
            </w:r>
            <w:r>
              <w:rPr>
                <w:rFonts w:hint="default" w:ascii="Times New Roman" w:hAnsi="Times New Roman" w:eastAsia="宋体" w:cs="Times New Roman"/>
                <w:b/>
                <w:bCs/>
                <w:color w:val="auto"/>
                <w:sz w:val="21"/>
                <w:szCs w:val="21"/>
                <w:u w:val="none" w:color="auto"/>
              </w:rPr>
              <w:t>（dB）</w:t>
            </w:r>
          </w:p>
        </w:tc>
        <w:tc>
          <w:tcPr>
            <w:tcW w:w="1612" w:type="dxa"/>
            <w:noWrap w:val="0"/>
            <w:vAlign w:val="center"/>
          </w:tcPr>
          <w:p w14:paraId="41ED998E">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影响评价</w:t>
            </w:r>
          </w:p>
        </w:tc>
      </w:tr>
      <w:tr w14:paraId="6AFD63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96" w:type="dxa"/>
            <w:noWrap w:val="0"/>
            <w:vAlign w:val="center"/>
          </w:tcPr>
          <w:p w14:paraId="4A1383A2">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鹿角交通渔政综合执法码头</w:t>
            </w:r>
            <w:r>
              <w:rPr>
                <w:rFonts w:hint="default" w:ascii="Times New Roman" w:hAnsi="Times New Roman" w:eastAsia="宋体" w:cs="Times New Roman"/>
                <w:color w:val="auto"/>
                <w:sz w:val="21"/>
                <w:szCs w:val="21"/>
                <w:u w:val="none" w:color="auto"/>
                <w:lang w:val="en-US" w:eastAsia="zh-CN"/>
              </w:rPr>
              <w:t>固定</w:t>
            </w:r>
            <w:r>
              <w:rPr>
                <w:rFonts w:hint="default" w:ascii="Times New Roman" w:hAnsi="Times New Roman" w:eastAsia="宋体" w:cs="Times New Roman"/>
                <w:color w:val="auto"/>
                <w:sz w:val="21"/>
                <w:szCs w:val="21"/>
                <w:u w:val="none" w:color="auto"/>
                <w:lang w:eastAsia="zh-CN"/>
              </w:rPr>
              <w:t>趸船</w:t>
            </w:r>
          </w:p>
        </w:tc>
        <w:tc>
          <w:tcPr>
            <w:tcW w:w="1635" w:type="dxa"/>
            <w:noWrap w:val="0"/>
            <w:vAlign w:val="center"/>
          </w:tcPr>
          <w:p w14:paraId="5BDA3FF7">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项目作业区</w:t>
            </w:r>
          </w:p>
        </w:tc>
        <w:tc>
          <w:tcPr>
            <w:tcW w:w="1631" w:type="dxa"/>
            <w:noWrap w:val="0"/>
            <w:vAlign w:val="center"/>
          </w:tcPr>
          <w:p w14:paraId="5FA59B2B">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距离振源10m</w:t>
            </w:r>
          </w:p>
        </w:tc>
        <w:tc>
          <w:tcPr>
            <w:tcW w:w="1738" w:type="dxa"/>
            <w:noWrap w:val="0"/>
            <w:vAlign w:val="center"/>
          </w:tcPr>
          <w:p w14:paraId="552CD371">
            <w:pPr>
              <w:pStyle w:val="56"/>
              <w:spacing w:before="105"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70</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85</w:t>
            </w:r>
            <w:r>
              <w:rPr>
                <w:rFonts w:hint="default" w:ascii="Times New Roman" w:hAnsi="Times New Roman" w:eastAsia="宋体" w:cs="Times New Roman"/>
                <w:color w:val="auto"/>
                <w:sz w:val="21"/>
                <w:szCs w:val="21"/>
                <w:u w:val="none" w:color="auto"/>
              </w:rPr>
              <w:t>dB</w:t>
            </w:r>
          </w:p>
        </w:tc>
        <w:tc>
          <w:tcPr>
            <w:tcW w:w="1612" w:type="dxa"/>
            <w:vMerge w:val="restart"/>
            <w:noWrap w:val="0"/>
            <w:vAlign w:val="center"/>
          </w:tcPr>
          <w:p w14:paraId="538322AA">
            <w:pPr>
              <w:pStyle w:val="56"/>
              <w:spacing w:before="1"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影响</w:t>
            </w:r>
            <w:r>
              <w:rPr>
                <w:rFonts w:hint="default" w:ascii="Times New Roman" w:hAnsi="Times New Roman" w:eastAsia="宋体" w:cs="Times New Roman"/>
                <w:color w:val="auto"/>
                <w:sz w:val="21"/>
                <w:szCs w:val="21"/>
                <w:u w:val="none" w:color="auto"/>
                <w:lang w:val="en-US" w:eastAsia="zh-CN"/>
              </w:rPr>
              <w:t>较小</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项目区非</w:t>
            </w:r>
            <w:r>
              <w:rPr>
                <w:rFonts w:hint="default" w:ascii="Times New Roman" w:hAnsi="Times New Roman" w:eastAsia="宋体" w:cs="Times New Roman"/>
                <w:color w:val="auto"/>
                <w:sz w:val="21"/>
                <w:szCs w:val="21"/>
                <w:u w:val="none" w:color="auto"/>
              </w:rPr>
              <w:t>江豚</w:t>
            </w:r>
            <w:r>
              <w:rPr>
                <w:rFonts w:hint="default" w:ascii="Times New Roman" w:hAnsi="Times New Roman" w:eastAsia="宋体" w:cs="Times New Roman"/>
                <w:color w:val="auto"/>
                <w:sz w:val="21"/>
                <w:szCs w:val="21"/>
                <w:u w:val="none" w:color="auto"/>
                <w:lang w:val="en-US" w:eastAsia="zh-CN"/>
              </w:rPr>
              <w:t>活动区</w:t>
            </w:r>
          </w:p>
        </w:tc>
      </w:tr>
      <w:tr w14:paraId="2EBC6B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96" w:type="dxa"/>
            <w:noWrap w:val="0"/>
            <w:vAlign w:val="center"/>
          </w:tcPr>
          <w:p w14:paraId="44F6AEF2">
            <w:pPr>
              <w:pStyle w:val="56"/>
              <w:spacing w:line="240" w:lineRule="exact"/>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来往</w:t>
            </w:r>
            <w:r>
              <w:rPr>
                <w:rFonts w:hint="default" w:ascii="Times New Roman" w:hAnsi="Times New Roman" w:eastAsia="宋体" w:cs="Times New Roman"/>
                <w:color w:val="auto"/>
                <w:sz w:val="21"/>
                <w:szCs w:val="21"/>
                <w:u w:val="none" w:color="auto"/>
              </w:rPr>
              <w:t>船</w:t>
            </w:r>
            <w:r>
              <w:rPr>
                <w:rFonts w:hint="default" w:ascii="Times New Roman" w:hAnsi="Times New Roman" w:eastAsia="宋体" w:cs="Times New Roman"/>
                <w:color w:val="auto"/>
                <w:sz w:val="21"/>
                <w:szCs w:val="21"/>
                <w:u w:val="none" w:color="auto"/>
                <w:lang w:val="en-US" w:eastAsia="zh-CN"/>
              </w:rPr>
              <w:t>只</w:t>
            </w:r>
          </w:p>
        </w:tc>
        <w:tc>
          <w:tcPr>
            <w:tcW w:w="1635" w:type="dxa"/>
            <w:noWrap w:val="0"/>
            <w:vAlign w:val="center"/>
          </w:tcPr>
          <w:p w14:paraId="6AEB8D9A">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项目作业区</w:t>
            </w:r>
          </w:p>
        </w:tc>
        <w:tc>
          <w:tcPr>
            <w:tcW w:w="1631" w:type="dxa"/>
            <w:noWrap w:val="0"/>
            <w:vAlign w:val="center"/>
          </w:tcPr>
          <w:p w14:paraId="2DBDDD78">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距离声源10m</w:t>
            </w:r>
          </w:p>
        </w:tc>
        <w:tc>
          <w:tcPr>
            <w:tcW w:w="1738" w:type="dxa"/>
            <w:noWrap w:val="0"/>
            <w:vAlign w:val="center"/>
          </w:tcPr>
          <w:p w14:paraId="19E1FD44">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70-112dB</w:t>
            </w:r>
          </w:p>
        </w:tc>
        <w:tc>
          <w:tcPr>
            <w:tcW w:w="1612" w:type="dxa"/>
            <w:vMerge w:val="continue"/>
            <w:noWrap w:val="0"/>
            <w:vAlign w:val="center"/>
          </w:tcPr>
          <w:p w14:paraId="0C9AC631">
            <w:pPr>
              <w:pStyle w:val="56"/>
              <w:spacing w:before="1" w:line="240" w:lineRule="exact"/>
              <w:ind w:firstLine="0" w:firstLineChars="0"/>
              <w:jc w:val="center"/>
              <w:rPr>
                <w:rFonts w:hint="default" w:ascii="Times New Roman" w:hAnsi="Times New Roman" w:eastAsia="宋体" w:cs="Times New Roman"/>
                <w:color w:val="auto"/>
                <w:sz w:val="21"/>
                <w:szCs w:val="21"/>
                <w:u w:val="none" w:color="auto"/>
              </w:rPr>
            </w:pPr>
          </w:p>
        </w:tc>
      </w:tr>
    </w:tbl>
    <w:p w14:paraId="7D7CC903">
      <w:pPr>
        <w:keepNext w:val="0"/>
        <w:keepLines w:val="0"/>
        <w:pageBreakBefore w:val="0"/>
        <w:widowControl w:val="0"/>
        <w:kinsoku/>
        <w:wordWrap/>
        <w:overflowPunct/>
        <w:topLinePunct w:val="0"/>
        <w:autoSpaceDE/>
        <w:autoSpaceDN/>
        <w:bidi w:val="0"/>
        <w:adjustRightInd/>
        <w:snapToGrid/>
        <w:spacing w:line="120" w:lineRule="exact"/>
        <w:ind w:firstLine="560"/>
        <w:textAlignment w:val="auto"/>
        <w:rPr>
          <w:rFonts w:hint="default" w:ascii="Times New Roman" w:hAnsi="Times New Roman" w:eastAsia="宋体" w:cs="Times New Roman"/>
          <w:color w:val="auto"/>
          <w:u w:val="none" w:color="auto"/>
        </w:rPr>
      </w:pPr>
    </w:p>
    <w:p w14:paraId="142EB89F">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2、影响方式和程度</w:t>
      </w:r>
    </w:p>
    <w:p w14:paraId="43386E96">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（1）噪声和振动对江豚的影响</w:t>
      </w:r>
    </w:p>
    <w:p w14:paraId="748D6EB4">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在水下均以纵波的形式传播，对江豚的影响主要是干扰江豚的回声定位，致使江豚迷途。江豚迷途后游泳、呼吸、报食等活动均受到较严重的影响，如误入浅水区造成搁浅死亡、碰撞到</w:t>
      </w:r>
      <w:r>
        <w:rPr>
          <w:rFonts w:hint="default" w:ascii="Times New Roman" w:hAnsi="Times New Roman" w:eastAsia="宋体" w:cs="Times New Roman"/>
          <w:color w:val="auto"/>
          <w:u w:val="none" w:color="auto"/>
          <w:lang w:val="en-US" w:eastAsia="zh-CN"/>
        </w:rPr>
        <w:t>来往</w:t>
      </w:r>
      <w:r>
        <w:rPr>
          <w:rFonts w:hint="default" w:ascii="Times New Roman" w:hAnsi="Times New Roman" w:eastAsia="宋体" w:cs="Times New Roman"/>
          <w:color w:val="auto"/>
          <w:u w:val="none" w:color="auto"/>
        </w:rPr>
        <w:t>航行</w:t>
      </w:r>
      <w:r>
        <w:rPr>
          <w:rFonts w:hint="default" w:ascii="Times New Roman" w:hAnsi="Times New Roman" w:eastAsia="宋体" w:cs="Times New Roman"/>
          <w:color w:val="auto"/>
          <w:u w:val="none" w:color="auto"/>
          <w:lang w:val="en-US" w:eastAsia="zh-CN"/>
        </w:rPr>
        <w:t>的</w:t>
      </w:r>
      <w:r>
        <w:rPr>
          <w:rFonts w:hint="default" w:ascii="Times New Roman" w:hAnsi="Times New Roman" w:eastAsia="宋体" w:cs="Times New Roman"/>
          <w:color w:val="auto"/>
          <w:u w:val="none" w:color="auto"/>
        </w:rPr>
        <w:t>船舶螺旋桨上造成受伤甚至死亡。</w:t>
      </w:r>
    </w:p>
    <w:p w14:paraId="365FF221">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（2）噪声和振动对鱼类的影响</w:t>
      </w:r>
    </w:p>
    <w:p w14:paraId="201D6E75">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像其他脊椎动物一样，在大脑的两侧颅腔内，分别有两个内耳。水下噪声和振动波可使侧线及内耳感觉细胞引起反应，从而使鱼类感知它们。大多数鱼类多能听到的声音范围从50-1000Hz，少数鱼类能听到大于3kHz的声音，仅有极少数鱼类能够听到大于100kHz的声音。由于鱼体组织的密度和水密度的差异，特别是鱼鳔，水下声波传至鱼体时会产生明显震荡，这也是骨鳔鱼类（鲤科鱼类）对声音感知较为明显的原因。如果水下噪声和振动强度过大，就会引起鱼鳔等鱼体组织的损伤，特别严重时，甚至导致鱼类的直接死亡。</w:t>
      </w:r>
    </w:p>
    <w:p w14:paraId="46221158">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部分鱼类听力范围见表</w:t>
      </w:r>
      <w:r>
        <w:rPr>
          <w:rFonts w:hint="default" w:ascii="Times New Roman" w:hAnsi="Times New Roman" w:eastAsia="宋体" w:cs="Times New Roman"/>
          <w:color w:val="auto"/>
          <w:u w:val="none" w:color="auto"/>
          <w:lang w:val="en-US" w:eastAsia="zh-CN"/>
        </w:rPr>
        <w:t>5.2-</w:t>
      </w:r>
      <w:r>
        <w:rPr>
          <w:rFonts w:hint="eastAsia" w:cs="Times New Roman"/>
          <w:color w:val="auto"/>
          <w:u w:val="none" w:color="auto"/>
          <w:lang w:val="en-US" w:eastAsia="zh-CN"/>
        </w:rPr>
        <w:t>8</w:t>
      </w:r>
      <w:r>
        <w:rPr>
          <w:rFonts w:hint="default" w:ascii="Times New Roman" w:hAnsi="Times New Roman" w:eastAsia="宋体" w:cs="Times New Roman"/>
          <w:color w:val="auto"/>
          <w:u w:val="none" w:color="auto"/>
        </w:rPr>
        <w:t>。</w:t>
      </w:r>
    </w:p>
    <w:p w14:paraId="164D8A70">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表5.2-</w:t>
      </w:r>
      <w:r>
        <w:rPr>
          <w:rFonts w:hint="eastAsia" w:cs="Times New Roman"/>
          <w:color w:val="auto"/>
          <w:u w:val="none" w:color="auto"/>
          <w:lang w:val="en-US" w:eastAsia="zh-CN"/>
        </w:rPr>
        <w:t>8</w:t>
      </w:r>
      <w:r>
        <w:rPr>
          <w:rFonts w:hint="default" w:ascii="Times New Roman" w:hAnsi="Times New Roman" w:eastAsia="宋体" w:cs="Times New Roman"/>
          <w:color w:val="auto"/>
          <w:u w:val="none" w:color="auto"/>
          <w:lang w:val="en-US" w:eastAsia="zh-CN"/>
        </w:rPr>
        <w:t xml:space="preserve"> </w:t>
      </w:r>
      <w:r>
        <w:rPr>
          <w:rFonts w:hint="eastAsia" w:cs="Times New Roman"/>
          <w:color w:val="auto"/>
          <w:u w:val="none" w:color="auto"/>
          <w:lang w:val="en-US" w:eastAsia="zh-CN"/>
        </w:rPr>
        <w:t xml:space="preserve"> </w:t>
      </w:r>
      <w:r>
        <w:rPr>
          <w:rFonts w:hint="default" w:ascii="Times New Roman" w:hAnsi="Times New Roman" w:eastAsia="宋体" w:cs="Times New Roman"/>
          <w:color w:val="auto"/>
          <w:u w:val="none" w:color="auto"/>
        </w:rPr>
        <w:t>部分鱼类听力范围</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279"/>
        <w:gridCol w:w="1436"/>
        <w:gridCol w:w="3875"/>
        <w:gridCol w:w="1722"/>
      </w:tblGrid>
      <w:tr w14:paraId="0FCA25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279" w:type="dxa"/>
            <w:noWrap w:val="0"/>
            <w:vAlign w:val="center"/>
          </w:tcPr>
          <w:p w14:paraId="290FB9A4">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目</w:t>
            </w:r>
          </w:p>
        </w:tc>
        <w:tc>
          <w:tcPr>
            <w:tcW w:w="1436" w:type="dxa"/>
            <w:noWrap w:val="0"/>
            <w:vAlign w:val="center"/>
          </w:tcPr>
          <w:p w14:paraId="6B932F1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科</w:t>
            </w:r>
          </w:p>
        </w:tc>
        <w:tc>
          <w:tcPr>
            <w:tcW w:w="3875" w:type="dxa"/>
            <w:noWrap w:val="0"/>
            <w:vAlign w:val="center"/>
          </w:tcPr>
          <w:p w14:paraId="76807D3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物种</w:t>
            </w:r>
          </w:p>
        </w:tc>
        <w:tc>
          <w:tcPr>
            <w:tcW w:w="1722" w:type="dxa"/>
            <w:noWrap w:val="0"/>
            <w:vAlign w:val="center"/>
          </w:tcPr>
          <w:p w14:paraId="1B40FF0A">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听力范围/Hz</w:t>
            </w:r>
          </w:p>
        </w:tc>
      </w:tr>
      <w:tr w14:paraId="6D216A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restart"/>
            <w:noWrap w:val="0"/>
            <w:vAlign w:val="center"/>
          </w:tcPr>
          <w:p w14:paraId="3AE72C8F">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鲤形目</w:t>
            </w:r>
          </w:p>
        </w:tc>
        <w:tc>
          <w:tcPr>
            <w:tcW w:w="1436" w:type="dxa"/>
            <w:vMerge w:val="restart"/>
            <w:noWrap w:val="0"/>
            <w:vAlign w:val="center"/>
          </w:tcPr>
          <w:p w14:paraId="0CC082E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鲤科</w:t>
            </w:r>
          </w:p>
          <w:p w14:paraId="6ECCE18B">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w w:val="95"/>
                <w:sz w:val="21"/>
                <w:szCs w:val="21"/>
                <w:u w:val="none" w:color="auto"/>
              </w:rPr>
              <w:t>（主要保护对</w:t>
            </w:r>
            <w:r>
              <w:rPr>
                <w:rFonts w:hint="default" w:ascii="Times New Roman" w:hAnsi="Times New Roman" w:eastAsia="宋体" w:cs="Times New Roman"/>
                <w:b/>
                <w:bCs/>
                <w:color w:val="auto"/>
                <w:sz w:val="21"/>
                <w:szCs w:val="21"/>
                <w:u w:val="none" w:color="auto"/>
              </w:rPr>
              <w:t>象为鲤科鱼</w:t>
            </w:r>
            <w:r>
              <w:rPr>
                <w:rFonts w:hint="default" w:ascii="Times New Roman" w:hAnsi="Times New Roman" w:eastAsia="宋体" w:cs="Times New Roman"/>
                <w:b/>
                <w:bCs/>
                <w:color w:val="auto"/>
                <w:spacing w:val="1"/>
                <w:sz w:val="21"/>
                <w:szCs w:val="21"/>
                <w:u w:val="none" w:color="auto"/>
              </w:rPr>
              <w:t>类）</w:t>
            </w:r>
          </w:p>
        </w:tc>
        <w:tc>
          <w:tcPr>
            <w:tcW w:w="3875" w:type="dxa"/>
            <w:noWrap w:val="0"/>
            <w:vAlign w:val="center"/>
          </w:tcPr>
          <w:p w14:paraId="02D9857D">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鲫</w:t>
            </w:r>
            <w:r>
              <w:rPr>
                <w:rFonts w:hint="default" w:ascii="Times New Roman" w:hAnsi="Times New Roman" w:eastAsia="宋体" w:cs="Times New Roman"/>
                <w:i/>
                <w:color w:val="auto"/>
                <w:spacing w:val="-1"/>
                <w:sz w:val="21"/>
                <w:szCs w:val="21"/>
                <w:u w:val="none" w:color="auto"/>
              </w:rPr>
              <w:t xml:space="preserve">（Carassius </w:t>
            </w:r>
            <w:r>
              <w:rPr>
                <w:rFonts w:hint="default" w:ascii="Times New Roman" w:hAnsi="Times New Roman" w:eastAsia="宋体" w:cs="Times New Roman"/>
                <w:i/>
                <w:color w:val="auto"/>
                <w:sz w:val="21"/>
                <w:szCs w:val="21"/>
                <w:u w:val="none" w:color="auto"/>
              </w:rPr>
              <w:t>auratus）</w:t>
            </w:r>
          </w:p>
        </w:tc>
        <w:tc>
          <w:tcPr>
            <w:tcW w:w="1722" w:type="dxa"/>
            <w:noWrap w:val="0"/>
            <w:vAlign w:val="center"/>
          </w:tcPr>
          <w:p w14:paraId="5F95DF13">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200-2000</w:t>
            </w:r>
          </w:p>
        </w:tc>
      </w:tr>
      <w:tr w14:paraId="4ABB5C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0482D8FD">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7BF15333">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697511B3">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橙鳍沙鳅</w:t>
            </w:r>
            <w:r>
              <w:rPr>
                <w:rFonts w:hint="default" w:ascii="Times New Roman" w:hAnsi="Times New Roman" w:eastAsia="宋体" w:cs="Times New Roman"/>
                <w:i/>
                <w:color w:val="auto"/>
                <w:sz w:val="21"/>
                <w:szCs w:val="21"/>
                <w:u w:val="none" w:color="auto"/>
              </w:rPr>
              <w:t xml:space="preserve">（Botia </w:t>
            </w:r>
            <w:r>
              <w:rPr>
                <w:rFonts w:hint="default" w:ascii="Times New Roman" w:hAnsi="Times New Roman" w:eastAsia="宋体" w:cs="Times New Roman"/>
                <w:i/>
                <w:color w:val="auto"/>
                <w:spacing w:val="-1"/>
                <w:sz w:val="21"/>
                <w:szCs w:val="21"/>
                <w:u w:val="none" w:color="auto"/>
              </w:rPr>
              <w:t>modesta）</w:t>
            </w:r>
          </w:p>
        </w:tc>
        <w:tc>
          <w:tcPr>
            <w:tcW w:w="1722" w:type="dxa"/>
            <w:noWrap w:val="0"/>
            <w:vAlign w:val="center"/>
          </w:tcPr>
          <w:p w14:paraId="4F4BD8C3">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300-2000</w:t>
            </w:r>
          </w:p>
        </w:tc>
      </w:tr>
      <w:tr w14:paraId="648EA1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23910EA6">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5F979B55">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2C4B7DA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鲢</w:t>
            </w:r>
            <w:r>
              <w:rPr>
                <w:rFonts w:hint="default" w:ascii="Times New Roman" w:hAnsi="Times New Roman" w:eastAsia="宋体" w:cs="Times New Roman"/>
                <w:i/>
                <w:color w:val="auto"/>
                <w:spacing w:val="-1"/>
                <w:sz w:val="21"/>
                <w:szCs w:val="21"/>
                <w:u w:val="none" w:color="auto"/>
              </w:rPr>
              <w:t>（Hypopthalmichthys molitrix）</w:t>
            </w:r>
          </w:p>
        </w:tc>
        <w:tc>
          <w:tcPr>
            <w:tcW w:w="1722" w:type="dxa"/>
            <w:noWrap w:val="0"/>
            <w:vAlign w:val="center"/>
          </w:tcPr>
          <w:p w14:paraId="7D4E916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300-2000</w:t>
            </w:r>
          </w:p>
        </w:tc>
      </w:tr>
      <w:tr w14:paraId="09EF60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63A53C95">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1CD9B3DF">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4C5EF146">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鳙</w:t>
            </w:r>
            <w:r>
              <w:rPr>
                <w:rFonts w:hint="default" w:ascii="Times New Roman" w:hAnsi="Times New Roman" w:eastAsia="宋体" w:cs="Times New Roman"/>
                <w:i/>
                <w:color w:val="auto"/>
                <w:sz w:val="21"/>
                <w:szCs w:val="21"/>
                <w:u w:val="none" w:color="auto"/>
              </w:rPr>
              <w:t>（Aristichthys nobilis）</w:t>
            </w:r>
          </w:p>
        </w:tc>
        <w:tc>
          <w:tcPr>
            <w:tcW w:w="1722" w:type="dxa"/>
            <w:noWrap w:val="0"/>
            <w:vAlign w:val="center"/>
          </w:tcPr>
          <w:p w14:paraId="24CE6FB9">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300-2000</w:t>
            </w:r>
          </w:p>
        </w:tc>
      </w:tr>
      <w:tr w14:paraId="2C0864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noWrap w:val="0"/>
            <w:vAlign w:val="center"/>
          </w:tcPr>
          <w:p w14:paraId="668F8360">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脂鲤目</w:t>
            </w:r>
          </w:p>
        </w:tc>
        <w:tc>
          <w:tcPr>
            <w:tcW w:w="1436" w:type="dxa"/>
            <w:noWrap w:val="0"/>
            <w:vAlign w:val="center"/>
          </w:tcPr>
          <w:p w14:paraId="4277E894">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脂鲤科</w:t>
            </w:r>
          </w:p>
        </w:tc>
        <w:tc>
          <w:tcPr>
            <w:tcW w:w="3875" w:type="dxa"/>
            <w:noWrap w:val="0"/>
            <w:vAlign w:val="center"/>
          </w:tcPr>
          <w:p w14:paraId="1E403E14">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食人鲳</w:t>
            </w:r>
            <w:r>
              <w:rPr>
                <w:rFonts w:hint="default" w:ascii="Times New Roman" w:hAnsi="Times New Roman" w:eastAsia="宋体" w:cs="Times New Roman"/>
                <w:i/>
                <w:color w:val="auto"/>
                <w:spacing w:val="-1"/>
                <w:sz w:val="21"/>
                <w:szCs w:val="21"/>
                <w:u w:val="none" w:color="auto"/>
              </w:rPr>
              <w:t>（Serrasalmus nattereri）</w:t>
            </w:r>
          </w:p>
        </w:tc>
        <w:tc>
          <w:tcPr>
            <w:tcW w:w="1722" w:type="dxa"/>
            <w:noWrap w:val="0"/>
            <w:vAlign w:val="center"/>
          </w:tcPr>
          <w:p w14:paraId="214A4555">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100-2000</w:t>
            </w:r>
          </w:p>
        </w:tc>
      </w:tr>
      <w:tr w14:paraId="4801E9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restart"/>
            <w:noWrap w:val="0"/>
            <w:vAlign w:val="center"/>
          </w:tcPr>
          <w:p w14:paraId="69819A75">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鲶形目</w:t>
            </w:r>
          </w:p>
        </w:tc>
        <w:tc>
          <w:tcPr>
            <w:tcW w:w="1436" w:type="dxa"/>
            <w:vMerge w:val="restart"/>
            <w:noWrap w:val="0"/>
            <w:vAlign w:val="center"/>
          </w:tcPr>
          <w:p w14:paraId="43A2147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棘甲鲶科</w:t>
            </w:r>
          </w:p>
        </w:tc>
        <w:tc>
          <w:tcPr>
            <w:tcW w:w="3875" w:type="dxa"/>
            <w:noWrap w:val="0"/>
            <w:vAlign w:val="center"/>
          </w:tcPr>
          <w:p w14:paraId="78BB8D19">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平囊鲶</w:t>
            </w:r>
            <w:r>
              <w:rPr>
                <w:rFonts w:hint="default" w:ascii="Times New Roman" w:hAnsi="Times New Roman" w:eastAsia="宋体" w:cs="Times New Roman"/>
                <w:i/>
                <w:color w:val="auto"/>
                <w:spacing w:val="-1"/>
                <w:sz w:val="21"/>
                <w:szCs w:val="21"/>
                <w:u w:val="none" w:color="auto"/>
              </w:rPr>
              <w:t>（Platydoras costatus）</w:t>
            </w:r>
          </w:p>
        </w:tc>
        <w:tc>
          <w:tcPr>
            <w:tcW w:w="1722" w:type="dxa"/>
            <w:noWrap w:val="0"/>
            <w:vAlign w:val="center"/>
          </w:tcPr>
          <w:p w14:paraId="6BB61B83">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100-4000</w:t>
            </w:r>
          </w:p>
        </w:tc>
      </w:tr>
      <w:tr w14:paraId="5CA5A4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3E3C42C7">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70CAA2D7">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19FC9D2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梳额蜴鲶</w:t>
            </w:r>
            <w:r>
              <w:rPr>
                <w:rFonts w:hint="default" w:ascii="Times New Roman" w:hAnsi="Times New Roman" w:eastAsia="宋体" w:cs="Times New Roman"/>
                <w:i/>
                <w:color w:val="auto"/>
                <w:sz w:val="21"/>
                <w:szCs w:val="21"/>
                <w:u w:val="none" w:color="auto"/>
              </w:rPr>
              <w:t xml:space="preserve">（Agamyxis </w:t>
            </w:r>
            <w:r>
              <w:rPr>
                <w:rFonts w:hint="default" w:ascii="Times New Roman" w:hAnsi="Times New Roman" w:eastAsia="宋体" w:cs="Times New Roman"/>
                <w:i/>
                <w:color w:val="auto"/>
                <w:spacing w:val="-1"/>
                <w:sz w:val="21"/>
                <w:szCs w:val="21"/>
                <w:u w:val="none" w:color="auto"/>
              </w:rPr>
              <w:t>pectinifrons）</w:t>
            </w:r>
          </w:p>
        </w:tc>
        <w:tc>
          <w:tcPr>
            <w:tcW w:w="1722" w:type="dxa"/>
            <w:noWrap w:val="0"/>
            <w:vAlign w:val="center"/>
          </w:tcPr>
          <w:p w14:paraId="6A7B10FF">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100-3000</w:t>
            </w:r>
          </w:p>
        </w:tc>
      </w:tr>
      <w:tr w14:paraId="6C2AC0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153FEF37">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restart"/>
            <w:noWrap w:val="0"/>
            <w:vAlign w:val="center"/>
          </w:tcPr>
          <w:p w14:paraId="6ACE1AF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长须鲶科</w:t>
            </w:r>
          </w:p>
        </w:tc>
        <w:tc>
          <w:tcPr>
            <w:tcW w:w="3875" w:type="dxa"/>
            <w:noWrap w:val="0"/>
            <w:vAlign w:val="center"/>
          </w:tcPr>
          <w:p w14:paraId="2048C292">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布氏油鲶</w:t>
            </w:r>
            <w:r>
              <w:rPr>
                <w:rFonts w:hint="default" w:ascii="Times New Roman" w:hAnsi="Times New Roman" w:eastAsia="宋体" w:cs="Times New Roman"/>
                <w:i/>
                <w:color w:val="auto"/>
                <w:sz w:val="21"/>
                <w:szCs w:val="21"/>
                <w:u w:val="none" w:color="auto"/>
              </w:rPr>
              <w:t xml:space="preserve">（Pimelodus </w:t>
            </w:r>
            <w:r>
              <w:rPr>
                <w:rFonts w:hint="default" w:ascii="Times New Roman" w:hAnsi="Times New Roman" w:eastAsia="宋体" w:cs="Times New Roman"/>
                <w:i/>
                <w:color w:val="auto"/>
                <w:spacing w:val="-1"/>
                <w:sz w:val="21"/>
                <w:szCs w:val="21"/>
                <w:u w:val="none" w:color="auto"/>
              </w:rPr>
              <w:t>blochii）</w:t>
            </w:r>
          </w:p>
        </w:tc>
        <w:tc>
          <w:tcPr>
            <w:tcW w:w="1722" w:type="dxa"/>
            <w:noWrap w:val="0"/>
            <w:vAlign w:val="center"/>
          </w:tcPr>
          <w:p w14:paraId="5077CB03">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100-4000</w:t>
            </w:r>
          </w:p>
        </w:tc>
      </w:tr>
      <w:tr w14:paraId="130705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6911089B">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6F40946F">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12285505">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平口油鲶</w:t>
            </w:r>
            <w:r>
              <w:rPr>
                <w:rFonts w:hint="default" w:ascii="Times New Roman" w:hAnsi="Times New Roman" w:eastAsia="宋体" w:cs="Times New Roman"/>
                <w:i/>
                <w:color w:val="auto"/>
                <w:sz w:val="21"/>
                <w:szCs w:val="21"/>
                <w:u w:val="none" w:color="auto"/>
              </w:rPr>
              <w:t xml:space="preserve">（Pimelodus </w:t>
            </w:r>
            <w:r>
              <w:rPr>
                <w:rFonts w:hint="default" w:ascii="Times New Roman" w:hAnsi="Times New Roman" w:eastAsia="宋体" w:cs="Times New Roman"/>
                <w:i/>
                <w:color w:val="auto"/>
                <w:spacing w:val="-1"/>
                <w:sz w:val="21"/>
                <w:szCs w:val="21"/>
                <w:u w:val="none" w:color="auto"/>
              </w:rPr>
              <w:t>pictus）</w:t>
            </w:r>
          </w:p>
        </w:tc>
        <w:tc>
          <w:tcPr>
            <w:tcW w:w="1722" w:type="dxa"/>
            <w:noWrap w:val="0"/>
            <w:vAlign w:val="center"/>
          </w:tcPr>
          <w:p w14:paraId="51744FE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300-400</w:t>
            </w:r>
          </w:p>
        </w:tc>
      </w:tr>
      <w:tr w14:paraId="4FABBA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7069CCE2">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noWrap w:val="0"/>
            <w:vAlign w:val="center"/>
          </w:tcPr>
          <w:p w14:paraId="1D1B7714">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美鲶科</w:t>
            </w:r>
          </w:p>
        </w:tc>
        <w:tc>
          <w:tcPr>
            <w:tcW w:w="3875" w:type="dxa"/>
            <w:noWrap w:val="0"/>
            <w:vAlign w:val="center"/>
          </w:tcPr>
          <w:p w14:paraId="257A886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杂色兵鲶</w:t>
            </w:r>
            <w:r>
              <w:rPr>
                <w:rFonts w:hint="default" w:ascii="Times New Roman" w:hAnsi="Times New Roman" w:eastAsia="宋体" w:cs="Times New Roman"/>
                <w:i/>
                <w:color w:val="auto"/>
                <w:sz w:val="21"/>
                <w:szCs w:val="21"/>
                <w:u w:val="none" w:color="auto"/>
              </w:rPr>
              <w:t>（Corydoras paleatus）</w:t>
            </w:r>
          </w:p>
        </w:tc>
        <w:tc>
          <w:tcPr>
            <w:tcW w:w="1722" w:type="dxa"/>
            <w:noWrap w:val="0"/>
            <w:vAlign w:val="center"/>
          </w:tcPr>
          <w:p w14:paraId="2FE9BDB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100-1500</w:t>
            </w:r>
          </w:p>
        </w:tc>
      </w:tr>
      <w:tr w14:paraId="6C0AFB3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noWrap w:val="0"/>
            <w:vAlign w:val="center"/>
          </w:tcPr>
          <w:p w14:paraId="35BA01A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裸背鱼目</w:t>
            </w:r>
          </w:p>
        </w:tc>
        <w:tc>
          <w:tcPr>
            <w:tcW w:w="1436" w:type="dxa"/>
            <w:noWrap w:val="0"/>
            <w:vAlign w:val="center"/>
          </w:tcPr>
          <w:p w14:paraId="60B17EDB">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大电鳗科</w:t>
            </w:r>
          </w:p>
        </w:tc>
        <w:tc>
          <w:tcPr>
            <w:tcW w:w="3875" w:type="dxa"/>
            <w:noWrap w:val="0"/>
            <w:vAlign w:val="center"/>
          </w:tcPr>
          <w:p w14:paraId="2C34409D">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青色埃氏电鳗</w:t>
            </w:r>
            <w:r>
              <w:rPr>
                <w:rFonts w:hint="default" w:ascii="Times New Roman" w:hAnsi="Times New Roman" w:eastAsia="宋体" w:cs="Times New Roman"/>
                <w:i/>
                <w:color w:val="auto"/>
                <w:spacing w:val="-1"/>
                <w:sz w:val="21"/>
                <w:szCs w:val="21"/>
                <w:u w:val="none" w:color="auto"/>
              </w:rPr>
              <w:t>（Eigenmannia virescens）</w:t>
            </w:r>
          </w:p>
        </w:tc>
        <w:tc>
          <w:tcPr>
            <w:tcW w:w="1722" w:type="dxa"/>
            <w:noWrap w:val="0"/>
            <w:vAlign w:val="center"/>
          </w:tcPr>
          <w:p w14:paraId="43810520">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200-1500</w:t>
            </w:r>
          </w:p>
        </w:tc>
      </w:tr>
      <w:tr w14:paraId="24F280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restart"/>
            <w:noWrap w:val="0"/>
            <w:vAlign w:val="center"/>
          </w:tcPr>
          <w:p w14:paraId="4505DD2F">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鲈形目</w:t>
            </w:r>
          </w:p>
        </w:tc>
        <w:tc>
          <w:tcPr>
            <w:tcW w:w="1436" w:type="dxa"/>
            <w:vMerge w:val="restart"/>
            <w:noWrap w:val="0"/>
            <w:vAlign w:val="center"/>
          </w:tcPr>
          <w:p w14:paraId="67A4BE3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攀鲈科</w:t>
            </w:r>
          </w:p>
        </w:tc>
        <w:tc>
          <w:tcPr>
            <w:tcW w:w="3875" w:type="dxa"/>
            <w:noWrap w:val="0"/>
            <w:vAlign w:val="center"/>
          </w:tcPr>
          <w:p w14:paraId="5D7EF45B">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条纹短攀鲈</w:t>
            </w:r>
            <w:r>
              <w:rPr>
                <w:rFonts w:hint="default" w:ascii="Times New Roman" w:hAnsi="Times New Roman" w:eastAsia="宋体" w:cs="Times New Roman"/>
                <w:i/>
                <w:color w:val="auto"/>
                <w:spacing w:val="-1"/>
                <w:sz w:val="21"/>
                <w:szCs w:val="21"/>
                <w:u w:val="none" w:color="auto"/>
              </w:rPr>
              <w:t xml:space="preserve">（Trichopsis </w:t>
            </w:r>
            <w:r>
              <w:rPr>
                <w:rFonts w:hint="default" w:ascii="Times New Roman" w:hAnsi="Times New Roman" w:eastAsia="宋体" w:cs="Times New Roman"/>
                <w:i/>
                <w:color w:val="auto"/>
                <w:sz w:val="21"/>
                <w:szCs w:val="21"/>
                <w:u w:val="none" w:color="auto"/>
              </w:rPr>
              <w:t>vittata）</w:t>
            </w:r>
          </w:p>
        </w:tc>
        <w:tc>
          <w:tcPr>
            <w:tcW w:w="1722" w:type="dxa"/>
            <w:noWrap w:val="0"/>
            <w:vAlign w:val="center"/>
          </w:tcPr>
          <w:p w14:paraId="3A34B73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600-2500</w:t>
            </w:r>
          </w:p>
        </w:tc>
      </w:tr>
      <w:tr w14:paraId="4836D5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60B113AD">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2B39A4E5">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01A07949">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小扣鲈</w:t>
            </w:r>
            <w:r>
              <w:rPr>
                <w:rFonts w:hint="default" w:ascii="Times New Roman" w:hAnsi="Times New Roman" w:eastAsia="宋体" w:cs="Times New Roman"/>
                <w:i/>
                <w:color w:val="auto"/>
                <w:spacing w:val="-1"/>
                <w:sz w:val="21"/>
                <w:szCs w:val="21"/>
                <w:u w:val="none" w:color="auto"/>
              </w:rPr>
              <w:t>（Trichopsis pumila）</w:t>
            </w:r>
          </w:p>
        </w:tc>
        <w:tc>
          <w:tcPr>
            <w:tcW w:w="1722" w:type="dxa"/>
            <w:noWrap w:val="0"/>
            <w:vAlign w:val="center"/>
          </w:tcPr>
          <w:p w14:paraId="6FEE9E3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100-2500</w:t>
            </w:r>
          </w:p>
        </w:tc>
      </w:tr>
      <w:tr w14:paraId="68EC010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5C83FB80">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5F50653A">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3AF8388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拉利毛足鲈</w:t>
            </w:r>
            <w:r>
              <w:rPr>
                <w:rFonts w:hint="default" w:ascii="Times New Roman" w:hAnsi="Times New Roman" w:eastAsia="宋体" w:cs="Times New Roman"/>
                <w:i/>
                <w:color w:val="auto"/>
                <w:spacing w:val="-1"/>
                <w:sz w:val="21"/>
                <w:szCs w:val="21"/>
                <w:u w:val="none" w:color="auto"/>
              </w:rPr>
              <w:t>（Colisa lalia）</w:t>
            </w:r>
          </w:p>
        </w:tc>
        <w:tc>
          <w:tcPr>
            <w:tcW w:w="1722" w:type="dxa"/>
            <w:noWrap w:val="0"/>
            <w:vAlign w:val="center"/>
          </w:tcPr>
          <w:p w14:paraId="65617F3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100-2500</w:t>
            </w:r>
          </w:p>
        </w:tc>
      </w:tr>
      <w:tr w14:paraId="284BA1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4F6D22A1">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589B3952">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4C2C2B87">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叉尾斗鱼</w:t>
            </w:r>
            <w:r>
              <w:rPr>
                <w:rFonts w:hint="default" w:ascii="Times New Roman" w:hAnsi="Times New Roman" w:eastAsia="宋体" w:cs="Times New Roman"/>
                <w:i/>
                <w:color w:val="auto"/>
                <w:spacing w:val="-1"/>
                <w:sz w:val="21"/>
                <w:szCs w:val="21"/>
                <w:u w:val="none" w:color="auto"/>
              </w:rPr>
              <w:t>（Macropodus opercularis）</w:t>
            </w:r>
          </w:p>
        </w:tc>
        <w:tc>
          <w:tcPr>
            <w:tcW w:w="1722" w:type="dxa"/>
            <w:noWrap w:val="0"/>
            <w:vAlign w:val="center"/>
          </w:tcPr>
          <w:p w14:paraId="584B129D">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100-2000</w:t>
            </w:r>
          </w:p>
        </w:tc>
      </w:tr>
      <w:tr w14:paraId="707648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181E5737">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vMerge w:val="continue"/>
            <w:noWrap w:val="0"/>
            <w:vAlign w:val="center"/>
          </w:tcPr>
          <w:p w14:paraId="49278C96">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3875" w:type="dxa"/>
            <w:noWrap w:val="0"/>
            <w:vAlign w:val="center"/>
          </w:tcPr>
          <w:p w14:paraId="7D7B567A">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丝鳍毛足鲈</w:t>
            </w:r>
            <w:r>
              <w:rPr>
                <w:rFonts w:hint="default" w:ascii="Times New Roman" w:hAnsi="Times New Roman" w:eastAsia="宋体" w:cs="Times New Roman"/>
                <w:i/>
                <w:color w:val="auto"/>
                <w:spacing w:val="-1"/>
                <w:sz w:val="21"/>
                <w:szCs w:val="21"/>
                <w:u w:val="none" w:color="auto"/>
              </w:rPr>
              <w:t>（Trichogaster trichopterus）</w:t>
            </w:r>
          </w:p>
        </w:tc>
        <w:tc>
          <w:tcPr>
            <w:tcW w:w="1722" w:type="dxa"/>
            <w:noWrap w:val="0"/>
            <w:vAlign w:val="center"/>
          </w:tcPr>
          <w:p w14:paraId="4C32CF4C">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300-2000</w:t>
            </w:r>
          </w:p>
        </w:tc>
      </w:tr>
      <w:tr w14:paraId="79C737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restart"/>
            <w:noWrap w:val="0"/>
            <w:vAlign w:val="center"/>
          </w:tcPr>
          <w:p w14:paraId="5D1A309A">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鲟形目</w:t>
            </w:r>
          </w:p>
        </w:tc>
        <w:tc>
          <w:tcPr>
            <w:tcW w:w="1436" w:type="dxa"/>
            <w:noWrap w:val="0"/>
            <w:vAlign w:val="center"/>
          </w:tcPr>
          <w:p w14:paraId="1B2D83E2">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鲟科</w:t>
            </w:r>
          </w:p>
        </w:tc>
        <w:tc>
          <w:tcPr>
            <w:tcW w:w="3875" w:type="dxa"/>
            <w:noWrap w:val="0"/>
            <w:vAlign w:val="center"/>
          </w:tcPr>
          <w:p w14:paraId="20E1719A">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湖鲟</w:t>
            </w:r>
            <w:r>
              <w:rPr>
                <w:rFonts w:hint="default" w:ascii="Times New Roman" w:hAnsi="Times New Roman" w:eastAsia="宋体" w:cs="Times New Roman"/>
                <w:i/>
                <w:color w:val="auto"/>
                <w:spacing w:val="-1"/>
                <w:sz w:val="21"/>
                <w:szCs w:val="21"/>
                <w:u w:val="none" w:color="auto"/>
              </w:rPr>
              <w:t>（Acipenser fulvescens）*</w:t>
            </w:r>
          </w:p>
        </w:tc>
        <w:tc>
          <w:tcPr>
            <w:tcW w:w="1722" w:type="dxa"/>
            <w:noWrap w:val="0"/>
            <w:vAlign w:val="center"/>
          </w:tcPr>
          <w:p w14:paraId="6885315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100-500</w:t>
            </w:r>
          </w:p>
        </w:tc>
      </w:tr>
      <w:tr w14:paraId="24E43C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9" w:type="dxa"/>
            <w:vMerge w:val="continue"/>
            <w:noWrap w:val="0"/>
            <w:vAlign w:val="center"/>
          </w:tcPr>
          <w:p w14:paraId="46CB9690">
            <w:pPr>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436" w:type="dxa"/>
            <w:noWrap w:val="0"/>
            <w:vAlign w:val="center"/>
          </w:tcPr>
          <w:p w14:paraId="04E815B1">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pacing w:val="1"/>
                <w:sz w:val="21"/>
                <w:szCs w:val="21"/>
                <w:u w:val="none" w:color="auto"/>
              </w:rPr>
              <w:t>匙吻鲟科</w:t>
            </w:r>
          </w:p>
        </w:tc>
        <w:tc>
          <w:tcPr>
            <w:tcW w:w="3875" w:type="dxa"/>
            <w:noWrap w:val="0"/>
            <w:vAlign w:val="center"/>
          </w:tcPr>
          <w:p w14:paraId="0789B870">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匙吻鲟</w:t>
            </w:r>
            <w:r>
              <w:rPr>
                <w:rFonts w:hint="default" w:ascii="Times New Roman" w:hAnsi="Times New Roman" w:eastAsia="宋体" w:cs="Times New Roman"/>
                <w:i/>
                <w:color w:val="auto"/>
                <w:sz w:val="21"/>
                <w:szCs w:val="21"/>
                <w:u w:val="none" w:color="auto"/>
              </w:rPr>
              <w:t xml:space="preserve">（Polyodon </w:t>
            </w:r>
            <w:r>
              <w:rPr>
                <w:rFonts w:hint="default" w:ascii="Times New Roman" w:hAnsi="Times New Roman" w:eastAsia="宋体" w:cs="Times New Roman"/>
                <w:i/>
                <w:color w:val="auto"/>
                <w:spacing w:val="-1"/>
                <w:sz w:val="21"/>
                <w:szCs w:val="21"/>
                <w:u w:val="none" w:color="auto"/>
              </w:rPr>
              <w:t>spathula）*</w:t>
            </w:r>
          </w:p>
        </w:tc>
        <w:tc>
          <w:tcPr>
            <w:tcW w:w="1722" w:type="dxa"/>
            <w:noWrap w:val="0"/>
            <w:vAlign w:val="center"/>
          </w:tcPr>
          <w:p w14:paraId="17A8532D">
            <w:pPr>
              <w:pStyle w:val="56"/>
              <w:spacing w:line="240" w:lineRule="exact"/>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100-500</w:t>
            </w:r>
          </w:p>
        </w:tc>
      </w:tr>
    </w:tbl>
    <w:p w14:paraId="25AEEE7B">
      <w:pPr>
        <w:spacing w:line="240" w:lineRule="auto"/>
        <w:ind w:firstLine="420"/>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sz w:val="18"/>
          <w:szCs w:val="18"/>
          <w:u w:val="none" w:color="auto"/>
        </w:rPr>
        <w:t>注：来自Lovell等的研究结果</w:t>
      </w:r>
    </w:p>
    <w:p w14:paraId="42367737">
      <w:pPr>
        <w:ind w:left="0" w:leftChars="0" w:firstLine="420" w:firstLineChars="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近20年来，关于噪声对水生生物影响的关注越来越多，鱼类长期暴露在低强度噪声或者短期暴露在高强度噪声下都可能引起暂时性听觉阈值位移，重则导致听力组织损伤或听力丧失。噪声对鱼类的可能影响还包括瞬时惊吓反应、趋避反应（逃离噪声源）以及由听力受影响而引起的通讯行为、洄游行为、摄食和繁殖行为规律的改变等。一般情况，噪声不会导致鱼类直接死亡，除非是暴露在爆炸等震荡性噪声环境中。研究表明，鱼类不同的器官在爆炸中受到的影响有很大的差别，受到影响的器官有心、肝、肾、脾、鳔、血管、皮肤等，其中受影响最为严重的是鱼鳔和内部血管，这些损伤将导致鱼类的死亡。随着距离的增加，影响越来越小，当到达一定距离时（该实验中的距离是45m），将不再受影响。噪声会导致鱼类应激水平增高，长期的噪声暴露还可能会引起鱼类的抗病能力、繁殖能力降低，处于产卵繁殖期的亲鱼对噪声较为敏感，最终影响到种群的生存。</w:t>
      </w:r>
    </w:p>
    <w:p w14:paraId="3818AC68">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3、影响预测</w:t>
      </w:r>
    </w:p>
    <w:p w14:paraId="471AC8E7">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据报道，噪声和振动在水面下随距离的增加，其强度迅速衰减。一般工程的噪声源强经45m距离的衰减后均能达《声环境质量标准（GB3096-2008）》4b类标准；</w:t>
      </w:r>
      <w:r>
        <w:rPr>
          <w:rFonts w:hint="default" w:ascii="Times New Roman" w:hAnsi="Times New Roman" w:eastAsia="宋体" w:cs="Times New Roman"/>
          <w:color w:val="auto"/>
          <w:u w:val="none" w:color="auto"/>
          <w:lang w:eastAsia="zh-CN"/>
        </w:rPr>
        <w:t>鹿角交通渔政综合执法码头趸船</w:t>
      </w:r>
      <w:r>
        <w:rPr>
          <w:rFonts w:hint="default" w:ascii="Times New Roman" w:hAnsi="Times New Roman" w:eastAsia="宋体" w:cs="Times New Roman"/>
          <w:color w:val="auto"/>
          <w:u w:val="none" w:color="auto"/>
        </w:rPr>
        <w:t>等作业机械所产生的振动，距离声源10m时只有78.5-80dB，经衰减后低于标准值，距离振源30m时只有55-70dB，下限在标准范围内。但噪声和振动在空气中的衰减率要远低于水中，同样的源强，影响更远。</w:t>
      </w:r>
    </w:p>
    <w:p w14:paraId="24015C36">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eastAsia="zh-CN"/>
        </w:rPr>
        <w:t>本码头提质改造</w:t>
      </w:r>
      <w:r>
        <w:rPr>
          <w:rFonts w:hint="default" w:ascii="Times New Roman" w:hAnsi="Times New Roman" w:eastAsia="宋体" w:cs="Times New Roman"/>
          <w:color w:val="auto"/>
          <w:u w:val="none" w:color="auto"/>
        </w:rPr>
        <w:t>水域位于江豚自然保护区缓冲区范围内。江豚对噪声和振动的敏感性要强于鱼类，同时，因江豚为肺呼吸的哺乳动物，必须不时浮出水面呼吸空气，江豚对噪声和振动最敏感的部位为头部，所以其浮出水面进行呼吸时，头部会直接暴露在噪声和振动污染环境中。虽然本工程的均距离江豚保护区</w:t>
      </w:r>
      <w:r>
        <w:rPr>
          <w:rFonts w:hint="default" w:ascii="Times New Roman" w:hAnsi="Times New Roman" w:eastAsia="宋体" w:cs="Times New Roman"/>
          <w:color w:val="auto"/>
          <w:u w:val="none" w:color="auto"/>
          <w:lang w:val="en-US" w:eastAsia="zh-CN"/>
        </w:rPr>
        <w:t>核心区</w:t>
      </w:r>
      <w:r>
        <w:rPr>
          <w:rFonts w:hint="default" w:ascii="Times New Roman" w:hAnsi="Times New Roman" w:eastAsia="宋体" w:cs="Times New Roman"/>
          <w:color w:val="auto"/>
          <w:u w:val="none" w:color="auto"/>
        </w:rPr>
        <w:t>的主要栖息水域较远，</w:t>
      </w:r>
      <w:r>
        <w:rPr>
          <w:rFonts w:hint="default" w:ascii="Times New Roman" w:hAnsi="Times New Roman" w:eastAsia="宋体" w:cs="Times New Roman"/>
          <w:color w:val="auto"/>
          <w:u w:val="none" w:color="auto"/>
          <w:lang w:eastAsia="zh-CN"/>
        </w:rPr>
        <w:t>码头提质改造</w:t>
      </w:r>
      <w:r>
        <w:rPr>
          <w:rFonts w:hint="default" w:ascii="Times New Roman" w:hAnsi="Times New Roman" w:eastAsia="宋体" w:cs="Times New Roman"/>
          <w:color w:val="auto"/>
          <w:u w:val="none" w:color="auto"/>
        </w:rPr>
        <w:t>作业对江豚将造成较小的影响。</w:t>
      </w:r>
    </w:p>
    <w:p w14:paraId="043B009F">
      <w:pPr>
        <w:ind w:firstLine="56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因此，</w:t>
      </w:r>
      <w:r>
        <w:rPr>
          <w:rFonts w:hint="default" w:ascii="Times New Roman" w:hAnsi="Times New Roman" w:eastAsia="宋体" w:cs="Times New Roman"/>
          <w:color w:val="auto"/>
          <w:u w:val="none" w:color="auto"/>
          <w:lang w:eastAsia="zh-CN"/>
        </w:rPr>
        <w:t>项目作业区码头提质改造</w:t>
      </w:r>
      <w:r>
        <w:rPr>
          <w:rFonts w:hint="default" w:ascii="Times New Roman" w:hAnsi="Times New Roman" w:eastAsia="宋体" w:cs="Times New Roman"/>
          <w:color w:val="auto"/>
          <w:u w:val="none" w:color="auto"/>
        </w:rPr>
        <w:t>应尽可能采用空压机选用低噪声设备，并设置减振垫；出入区域内来往的船只严格管理，采取临近趸船时减速、加油时熄火和平稳启动等措施，使区域内的交通噪声降到最低值。</w:t>
      </w:r>
      <w:r>
        <w:rPr>
          <w:rFonts w:hint="default" w:ascii="Times New Roman" w:hAnsi="Times New Roman" w:eastAsia="宋体" w:cs="Times New Roman"/>
          <w:color w:val="auto"/>
          <w:u w:val="none" w:color="auto"/>
          <w:lang w:eastAsia="zh-CN"/>
        </w:rPr>
        <w:t>项目作业区码头提质改造</w:t>
      </w:r>
      <w:r>
        <w:rPr>
          <w:rFonts w:hint="default" w:ascii="Times New Roman" w:hAnsi="Times New Roman" w:eastAsia="宋体" w:cs="Times New Roman"/>
          <w:color w:val="auto"/>
          <w:u w:val="none" w:color="auto"/>
        </w:rPr>
        <w:t>作业时</w:t>
      </w:r>
      <w:r>
        <w:rPr>
          <w:rFonts w:hint="default" w:ascii="Times New Roman" w:hAnsi="Times New Roman" w:eastAsia="宋体" w:cs="Times New Roman"/>
          <w:color w:val="auto"/>
          <w:u w:val="none" w:color="auto"/>
          <w:lang w:eastAsia="zh-CN"/>
        </w:rPr>
        <w:t>来往船</w:t>
      </w:r>
      <w:r>
        <w:rPr>
          <w:rFonts w:hint="default" w:ascii="Times New Roman" w:hAnsi="Times New Roman" w:eastAsia="宋体" w:cs="Times New Roman"/>
          <w:color w:val="auto"/>
          <w:u w:val="none" w:color="auto"/>
        </w:rPr>
        <w:t>航行在保护区水域时应限速、禁鸣。</w:t>
      </w:r>
    </w:p>
    <w:p w14:paraId="5F92F120">
      <w:pPr>
        <w:pStyle w:val="9"/>
        <w:pageBreakBefore w:val="0"/>
        <w:widowControl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color w:val="auto"/>
          <w:u w:val="none"/>
        </w:rPr>
      </w:pPr>
      <w:bookmarkStart w:id="673" w:name="_Toc4915"/>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.2.4固废环境影响分析</w:t>
      </w:r>
      <w:bookmarkEnd w:id="672"/>
      <w:bookmarkEnd w:id="673"/>
    </w:p>
    <w:p w14:paraId="6E147D51">
      <w:pPr>
        <w:pStyle w:val="38"/>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u w:val="none"/>
          <w:lang w:eastAsia="zh-CN"/>
        </w:rPr>
        <w:t>营运</w:t>
      </w:r>
      <w:r>
        <w:rPr>
          <w:rFonts w:hint="default" w:ascii="Times New Roman" w:hAnsi="Times New Roman" w:eastAsia="宋体" w:cs="Times New Roman"/>
          <w:color w:val="auto"/>
          <w:u w:val="none"/>
        </w:rPr>
        <w:t>期固体废物主要包括营运期码头员工生活垃圾、船舶员工生活垃圾</w:t>
      </w:r>
      <w:r>
        <w:rPr>
          <w:rFonts w:hint="default" w:ascii="Times New Roman" w:hAnsi="Times New Roman" w:eastAsia="宋体" w:cs="Times New Roman"/>
          <w:bCs/>
          <w:color w:val="auto"/>
          <w:u w:val="none"/>
        </w:rPr>
        <w:t>等</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sz w:val="24"/>
          <w:u w:val="none"/>
        </w:rPr>
        <w:t>固体废弃物种类、来源及属性详见下表。</w:t>
      </w:r>
    </w:p>
    <w:p w14:paraId="084B0C76">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5</w:t>
      </w:r>
      <w:r>
        <w:rPr>
          <w:rFonts w:hint="default" w:ascii="Times New Roman" w:hAnsi="Times New Roman" w:eastAsia="宋体" w:cs="Times New Roman"/>
          <w:b/>
          <w:color w:val="auto"/>
          <w:kern w:val="0"/>
          <w:szCs w:val="21"/>
        </w:rPr>
        <w:t>.2-</w:t>
      </w:r>
      <w:r>
        <w:rPr>
          <w:rFonts w:hint="eastAsia" w:ascii="Times New Roman" w:hAnsi="Times New Roman" w:eastAsia="宋体" w:cs="Times New Roman"/>
          <w:b/>
          <w:color w:val="auto"/>
          <w:kern w:val="0"/>
          <w:szCs w:val="21"/>
          <w:lang w:val="en-US" w:eastAsia="zh-CN"/>
        </w:rPr>
        <w:t>9</w:t>
      </w:r>
      <w:r>
        <w:rPr>
          <w:rFonts w:hint="default" w:ascii="Times New Roman" w:hAnsi="Times New Roman" w:eastAsia="宋体" w:cs="Times New Roman"/>
          <w:b/>
          <w:color w:val="auto"/>
          <w:kern w:val="0"/>
          <w:szCs w:val="21"/>
        </w:rPr>
        <w:t xml:space="preserve">  项目固废情况一览表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87"/>
        <w:gridCol w:w="1467"/>
        <w:gridCol w:w="1319"/>
        <w:gridCol w:w="1440"/>
        <w:gridCol w:w="3307"/>
      </w:tblGrid>
      <w:tr w14:paraId="6490541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44EDFEF0">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序号</w:t>
            </w:r>
          </w:p>
        </w:tc>
        <w:tc>
          <w:tcPr>
            <w:tcW w:w="1467" w:type="dxa"/>
            <w:noWrap w:val="0"/>
            <w:vAlign w:val="center"/>
          </w:tcPr>
          <w:p w14:paraId="46244F63">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固废名称</w:t>
            </w:r>
          </w:p>
        </w:tc>
        <w:tc>
          <w:tcPr>
            <w:tcW w:w="1319" w:type="dxa"/>
            <w:noWrap w:val="0"/>
            <w:vAlign w:val="center"/>
          </w:tcPr>
          <w:p w14:paraId="04B2FA09">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属性类别</w:t>
            </w:r>
          </w:p>
        </w:tc>
        <w:tc>
          <w:tcPr>
            <w:tcW w:w="1440" w:type="dxa"/>
            <w:noWrap w:val="0"/>
            <w:vAlign w:val="center"/>
          </w:tcPr>
          <w:p w14:paraId="2C146857">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排放量（t/a）</w:t>
            </w:r>
          </w:p>
        </w:tc>
        <w:tc>
          <w:tcPr>
            <w:tcW w:w="3307" w:type="dxa"/>
            <w:noWrap w:val="0"/>
            <w:vAlign w:val="center"/>
          </w:tcPr>
          <w:p w14:paraId="7E5C2032">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去向</w:t>
            </w:r>
          </w:p>
        </w:tc>
      </w:tr>
      <w:tr w14:paraId="6D68A15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7EC2DE51">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1</w:t>
            </w:r>
          </w:p>
        </w:tc>
        <w:tc>
          <w:tcPr>
            <w:tcW w:w="1467" w:type="dxa"/>
            <w:noWrap w:val="0"/>
            <w:vAlign w:val="center"/>
          </w:tcPr>
          <w:p w14:paraId="16A083CE">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码头员工生活垃圾</w:t>
            </w:r>
          </w:p>
        </w:tc>
        <w:tc>
          <w:tcPr>
            <w:tcW w:w="1319" w:type="dxa"/>
            <w:noWrap w:val="0"/>
            <w:vAlign w:val="center"/>
          </w:tcPr>
          <w:p w14:paraId="5C80617D">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一般固废</w:t>
            </w:r>
          </w:p>
        </w:tc>
        <w:tc>
          <w:tcPr>
            <w:tcW w:w="1440" w:type="dxa"/>
            <w:noWrap w:val="0"/>
            <w:vAlign w:val="center"/>
          </w:tcPr>
          <w:p w14:paraId="7363203E">
            <w:pPr>
              <w:pStyle w:val="41"/>
              <w:rPr>
                <w:rFonts w:hint="default" w:ascii="Times New Roman" w:hAnsi="Times New Roman" w:eastAsia="宋体" w:cs="Times New Roman"/>
                <w:color w:val="auto"/>
                <w:kern w:val="2"/>
                <w:sz w:val="21"/>
                <w:szCs w:val="24"/>
                <w:u w:val="none"/>
                <w:lang w:val="en-US" w:eastAsia="zh-CN"/>
              </w:rPr>
            </w:pPr>
            <w:r>
              <w:rPr>
                <w:rFonts w:hint="eastAsia" w:cs="Times New Roman"/>
                <w:color w:val="auto"/>
                <w:lang w:val="en-US" w:eastAsia="zh-CN"/>
              </w:rPr>
              <w:t>1.2</w:t>
            </w:r>
          </w:p>
        </w:tc>
        <w:tc>
          <w:tcPr>
            <w:tcW w:w="3307" w:type="dxa"/>
            <w:noWrap w:val="0"/>
            <w:vAlign w:val="center"/>
          </w:tcPr>
          <w:p w14:paraId="63903EEE">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sz w:val="21"/>
                <w:szCs w:val="21"/>
                <w:u w:val="none"/>
                <w:lang w:val="en-US"/>
              </w:rPr>
              <w:t>码头场区生活垃圾收集箱收集后交环卫部门统一清运</w:t>
            </w:r>
          </w:p>
        </w:tc>
      </w:tr>
      <w:tr w14:paraId="5B3C8ED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87" w:type="dxa"/>
            <w:noWrap w:val="0"/>
            <w:vAlign w:val="center"/>
          </w:tcPr>
          <w:p w14:paraId="260BB51A">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2</w:t>
            </w:r>
          </w:p>
        </w:tc>
        <w:tc>
          <w:tcPr>
            <w:tcW w:w="1467" w:type="dxa"/>
            <w:noWrap w:val="0"/>
            <w:vAlign w:val="center"/>
          </w:tcPr>
          <w:p w14:paraId="37355A84">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船舶员工生活垃圾</w:t>
            </w:r>
          </w:p>
        </w:tc>
        <w:tc>
          <w:tcPr>
            <w:tcW w:w="1319" w:type="dxa"/>
            <w:noWrap w:val="0"/>
            <w:vAlign w:val="center"/>
          </w:tcPr>
          <w:p w14:paraId="2BC75178">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kern w:val="2"/>
                <w:sz w:val="21"/>
                <w:szCs w:val="24"/>
                <w:u w:val="none"/>
              </w:rPr>
              <w:t>一般固废</w:t>
            </w:r>
          </w:p>
        </w:tc>
        <w:tc>
          <w:tcPr>
            <w:tcW w:w="1440" w:type="dxa"/>
            <w:noWrap w:val="0"/>
            <w:vAlign w:val="center"/>
          </w:tcPr>
          <w:p w14:paraId="404821FE">
            <w:pPr>
              <w:pStyle w:val="41"/>
              <w:rPr>
                <w:rFonts w:hint="default" w:ascii="Times New Roman" w:hAnsi="Times New Roman" w:eastAsia="宋体" w:cs="Times New Roman"/>
                <w:color w:val="auto"/>
                <w:kern w:val="2"/>
                <w:sz w:val="21"/>
                <w:szCs w:val="24"/>
                <w:u w:val="none"/>
                <w:lang w:val="en-US" w:eastAsia="zh-CN"/>
              </w:rPr>
            </w:pPr>
            <w:r>
              <w:rPr>
                <w:rFonts w:hint="eastAsia" w:cs="Times New Roman"/>
                <w:color w:val="auto"/>
                <w:lang w:val="en-US" w:eastAsia="zh-CN"/>
              </w:rPr>
              <w:t>2.7</w:t>
            </w:r>
          </w:p>
        </w:tc>
        <w:tc>
          <w:tcPr>
            <w:tcW w:w="3307" w:type="dxa"/>
            <w:noWrap w:val="0"/>
            <w:vAlign w:val="center"/>
          </w:tcPr>
          <w:p w14:paraId="28FCD289">
            <w:pPr>
              <w:pStyle w:val="41"/>
              <w:rPr>
                <w:rFonts w:hint="default" w:ascii="Times New Roman" w:hAnsi="Times New Roman" w:eastAsia="宋体" w:cs="Times New Roman"/>
                <w:color w:val="auto"/>
                <w:kern w:val="2"/>
                <w:sz w:val="21"/>
                <w:szCs w:val="24"/>
                <w:u w:val="none"/>
              </w:rPr>
            </w:pPr>
            <w:r>
              <w:rPr>
                <w:rFonts w:hint="default" w:ascii="Times New Roman" w:hAnsi="Times New Roman" w:eastAsia="宋体" w:cs="Times New Roman"/>
                <w:color w:val="auto"/>
                <w:u w:val="none"/>
                <w:lang w:val="en-US"/>
              </w:rPr>
              <w:t>经趸船生活垃圾箱收集后交具有专业资质的接收船接收</w:t>
            </w:r>
          </w:p>
        </w:tc>
      </w:tr>
    </w:tbl>
    <w:p w14:paraId="4446EF16">
      <w:pPr>
        <w:keepNext w:val="0"/>
        <w:keepLines w:val="0"/>
        <w:pageBreakBefore w:val="0"/>
        <w:widowControl w:val="0"/>
        <w:kinsoku/>
        <w:wordWrap/>
        <w:overflowPunct/>
        <w:topLinePunct w:val="0"/>
        <w:autoSpaceDE w:val="0"/>
        <w:autoSpaceDN w:val="0"/>
        <w:bidi w:val="0"/>
        <w:adjustRightInd w:val="0"/>
        <w:snapToGrid/>
        <w:spacing w:before="167" w:beforeLines="50" w:line="240" w:lineRule="auto"/>
        <w:ind w:left="0" w:leftChars="0" w:firstLine="0" w:firstLineChars="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w:t>
      </w:r>
      <w:r>
        <w:rPr>
          <w:rFonts w:hint="default" w:ascii="Times New Roman" w:hAnsi="Times New Roman" w:eastAsia="宋体" w:cs="Times New Roman"/>
          <w:b/>
          <w:color w:val="auto"/>
          <w:kern w:val="0"/>
          <w:szCs w:val="21"/>
          <w:lang w:val="en-US" w:eastAsia="zh-CN"/>
        </w:rPr>
        <w:t>5</w:t>
      </w:r>
      <w:r>
        <w:rPr>
          <w:rFonts w:hint="default" w:ascii="Times New Roman" w:hAnsi="Times New Roman" w:eastAsia="宋体" w:cs="Times New Roman"/>
          <w:b/>
          <w:color w:val="auto"/>
          <w:kern w:val="0"/>
          <w:szCs w:val="21"/>
        </w:rPr>
        <w:t>.2-</w:t>
      </w:r>
      <w:r>
        <w:rPr>
          <w:rFonts w:hint="eastAsia" w:cs="Times New Roman"/>
          <w:b/>
          <w:color w:val="auto"/>
          <w:kern w:val="0"/>
          <w:szCs w:val="21"/>
          <w:lang w:val="en-US" w:eastAsia="zh-CN"/>
        </w:rPr>
        <w:t>10</w:t>
      </w:r>
      <w:r>
        <w:rPr>
          <w:rFonts w:hint="default" w:ascii="Times New Roman" w:hAnsi="Times New Roman" w:eastAsia="宋体" w:cs="Times New Roman"/>
          <w:b/>
          <w:color w:val="auto"/>
          <w:kern w:val="0"/>
          <w:szCs w:val="21"/>
        </w:rPr>
        <w:t xml:space="preserve">  项目固体废物的危害程度</w:t>
      </w:r>
    </w:p>
    <w:tbl>
      <w:tblPr>
        <w:tblStyle w:val="29"/>
        <w:tblW w:w="485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8"/>
        <w:gridCol w:w="707"/>
        <w:gridCol w:w="2262"/>
        <w:gridCol w:w="838"/>
        <w:gridCol w:w="742"/>
        <w:gridCol w:w="742"/>
        <w:gridCol w:w="742"/>
        <w:gridCol w:w="737"/>
      </w:tblGrid>
      <w:tr w14:paraId="5A1172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71" w:type="pct"/>
            <w:noWrap w:val="0"/>
            <w:vAlign w:val="center"/>
          </w:tcPr>
          <w:p w14:paraId="52225A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废物名称</w:t>
            </w:r>
          </w:p>
        </w:tc>
        <w:tc>
          <w:tcPr>
            <w:tcW w:w="431" w:type="pct"/>
            <w:noWrap w:val="0"/>
            <w:tcMar>
              <w:top w:w="0" w:type="dxa"/>
              <w:left w:w="28" w:type="dxa"/>
              <w:bottom w:w="0" w:type="dxa"/>
              <w:right w:w="28" w:type="dxa"/>
            </w:tcMar>
            <w:vAlign w:val="center"/>
          </w:tcPr>
          <w:p w14:paraId="79DB69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形态</w:t>
            </w:r>
          </w:p>
        </w:tc>
        <w:tc>
          <w:tcPr>
            <w:tcW w:w="1379" w:type="pct"/>
            <w:noWrap w:val="0"/>
            <w:tcMar>
              <w:top w:w="0" w:type="dxa"/>
              <w:left w:w="28" w:type="dxa"/>
              <w:bottom w:w="0" w:type="dxa"/>
              <w:right w:w="28" w:type="dxa"/>
            </w:tcMar>
            <w:vAlign w:val="center"/>
          </w:tcPr>
          <w:p w14:paraId="74C8C3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有害成分</w:t>
            </w:r>
          </w:p>
        </w:tc>
        <w:tc>
          <w:tcPr>
            <w:tcW w:w="511" w:type="pct"/>
            <w:noWrap w:val="0"/>
            <w:tcMar>
              <w:top w:w="0" w:type="dxa"/>
              <w:left w:w="28" w:type="dxa"/>
              <w:bottom w:w="0" w:type="dxa"/>
              <w:right w:w="28" w:type="dxa"/>
            </w:tcMar>
            <w:vAlign w:val="center"/>
          </w:tcPr>
          <w:p w14:paraId="60ECB66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急性</w:t>
            </w:r>
          </w:p>
          <w:p w14:paraId="73A71B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毒性</w:t>
            </w:r>
          </w:p>
        </w:tc>
        <w:tc>
          <w:tcPr>
            <w:tcW w:w="452" w:type="pct"/>
            <w:noWrap w:val="0"/>
            <w:tcMar>
              <w:top w:w="0" w:type="dxa"/>
              <w:left w:w="28" w:type="dxa"/>
              <w:bottom w:w="0" w:type="dxa"/>
              <w:right w:w="28" w:type="dxa"/>
            </w:tcMar>
            <w:vAlign w:val="center"/>
          </w:tcPr>
          <w:p w14:paraId="38B16C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易燃性</w:t>
            </w:r>
          </w:p>
        </w:tc>
        <w:tc>
          <w:tcPr>
            <w:tcW w:w="452" w:type="pct"/>
            <w:noWrap w:val="0"/>
            <w:tcMar>
              <w:top w:w="0" w:type="dxa"/>
              <w:left w:w="28" w:type="dxa"/>
              <w:bottom w:w="0" w:type="dxa"/>
              <w:right w:w="28" w:type="dxa"/>
            </w:tcMar>
            <w:vAlign w:val="center"/>
          </w:tcPr>
          <w:p w14:paraId="72ACF54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化学反应性</w:t>
            </w:r>
          </w:p>
        </w:tc>
        <w:tc>
          <w:tcPr>
            <w:tcW w:w="452" w:type="pct"/>
            <w:noWrap w:val="0"/>
            <w:tcMar>
              <w:top w:w="0" w:type="dxa"/>
              <w:left w:w="28" w:type="dxa"/>
              <w:bottom w:w="0" w:type="dxa"/>
              <w:right w:w="28" w:type="dxa"/>
            </w:tcMar>
            <w:vAlign w:val="center"/>
          </w:tcPr>
          <w:p w14:paraId="105013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腐蚀性</w:t>
            </w:r>
          </w:p>
        </w:tc>
        <w:tc>
          <w:tcPr>
            <w:tcW w:w="449" w:type="pct"/>
            <w:noWrap w:val="0"/>
            <w:tcMar>
              <w:top w:w="0" w:type="dxa"/>
              <w:left w:w="28" w:type="dxa"/>
              <w:bottom w:w="0" w:type="dxa"/>
              <w:right w:w="28" w:type="dxa"/>
            </w:tcMar>
            <w:vAlign w:val="center"/>
          </w:tcPr>
          <w:p w14:paraId="05244B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浸出性</w:t>
            </w:r>
          </w:p>
        </w:tc>
      </w:tr>
      <w:tr w14:paraId="551EC6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71" w:type="pct"/>
            <w:noWrap w:val="0"/>
            <w:vAlign w:val="center"/>
          </w:tcPr>
          <w:p w14:paraId="48B8D28C">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码头员工生活垃圾</w:t>
            </w:r>
          </w:p>
        </w:tc>
        <w:tc>
          <w:tcPr>
            <w:tcW w:w="431" w:type="pct"/>
            <w:noWrap w:val="0"/>
            <w:tcMar>
              <w:top w:w="0" w:type="dxa"/>
              <w:left w:w="28" w:type="dxa"/>
              <w:bottom w:w="0" w:type="dxa"/>
              <w:right w:w="28" w:type="dxa"/>
            </w:tcMar>
            <w:vAlign w:val="center"/>
          </w:tcPr>
          <w:p w14:paraId="4FEA2FC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固态</w:t>
            </w:r>
          </w:p>
        </w:tc>
        <w:tc>
          <w:tcPr>
            <w:tcW w:w="1379" w:type="pct"/>
            <w:noWrap w:val="0"/>
            <w:tcMar>
              <w:top w:w="0" w:type="dxa"/>
              <w:left w:w="28" w:type="dxa"/>
              <w:bottom w:w="0" w:type="dxa"/>
              <w:right w:w="28" w:type="dxa"/>
            </w:tcMar>
            <w:vAlign w:val="center"/>
          </w:tcPr>
          <w:p w14:paraId="30A7FE7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果皮、纸屑等有机物</w:t>
            </w:r>
          </w:p>
        </w:tc>
        <w:tc>
          <w:tcPr>
            <w:tcW w:w="511" w:type="pct"/>
            <w:noWrap w:val="0"/>
            <w:tcMar>
              <w:top w:w="0" w:type="dxa"/>
              <w:left w:w="28" w:type="dxa"/>
              <w:bottom w:w="0" w:type="dxa"/>
              <w:right w:w="28" w:type="dxa"/>
            </w:tcMar>
            <w:vAlign w:val="center"/>
          </w:tcPr>
          <w:p w14:paraId="5EC93D2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tcMar>
              <w:top w:w="0" w:type="dxa"/>
              <w:left w:w="28" w:type="dxa"/>
              <w:bottom w:w="0" w:type="dxa"/>
              <w:right w:w="28" w:type="dxa"/>
            </w:tcMar>
            <w:vAlign w:val="center"/>
          </w:tcPr>
          <w:p w14:paraId="7F2D7ED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tcMar>
              <w:top w:w="0" w:type="dxa"/>
              <w:left w:w="28" w:type="dxa"/>
              <w:bottom w:w="0" w:type="dxa"/>
              <w:right w:w="28" w:type="dxa"/>
            </w:tcMar>
            <w:vAlign w:val="center"/>
          </w:tcPr>
          <w:p w14:paraId="49E31E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tcMar>
              <w:top w:w="0" w:type="dxa"/>
              <w:left w:w="28" w:type="dxa"/>
              <w:bottom w:w="0" w:type="dxa"/>
              <w:right w:w="28" w:type="dxa"/>
            </w:tcMar>
            <w:vAlign w:val="center"/>
          </w:tcPr>
          <w:p w14:paraId="5A794DD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49" w:type="pct"/>
            <w:noWrap w:val="0"/>
            <w:tcMar>
              <w:top w:w="0" w:type="dxa"/>
              <w:left w:w="28" w:type="dxa"/>
              <w:bottom w:w="0" w:type="dxa"/>
              <w:right w:w="28" w:type="dxa"/>
            </w:tcMar>
            <w:vAlign w:val="center"/>
          </w:tcPr>
          <w:p w14:paraId="4B6A6A2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Y</w:t>
            </w:r>
          </w:p>
        </w:tc>
      </w:tr>
      <w:tr w14:paraId="3B9BE8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71" w:type="pct"/>
            <w:noWrap w:val="0"/>
            <w:vAlign w:val="center"/>
          </w:tcPr>
          <w:p w14:paraId="08065A2B">
            <w:pPr>
              <w:pStyle w:val="41"/>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rPr>
            </w:pPr>
            <w:r>
              <w:rPr>
                <w:rFonts w:hint="default" w:ascii="Times New Roman" w:hAnsi="Times New Roman" w:eastAsia="宋体" w:cs="Times New Roman"/>
                <w:color w:val="auto"/>
                <w:kern w:val="2"/>
                <w:sz w:val="21"/>
                <w:szCs w:val="21"/>
                <w:u w:val="none"/>
              </w:rPr>
              <w:t>船舶员工生活垃圾</w:t>
            </w:r>
          </w:p>
        </w:tc>
        <w:tc>
          <w:tcPr>
            <w:tcW w:w="431" w:type="pct"/>
            <w:noWrap w:val="0"/>
            <w:vAlign w:val="center"/>
          </w:tcPr>
          <w:p w14:paraId="01F5B6B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固态</w:t>
            </w:r>
          </w:p>
        </w:tc>
        <w:tc>
          <w:tcPr>
            <w:tcW w:w="1379" w:type="pct"/>
            <w:noWrap w:val="0"/>
            <w:vAlign w:val="center"/>
          </w:tcPr>
          <w:p w14:paraId="378F891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果皮、纸屑等有机物</w:t>
            </w:r>
          </w:p>
        </w:tc>
        <w:tc>
          <w:tcPr>
            <w:tcW w:w="511" w:type="pct"/>
            <w:noWrap w:val="0"/>
            <w:vAlign w:val="center"/>
          </w:tcPr>
          <w:p w14:paraId="58FCF3E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vAlign w:val="center"/>
          </w:tcPr>
          <w:p w14:paraId="331E851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vAlign w:val="center"/>
          </w:tcPr>
          <w:p w14:paraId="4DB5BE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52" w:type="pct"/>
            <w:noWrap w:val="0"/>
            <w:vAlign w:val="center"/>
          </w:tcPr>
          <w:p w14:paraId="2017163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w:t>
            </w:r>
          </w:p>
        </w:tc>
        <w:tc>
          <w:tcPr>
            <w:tcW w:w="449" w:type="pct"/>
            <w:noWrap w:val="0"/>
            <w:vAlign w:val="center"/>
          </w:tcPr>
          <w:p w14:paraId="281F61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Y</w:t>
            </w:r>
          </w:p>
        </w:tc>
      </w:tr>
    </w:tbl>
    <w:p w14:paraId="571EC2AA">
      <w:pPr>
        <w:autoSpaceDE w:val="0"/>
        <w:autoSpaceDN w:val="0"/>
        <w:spacing w:line="360" w:lineRule="auto"/>
        <w:ind w:firstLine="480" w:firstLineChars="200"/>
        <w:outlineLvl w:val="9"/>
        <w:rPr>
          <w:rFonts w:hint="default" w:ascii="Times New Roman" w:hAnsi="Times New Roman" w:eastAsia="宋体" w:cs="Times New Roman"/>
          <w:color w:val="auto"/>
          <w:sz w:val="24"/>
          <w:u w:val="none"/>
        </w:rPr>
      </w:pPr>
      <w:bookmarkStart w:id="674" w:name="_Toc8190"/>
      <w:r>
        <w:rPr>
          <w:rFonts w:hint="default" w:ascii="Times New Roman" w:hAnsi="Times New Roman" w:eastAsia="宋体" w:cs="Times New Roman"/>
          <w:color w:val="auto"/>
          <w:sz w:val="24"/>
          <w:u w:val="none"/>
        </w:rPr>
        <w:t>1、码头员工生活垃圾</w:t>
      </w:r>
      <w:bookmarkEnd w:id="674"/>
    </w:p>
    <w:p w14:paraId="7337C08E">
      <w:pPr>
        <w:autoSpaceDE w:val="0"/>
        <w:autoSpaceDN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码头员工生活垃圾：码头场区生活垃圾收集箱收集后交环卫部门统一清运。</w:t>
      </w:r>
    </w:p>
    <w:p w14:paraId="6F7037E2">
      <w:pPr>
        <w:pageBreakBefore w:val="0"/>
        <w:widowControl w:val="0"/>
        <w:kinsoku/>
        <w:wordWrap/>
        <w:overflowPunct/>
        <w:topLinePunct w:val="0"/>
        <w:autoSpaceDE w:val="0"/>
        <w:autoSpaceDN w:val="0"/>
        <w:bidi w:val="0"/>
        <w:snapToGrid/>
        <w:spacing w:line="360" w:lineRule="auto"/>
        <w:ind w:firstLine="480" w:firstLineChars="200"/>
        <w:textAlignment w:val="auto"/>
        <w:outlineLvl w:val="9"/>
        <w:rPr>
          <w:rFonts w:hint="default" w:ascii="Times New Roman" w:hAnsi="Times New Roman" w:eastAsia="宋体" w:cs="Times New Roman"/>
          <w:color w:val="auto"/>
          <w:sz w:val="24"/>
          <w:u w:val="none"/>
        </w:rPr>
      </w:pPr>
      <w:bookmarkStart w:id="675" w:name="_Toc7773"/>
      <w:r>
        <w:rPr>
          <w:rFonts w:hint="default" w:ascii="Times New Roman" w:hAnsi="Times New Roman" w:eastAsia="宋体" w:cs="Times New Roman"/>
          <w:color w:val="auto"/>
          <w:sz w:val="24"/>
          <w:u w:val="none"/>
        </w:rPr>
        <w:t>2、船舶员工生活垃圾</w:t>
      </w:r>
      <w:bookmarkEnd w:id="675"/>
    </w:p>
    <w:p w14:paraId="5A1DDD17">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szCs w:val="24"/>
          <w:u w:val="none"/>
        </w:rPr>
        <w:t>船舶员工生活垃圾</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val="en-US"/>
        </w:rPr>
        <w:t>经趸船生活垃圾箱收集后交具有专业资质的接收船接收</w:t>
      </w:r>
      <w:r>
        <w:rPr>
          <w:rFonts w:hint="default" w:ascii="Times New Roman" w:hAnsi="Times New Roman" w:eastAsia="宋体" w:cs="Times New Roman"/>
          <w:color w:val="auto"/>
          <w:u w:val="none"/>
        </w:rPr>
        <w:t>。</w:t>
      </w:r>
    </w:p>
    <w:p w14:paraId="0BC1844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采取上述措施后，本项目固废不会对周围环境造成不良影响。</w:t>
      </w:r>
    </w:p>
    <w:p w14:paraId="05366308">
      <w:pPr>
        <w:pStyle w:val="9"/>
        <w:pageBreakBefore w:val="0"/>
        <w:widowControl w:val="0"/>
        <w:kinsoku/>
        <w:wordWrap/>
        <w:overflowPunct/>
        <w:topLinePunct w:val="0"/>
        <w:bidi w:val="0"/>
        <w:snapToGrid/>
        <w:spacing w:before="0" w:after="0" w:line="360" w:lineRule="auto"/>
        <w:ind w:left="0" w:leftChars="0" w:firstLine="0" w:firstLineChars="0"/>
        <w:textAlignment w:val="auto"/>
        <w:rPr>
          <w:rStyle w:val="55"/>
          <w:rFonts w:hint="default" w:ascii="Times New Roman" w:hAnsi="Times New Roman" w:eastAsia="宋体" w:cs="Times New Roman"/>
          <w:color w:val="auto"/>
          <w:sz w:val="24"/>
          <w:szCs w:val="32"/>
          <w:u w:val="none"/>
        </w:rPr>
      </w:pPr>
      <w:bookmarkStart w:id="676" w:name="_Toc18111"/>
      <w:bookmarkStart w:id="677" w:name="_Toc116111712"/>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.2.5对湘江生态环境影响分析</w:t>
      </w:r>
      <w:bookmarkEnd w:id="676"/>
      <w:bookmarkEnd w:id="677"/>
    </w:p>
    <w:p w14:paraId="4B8A911A">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szCs w:val="21"/>
          <w:u w:val="none"/>
          <w:lang w:eastAsia="zh-CN"/>
        </w:rPr>
        <w:t>本项目不新增用地，为利用现有码头进行提质改造，对现有水域的影响主要为进港船舶的影响。</w:t>
      </w:r>
    </w:p>
    <w:p w14:paraId="15FA5507">
      <w:pPr>
        <w:pageBreakBefore w:val="0"/>
        <w:widowControl w:val="0"/>
        <w:kinsoku/>
        <w:wordWrap/>
        <w:overflowPunct/>
        <w:topLinePunct w:val="0"/>
        <w:autoSpaceDE w:val="0"/>
        <w:autoSpaceDN w:val="0"/>
        <w:bidi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（1）项目运营期运输船舶产生噪声会对湘江鱼类产生一定干扰，噪音污染对鱼类的影响将增加。</w:t>
      </w:r>
    </w:p>
    <w:p w14:paraId="6A0E4EDE">
      <w:pPr>
        <w:pageBreakBefore w:val="0"/>
        <w:widowControl w:val="0"/>
        <w:kinsoku/>
        <w:wordWrap/>
        <w:overflowPunct/>
        <w:topLinePunct w:val="0"/>
        <w:autoSpaceDE w:val="0"/>
        <w:autoSpaceDN w:val="0"/>
        <w:bidi w:val="0"/>
        <w:snapToGrid/>
        <w:spacing w:line="360" w:lineRule="auto"/>
        <w:ind w:firstLine="482"/>
        <w:textAlignment w:val="auto"/>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鱼类像其他脊椎动物一样，在大脑的两侧颅腔内，分别有两个内耳。水下噪声和振动波可使侧线及内耳感觉细胞引起反应，从而使鱼类感知它们。大多数鱼类多能听到的声音范围从50-1000Hz，少数鱼类能听到大于3kHz的声音，仅有极少数鱼类能够听到大于100kHz的声音。由于鱼体组织的密度和水密度的差异，特别是鱼鳔，水下声波传至鱼体时会产生明显震荡，这也是骨鳔鱼类（鲤科鱼类）对声音感知较为明显的原因。如果水下噪声和振动强度过大，就会引起鱼鳔等鱼体组织的损伤，特别严重时，甚至导致鱼类的直接死亡。</w:t>
      </w:r>
    </w:p>
    <w:p w14:paraId="298CE20A">
      <w:pPr>
        <w:pageBreakBefore w:val="0"/>
        <w:widowControl w:val="0"/>
        <w:kinsoku/>
        <w:wordWrap/>
        <w:overflowPunct/>
        <w:topLinePunct w:val="0"/>
        <w:autoSpaceDE w:val="0"/>
        <w:autoSpaceDN w:val="0"/>
        <w:bidi w:val="0"/>
        <w:snapToGrid/>
        <w:spacing w:line="360" w:lineRule="auto"/>
        <w:ind w:firstLine="482"/>
        <w:textAlignment w:val="auto"/>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近20年来，关于噪声对水生生物影响的关注越来越多，鱼类长期暴露在低强度噪声或者短期暴露在高强度噪声下都可能引起暂时性听觉阈值位移，重则导致听力组织损伤或听力丧失。噪声对鱼类的可能影响还包括瞬时惊吓反应、趋避反应（逃离噪声源）以及由听力受影响而引起的通讯行为、洄游行为、摄食和繁殖行为规律的改变等。一般情况，噪声不会导致鱼类直接死亡，除非是暴露在爆炸等震荡性噪声环境中。研究表明，鱼类不同的器官在爆炸中受到的影响有很大的差别，受到影响的器官有心、肝、肾、脾、鳔、血管、皮肤等，其中受影响最为严重的是鱼鳔和内部血管，这些损伤将导致鱼类的死亡。随着距离的增加，影响越来越小，当到达一定距离时（该实验中的距离是45m），将不再受影响。噪声会导致鱼类应激水平增高，长期的噪声暴露还可能会引起鱼类的抗病能力、繁殖能力降低，处于产卵繁殖期的亲鱼对噪声较为敏感，最终影响到种群的生存。</w:t>
      </w:r>
    </w:p>
    <w:p w14:paraId="18EAD566">
      <w:pPr>
        <w:pageBreakBefore w:val="0"/>
        <w:widowControl w:val="0"/>
        <w:kinsoku/>
        <w:wordWrap/>
        <w:overflowPunct/>
        <w:topLinePunct w:val="0"/>
        <w:autoSpaceDE w:val="0"/>
        <w:autoSpaceDN w:val="0"/>
        <w:bidi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本项目进港船舶主要为</w:t>
      </w:r>
      <w:r>
        <w:rPr>
          <w:rFonts w:hint="default" w:ascii="Times New Roman" w:hAnsi="Times New Roman" w:eastAsia="宋体" w:cs="Times New Roman"/>
          <w:color w:val="auto"/>
          <w:kern w:val="0"/>
          <w:sz w:val="24"/>
          <w:u w:val="none"/>
          <w:lang w:val="en-US" w:eastAsia="zh-CN"/>
        </w:rPr>
        <w:t>小型公务船</w:t>
      </w:r>
      <w:r>
        <w:rPr>
          <w:rFonts w:hint="default" w:ascii="Times New Roman" w:hAnsi="Times New Roman" w:eastAsia="宋体" w:cs="Times New Roman"/>
          <w:color w:val="auto"/>
          <w:kern w:val="0"/>
          <w:sz w:val="24"/>
          <w:u w:val="none"/>
          <w:lang w:val="zh-CN"/>
        </w:rPr>
        <w:t>，研究表明，船舶的航行噪声能量分布频率范围较广（&gt;100kHz），主要集中于中低频（&lt;10kHz）部分，各频率（20-144kHz）处的均方根声压级（SPLrms）对环境背景噪声在该频率处的噪声增量范围为3.7-66.5dB。接收到的1/3倍频程声压级（TOL）在各频率处都&gt;70dB，在80-140kHz频段内都高于鱼类的听觉阀值。</w:t>
      </w:r>
    </w:p>
    <w:p w14:paraId="374F1CCF">
      <w:pPr>
        <w:pageBreakBefore w:val="0"/>
        <w:widowControl w:val="0"/>
        <w:kinsoku/>
        <w:wordWrap/>
        <w:overflowPunct/>
        <w:topLinePunct w:val="0"/>
        <w:autoSpaceDE w:val="0"/>
        <w:autoSpaceDN w:val="0"/>
        <w:bidi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根据交通运输部交通运输行业发展统计公报，目前湘江平均日船舶流量约200多艘，且在逐年增加，本项目建成后</w:t>
      </w:r>
      <w:r>
        <w:rPr>
          <w:rFonts w:hint="default" w:ascii="Times New Roman" w:hAnsi="Times New Roman" w:eastAsia="宋体" w:cs="Times New Roman"/>
          <w:color w:val="auto"/>
          <w:kern w:val="0"/>
          <w:sz w:val="24"/>
          <w:u w:val="none"/>
          <w:lang w:val="en-US" w:eastAsia="zh-CN"/>
        </w:rPr>
        <w:t>基本不新增公务船数量</w:t>
      </w:r>
      <w:r>
        <w:rPr>
          <w:rFonts w:hint="default" w:ascii="Times New Roman" w:hAnsi="Times New Roman" w:eastAsia="宋体" w:cs="Times New Roman"/>
          <w:color w:val="auto"/>
          <w:kern w:val="0"/>
          <w:sz w:val="24"/>
          <w:u w:val="none"/>
          <w:lang w:val="zh-CN"/>
        </w:rPr>
        <w:t>，噪声对鱼类的影响有限。</w:t>
      </w:r>
    </w:p>
    <w:p w14:paraId="48658607">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2）鱼类被机械损伤的几率也将增加。船舶往来增加了湘江河鱼类被机械损伤的几率，船舶航行过程对成年鱼类的影响主要表现为“驱散效应”，其主要影响是改变了鱼类的暂时空间分布，不会导致鱼类资源量的明显变化，且本项目建成后</w:t>
      </w:r>
      <w:r>
        <w:rPr>
          <w:rFonts w:hint="default" w:ascii="Times New Roman" w:hAnsi="Times New Roman" w:eastAsia="宋体" w:cs="Times New Roman"/>
          <w:color w:val="auto"/>
          <w:kern w:val="0"/>
          <w:sz w:val="24"/>
          <w:u w:val="none"/>
          <w:lang w:val="en-US" w:eastAsia="zh-CN"/>
        </w:rPr>
        <w:t>不会新增公务船的来往</w:t>
      </w:r>
      <w:r>
        <w:rPr>
          <w:rFonts w:hint="default" w:ascii="Times New Roman" w:hAnsi="Times New Roman" w:eastAsia="宋体" w:cs="Times New Roman"/>
          <w:color w:val="auto"/>
          <w:kern w:val="0"/>
          <w:sz w:val="24"/>
          <w:u w:val="none"/>
          <w:lang w:val="zh-CN"/>
        </w:rPr>
        <w:t>，本项目可通过控制到港船舶数量降低船舶往来的不利影响。</w:t>
      </w:r>
    </w:p>
    <w:p w14:paraId="5F573283">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3）船舶含油废水、生活污水、初期雨水排放的影响。营运期由于船舶舱底水含石油类，若直接排入湘江，则会直接产生污染；同时船上工作员工的生活污水若直接排放，也会对该区域产生影响，从而对湘江的水质造成破坏。码头员工生活污水及生活垃圾也将增加，这些污染物特别是生活污水如果直接排放将可能导致湘江水质的恶化，鱼类等水生生物的生活环境将发生改变。较大的不利影响主要为：</w:t>
      </w:r>
    </w:p>
    <w:p w14:paraId="66E0AFB5">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①如果油膜较厚且连成片，将使排放点附近水域水体的阳光透射率下降，降低浮游植物的光合作用，从而影响水域的初级生产力，同时干扰浮游动物的昼夜垂直迁移。</w:t>
      </w:r>
    </w:p>
    <w:p w14:paraId="22046746">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②石油类污染还可能伤害水生生物的化学感应器，干扰、破坏生物的趋化性，使其感应系统发生素乱。</w:t>
      </w:r>
    </w:p>
    <w:p w14:paraId="7FD39BA8">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③动物的卵和幼体对油污染非常敏感，而且由于卵和幼体大多漂浮在水体表层，若表层油污染浓度最高，那对生物种类的破坏性较大。</w:t>
      </w:r>
    </w:p>
    <w:p w14:paraId="39FB64D7">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④生活污水中的有机物进入水体，将消耗水体中的溶解氧，降低水中溶解氧的含量，影响水生生物代谢和呼吸，使好氧生物生长受到抑制、厌氧和兼氧生物种类快速繁殖，从而改变原有的种类结构，引起生态平衡失调。</w:t>
      </w:r>
    </w:p>
    <w:p w14:paraId="46BDC31A">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u w:val="none"/>
          <w:lang w:val="zh-CN"/>
        </w:rPr>
      </w:pPr>
      <w:r>
        <w:rPr>
          <w:rFonts w:hint="default" w:ascii="Times New Roman" w:hAnsi="Times New Roman" w:eastAsia="宋体" w:cs="Times New Roman"/>
          <w:color w:val="auto"/>
          <w:u w:val="none"/>
          <w:lang w:val="zh-CN"/>
        </w:rPr>
        <w:t>本项目到港船舶生活污水与码头员工生活污水经生活污水收集</w:t>
      </w:r>
      <w:r>
        <w:rPr>
          <w:rFonts w:hint="default" w:ascii="Times New Roman" w:hAnsi="Times New Roman" w:eastAsia="宋体" w:cs="Times New Roman"/>
          <w:color w:val="auto"/>
          <w:u w:val="none"/>
          <w:lang w:val="zh-CN" w:eastAsia="zh-CN"/>
        </w:rPr>
        <w:t>箱</w:t>
      </w:r>
      <w:r>
        <w:rPr>
          <w:rFonts w:hint="default" w:ascii="Times New Roman" w:hAnsi="Times New Roman" w:eastAsia="宋体" w:cs="Times New Roman"/>
          <w:color w:val="auto"/>
          <w:u w:val="none"/>
          <w:lang w:val="zh-CN"/>
        </w:rPr>
        <w:t>收集，</w:t>
      </w:r>
      <w:r>
        <w:rPr>
          <w:rFonts w:hint="default" w:ascii="Times New Roman" w:hAnsi="Times New Roman" w:eastAsia="宋体" w:cs="Times New Roman"/>
          <w:color w:val="auto"/>
          <w:u w:val="none"/>
          <w:lang w:val="en-US" w:eastAsia="zh-CN"/>
        </w:rPr>
        <w:t>统一由码头收集箱收集后经化粪池预处理后作为林地灌溉水回用，</w:t>
      </w:r>
      <w:r>
        <w:rPr>
          <w:rFonts w:hint="default" w:ascii="Times New Roman" w:hAnsi="Times New Roman" w:eastAsia="宋体" w:cs="Times New Roman"/>
          <w:color w:val="auto"/>
          <w:u w:val="none"/>
          <w:lang w:val="zh-CN"/>
        </w:rPr>
        <w:t>船舶含油废水由趸船含油污水箱收集后由具有专业资质的接收船接收。</w:t>
      </w:r>
    </w:p>
    <w:p w14:paraId="7C88589F">
      <w:pPr>
        <w:pageBreakBefore w:val="0"/>
        <w:widowControl w:val="0"/>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kern w:val="0"/>
          <w:sz w:val="24"/>
          <w:u w:val="none"/>
          <w:lang w:val="zh-CN"/>
        </w:rPr>
      </w:pPr>
      <w:r>
        <w:rPr>
          <w:rFonts w:hint="default" w:ascii="Times New Roman" w:hAnsi="Times New Roman" w:eastAsia="宋体" w:cs="Times New Roman"/>
          <w:color w:val="auto"/>
          <w:kern w:val="0"/>
          <w:sz w:val="24"/>
          <w:u w:val="none"/>
          <w:lang w:val="zh-CN"/>
        </w:rPr>
        <w:t>因此，本项目营运期所产生的污水都得到有效处理，不排入湘江，不会对湘江的水质造成破坏，对项目西侧湘江不利影响较小。</w:t>
      </w:r>
    </w:p>
    <w:p w14:paraId="5088C61A">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szCs w:val="21"/>
          <w:u w:val="none"/>
          <w:lang w:eastAsia="zh-CN"/>
        </w:rPr>
        <w:t>（4）营运期运输船舶运行对水域有一定扰动，造成浅水区域水中悬浮物浓度增加，水的透明度降低，间接影响水中浮游动植物、鱼类等，但运输船舶航行路线水域较深，行驶过程中距水岸较远，扰动产生的悬浮物有限。本项目码头前沿过水断面开阔，不会对鱼类生存及洄游产生明显不利影响。</w:t>
      </w:r>
    </w:p>
    <w:p w14:paraId="4F929E9E">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szCs w:val="21"/>
          <w:u w:val="none"/>
          <w:lang w:eastAsia="zh-CN"/>
        </w:rPr>
        <w:t>（5）船舶航行会对周围水体产生扰动，这些扰动会对水域水生生物的生物量、种类及栖息环境产生一定影响。但由于船舶是在水体上层航行，主要影响也集中在上层水域，水生生物除浮游生物（主要是浮游植物）在水体表层活动强度较大外，其它生物多在中层及底层活动，且水生生物的浮（游）动性较强，会自动规避船舶带来的扰动。因此，船舶航行对水体扰动影响范围较小，对水生生物的影响较小，不会根本改变水生生物的栖息环境，也不会使生物种类、数量明显减少。</w:t>
      </w:r>
    </w:p>
    <w:p w14:paraId="000F24CF">
      <w:pPr>
        <w:pStyle w:val="38"/>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u w:val="none"/>
          <w:lang w:val="zh-CN"/>
        </w:rPr>
        <w:t>（</w:t>
      </w:r>
      <w:r>
        <w:rPr>
          <w:rFonts w:hint="default" w:ascii="Times New Roman" w:hAnsi="Times New Roman" w:eastAsia="宋体" w:cs="Times New Roman"/>
          <w:color w:val="auto"/>
          <w:u w:val="none"/>
          <w:lang w:val="zh-CN" w:eastAsia="zh-CN"/>
        </w:rPr>
        <w:t>6</w:t>
      </w:r>
      <w:r>
        <w:rPr>
          <w:rFonts w:hint="default" w:ascii="Times New Roman" w:hAnsi="Times New Roman" w:eastAsia="宋体" w:cs="Times New Roman"/>
          <w:color w:val="auto"/>
          <w:u w:val="none"/>
          <w:lang w:val="zh-CN"/>
        </w:rPr>
        <w:t>）船舶碰撞、船舶舱底油污水事故等风险增加，对湘江鱼类的危害将会增加</w:t>
      </w:r>
      <w:r>
        <w:rPr>
          <w:rFonts w:hint="default" w:ascii="Times New Roman" w:hAnsi="Times New Roman" w:eastAsia="宋体" w:cs="Times New Roman"/>
          <w:color w:val="auto"/>
          <w:u w:val="none"/>
          <w:lang w:val="zh-CN" w:eastAsia="zh-CN"/>
        </w:rPr>
        <w:t>。</w:t>
      </w:r>
    </w:p>
    <w:p w14:paraId="5C23D773">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u w:val="none"/>
        </w:rPr>
      </w:pPr>
      <w:bookmarkStart w:id="678" w:name="_Toc5249"/>
      <w:bookmarkStart w:id="679" w:name="_Toc116111713"/>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.2.6对湘江河道演变分析</w:t>
      </w:r>
      <w:bookmarkEnd w:id="678"/>
      <w:bookmarkEnd w:id="679"/>
    </w:p>
    <w:p w14:paraId="36E7E77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本次评价利用1981年至今以来历史实测地形资料，对洞庭湖出口段近期演变特点进行分析。</w:t>
      </w:r>
    </w:p>
    <w:p w14:paraId="078E762C">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olor w:val="auto"/>
          <w:sz w:val="24"/>
        </w:rPr>
      </w:pPr>
      <w:bookmarkStart w:id="680" w:name="_Toc4347"/>
      <w:r>
        <w:rPr>
          <w:rFonts w:hint="default" w:ascii="Times New Roman" w:hAnsi="Times New Roman" w:eastAsia="宋体" w:cs="Times New Roman"/>
          <w:b/>
          <w:bCs w:val="0"/>
          <w:color w:val="auto"/>
          <w:sz w:val="24"/>
        </w:rPr>
        <w:t>1、岸线变化</w:t>
      </w:r>
      <w:bookmarkEnd w:id="680"/>
    </w:p>
    <w:p w14:paraId="445E5F9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洞庭湖出口洪道段，左岸为广阔的芦苇滩地，右岸岳阳市至城陵矶建有防洪大堤，沿程有北门口山咀，城陵矶节点控制河势，多年来岸线的平面形态相对稳定。据1981年以来实测地形20m等高线统计资料来看，洞庭湖出口洪道南津港至城陵矶段左、右岸岸线变化均较小，20m等高线摆动幅度一般在50m以内，岸坡基本稳定。在北门渡口、洞庭大桥、七里山水位站、蒙华铁路桥桥位和外贸码头处20m等高线宽度稳定在1350m、1200m、1100m、1050m和720m左右。</w:t>
      </w:r>
    </w:p>
    <w:p w14:paraId="738450EB">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olor w:val="auto"/>
          <w:sz w:val="24"/>
        </w:rPr>
      </w:pPr>
      <w:bookmarkStart w:id="681" w:name="_Toc31202"/>
      <w:r>
        <w:rPr>
          <w:rFonts w:hint="default" w:ascii="Times New Roman" w:hAnsi="Times New Roman" w:eastAsia="宋体" w:cs="Times New Roman"/>
          <w:b/>
          <w:bCs w:val="0"/>
          <w:color w:val="auto"/>
          <w:sz w:val="24"/>
        </w:rPr>
        <w:t>2、深槽变化</w:t>
      </w:r>
      <w:bookmarkEnd w:id="681"/>
    </w:p>
    <w:p w14:paraId="2BFE025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七里山以下至城陵矶，10m等高线与长江深槽贯通。1981年以来，10m等高线左侧边线随着岸线的冲退也逐渐左移，右侧变化不大。至1995年，10m等高线左侧边线左移了100m~200m，深槽展宽。此后10m等高线平面变化不大，基本维持稳定。</w:t>
      </w:r>
    </w:p>
    <w:p w14:paraId="2D1520CD">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olor w:val="auto"/>
          <w:sz w:val="24"/>
        </w:rPr>
      </w:pPr>
      <w:bookmarkStart w:id="682" w:name="_Toc7959"/>
      <w:r>
        <w:rPr>
          <w:rFonts w:hint="default" w:ascii="Times New Roman" w:hAnsi="Times New Roman" w:eastAsia="宋体" w:cs="Times New Roman"/>
          <w:b/>
          <w:bCs w:val="0"/>
          <w:color w:val="auto"/>
          <w:sz w:val="24"/>
        </w:rPr>
        <w:t>3、深泓线变化</w:t>
      </w:r>
      <w:bookmarkEnd w:id="682"/>
    </w:p>
    <w:p w14:paraId="7A99FFF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洞庭湖出口洪道（南津港至汇流口段）主流大体走向是，在北门渡口以上贴右岸而行，在北门渡口以下受山咀的挑流作用，逐渐向左过渡，再趋中入汇长江。据 1995年、2003年、2008年和2019年四次测图，南津港至岳阳洞庭大桥段主流较稳定，摆动范围在100m以内；岳阳洞庭湖大桥以下段，1981~1995年，在七里山水位站以下约2.5km河段主流发生一定幅度的左移，最大摆动幅度约250m，1995年以来主流摆幅减小，渐趋稳定；外贸码头以下段在城陵矶节点的控制作用下，多年来主流保持稳定。总的来说，在北门渡口、城陵矶等节点的控导作用下，多年来本河段河道深泓年际间摆幅较小，主流走向基本稳定。</w:t>
      </w:r>
    </w:p>
    <w:p w14:paraId="37EA7DDF">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olor w:val="auto"/>
          <w:sz w:val="24"/>
        </w:rPr>
      </w:pPr>
      <w:bookmarkStart w:id="683" w:name="_Toc26929"/>
      <w:r>
        <w:rPr>
          <w:rFonts w:hint="default" w:ascii="Times New Roman" w:hAnsi="Times New Roman" w:eastAsia="宋体" w:cs="Times New Roman"/>
          <w:b/>
          <w:bCs w:val="0"/>
          <w:color w:val="auto"/>
          <w:sz w:val="24"/>
        </w:rPr>
        <w:t>4、河床冲淤变化</w:t>
      </w:r>
      <w:bookmarkEnd w:id="683"/>
    </w:p>
    <w:p w14:paraId="314B155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工程河段河床冲淤计算结果表明，自1981年以来，洞庭湖出口七里山以下洪道多年来河床保持稳定，河床冲淤变化幅度较小，1981~2019年，25m等高线和20m等高线以下河床分别冲刷了130万m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和60万m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，其中三峡蓄水运用前的1981~2003年，25m等高线和20m等高线以下河床分别冲刷了246万m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和193万m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，三峡蓄水运用后的2003~2019年，25m等高线和20m等高线以下河床分别淤积了133万m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和116万m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59F6FCB1">
      <w:pPr>
        <w:pStyle w:val="15"/>
        <w:keepNext w:val="0"/>
        <w:keepLines w:val="0"/>
        <w:pageBreakBefore w:val="0"/>
        <w:widowControl w:val="0"/>
        <w:tabs>
          <w:tab w:val="left" w:pos="1042"/>
          <w:tab w:val="left" w:pos="4897"/>
        </w:tabs>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Cs w:val="21"/>
          <w:vertAlign w:val="superscript"/>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pacing w:val="-59"/>
          <w:szCs w:val="21"/>
        </w:rPr>
        <w:t xml:space="preserve"> </w:t>
      </w:r>
      <w:r>
        <w:rPr>
          <w:rFonts w:hint="default" w:ascii="Times New Roman" w:hAnsi="Times New Roman" w:eastAsia="宋体" w:cs="Times New Roman"/>
          <w:b/>
          <w:bCs/>
          <w:color w:val="auto"/>
          <w:szCs w:val="21"/>
          <w:lang w:val="en-US" w:eastAsia="zh-CN"/>
        </w:rPr>
        <w:t>5.2-</w:t>
      </w:r>
      <w:r>
        <w:rPr>
          <w:rFonts w:hint="eastAsia" w:ascii="Times New Roman" w:eastAsia="宋体" w:cs="Times New Roman"/>
          <w:b/>
          <w:bCs/>
          <w:color w:val="auto"/>
          <w:szCs w:val="21"/>
          <w:lang w:val="en-US" w:eastAsia="zh-CN"/>
        </w:rPr>
        <w:t>11</w:t>
      </w:r>
      <w:r>
        <w:rPr>
          <w:rFonts w:hint="default" w:ascii="Times New Roman" w:hAnsi="Times New Roman" w:eastAsia="宋体" w:cs="Times New Roman"/>
          <w:b/>
          <w:bCs/>
          <w:color w:val="auto"/>
          <w:szCs w:val="21"/>
        </w:rPr>
        <w:t xml:space="preserve">  洞庭湖七里山至城陵矶</w:t>
      </w:r>
      <w:r>
        <w:rPr>
          <w:rFonts w:hint="default" w:ascii="Times New Roman" w:hAnsi="Times New Roman" w:eastAsia="宋体" w:cs="Times New Roman"/>
          <w:b/>
          <w:bCs/>
          <w:color w:val="auto"/>
          <w:spacing w:val="3"/>
          <w:szCs w:val="21"/>
        </w:rPr>
        <w:t>冲</w:t>
      </w:r>
      <w:r>
        <w:rPr>
          <w:rFonts w:hint="default" w:ascii="Times New Roman" w:hAnsi="Times New Roman" w:eastAsia="宋体" w:cs="Times New Roman"/>
          <w:b/>
          <w:bCs/>
          <w:color w:val="auto"/>
          <w:szCs w:val="21"/>
        </w:rPr>
        <w:t>淤量统计（单位：</w:t>
      </w:r>
      <w:r>
        <w:rPr>
          <w:rFonts w:hint="default" w:ascii="Times New Roman" w:hAnsi="Times New Roman" w:eastAsia="宋体" w:cs="Times New Roman"/>
          <w:b/>
          <w:bCs/>
          <w:color w:val="auto"/>
          <w:szCs w:val="21"/>
          <w:lang w:val="en-US" w:eastAsia="zh-CN"/>
        </w:rPr>
        <w:t>万</w:t>
      </w:r>
      <w:r>
        <w:rPr>
          <w:rFonts w:hint="default" w:ascii="Times New Roman" w:hAnsi="Times New Roman" w:eastAsia="宋体" w:cs="Times New Roman"/>
          <w:b/>
          <w:bCs/>
          <w:color w:val="auto"/>
          <w:szCs w:val="21"/>
        </w:rPr>
        <w:t>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bl>
      <w:tblPr>
        <w:tblStyle w:val="29"/>
        <w:tblW w:w="505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687"/>
        <w:gridCol w:w="1600"/>
        <w:gridCol w:w="1600"/>
        <w:gridCol w:w="1885"/>
        <w:gridCol w:w="1628"/>
      </w:tblGrid>
      <w:tr w14:paraId="3B512C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4" w:type="pct"/>
            <w:vMerge w:val="restart"/>
            <w:noWrap w:val="0"/>
            <w:vAlign w:val="center"/>
          </w:tcPr>
          <w:p w14:paraId="17F5E8D6">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时段（年）</w:t>
            </w:r>
          </w:p>
        </w:tc>
        <w:tc>
          <w:tcPr>
            <w:tcW w:w="1904" w:type="pct"/>
            <w:gridSpan w:val="2"/>
            <w:noWrap w:val="0"/>
            <w:vAlign w:val="center"/>
          </w:tcPr>
          <w:p w14:paraId="20EAED5F">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20m等高线以下</w:t>
            </w:r>
          </w:p>
        </w:tc>
        <w:tc>
          <w:tcPr>
            <w:tcW w:w="2091" w:type="pct"/>
            <w:gridSpan w:val="2"/>
            <w:noWrap w:val="0"/>
            <w:vAlign w:val="center"/>
          </w:tcPr>
          <w:p w14:paraId="41AB10AD">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25m等高线以下</w:t>
            </w:r>
          </w:p>
        </w:tc>
      </w:tr>
      <w:tr w14:paraId="4EC6B2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4" w:type="pct"/>
            <w:vMerge w:val="continue"/>
            <w:noWrap w:val="0"/>
            <w:vAlign w:val="center"/>
          </w:tcPr>
          <w:p w14:paraId="53892D6B">
            <w:pPr>
              <w:pStyle w:val="15"/>
              <w:keepNext w:val="0"/>
              <w:keepLines w:val="0"/>
              <w:pageBreakBefore w:val="0"/>
              <w:kinsoku w:val="0"/>
              <w:wordWrap/>
              <w:overflowPunct w:val="0"/>
              <w:topLinePunct w:val="0"/>
              <w:bidi w:val="0"/>
              <w:spacing w:after="0" w:line="240" w:lineRule="auto"/>
              <w:jc w:val="center"/>
              <w:textAlignment w:val="auto"/>
              <w:rPr>
                <w:rFonts w:hint="default" w:ascii="Times New Roman" w:hAnsi="Times New Roman" w:eastAsia="宋体" w:cs="Times New Roman"/>
                <w:bCs/>
                <w:color w:val="auto"/>
                <w:sz w:val="2"/>
                <w:szCs w:val="2"/>
              </w:rPr>
            </w:pPr>
          </w:p>
        </w:tc>
        <w:tc>
          <w:tcPr>
            <w:tcW w:w="952" w:type="pct"/>
            <w:noWrap w:val="0"/>
            <w:vAlign w:val="center"/>
          </w:tcPr>
          <w:p w14:paraId="2318CB94">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总冲淤量</w:t>
            </w:r>
          </w:p>
        </w:tc>
        <w:tc>
          <w:tcPr>
            <w:tcW w:w="952" w:type="pct"/>
            <w:noWrap w:val="0"/>
            <w:vAlign w:val="center"/>
          </w:tcPr>
          <w:p w14:paraId="06612A8D">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年均冲淤量</w:t>
            </w:r>
          </w:p>
        </w:tc>
        <w:tc>
          <w:tcPr>
            <w:tcW w:w="1122" w:type="pct"/>
            <w:noWrap w:val="0"/>
            <w:vAlign w:val="center"/>
          </w:tcPr>
          <w:p w14:paraId="50E938D3">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总冲淤量</w:t>
            </w:r>
          </w:p>
        </w:tc>
        <w:tc>
          <w:tcPr>
            <w:tcW w:w="968" w:type="pct"/>
            <w:noWrap w:val="0"/>
            <w:vAlign w:val="center"/>
          </w:tcPr>
          <w:p w14:paraId="3A2F2C38">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年均冲淤量</w:t>
            </w:r>
          </w:p>
        </w:tc>
      </w:tr>
      <w:tr w14:paraId="5F085A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4" w:type="pct"/>
            <w:noWrap w:val="0"/>
            <w:vAlign w:val="center"/>
          </w:tcPr>
          <w:p w14:paraId="2048722D">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1981~2019</w:t>
            </w:r>
          </w:p>
        </w:tc>
        <w:tc>
          <w:tcPr>
            <w:tcW w:w="952" w:type="pct"/>
            <w:noWrap w:val="0"/>
            <w:vAlign w:val="center"/>
          </w:tcPr>
          <w:p w14:paraId="1C9B93C3">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2" w:type="pct"/>
            <w:noWrap w:val="0"/>
            <w:vAlign w:val="center"/>
          </w:tcPr>
          <w:p w14:paraId="5FBAE88B">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22" w:type="pct"/>
            <w:noWrap w:val="0"/>
            <w:vAlign w:val="center"/>
          </w:tcPr>
          <w:p w14:paraId="2C87344E">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968" w:type="pct"/>
            <w:noWrap w:val="0"/>
            <w:vAlign w:val="center"/>
          </w:tcPr>
          <w:p w14:paraId="7B2862A2">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r>
      <w:tr w14:paraId="4A17C8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4" w:type="pct"/>
            <w:noWrap w:val="0"/>
            <w:vAlign w:val="center"/>
          </w:tcPr>
          <w:p w14:paraId="0EB5D258">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1981~2003</w:t>
            </w:r>
          </w:p>
        </w:tc>
        <w:tc>
          <w:tcPr>
            <w:tcW w:w="952" w:type="pct"/>
            <w:noWrap w:val="0"/>
            <w:vAlign w:val="center"/>
          </w:tcPr>
          <w:p w14:paraId="3C0D07CF">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w:t>
            </w:r>
          </w:p>
        </w:tc>
        <w:tc>
          <w:tcPr>
            <w:tcW w:w="952" w:type="pct"/>
            <w:noWrap w:val="0"/>
            <w:vAlign w:val="center"/>
          </w:tcPr>
          <w:p w14:paraId="64EBF32C">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1122" w:type="pct"/>
            <w:noWrap w:val="0"/>
            <w:vAlign w:val="center"/>
          </w:tcPr>
          <w:p w14:paraId="22916F80">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-246</w:t>
            </w:r>
          </w:p>
        </w:tc>
        <w:tc>
          <w:tcPr>
            <w:tcW w:w="968" w:type="pct"/>
            <w:noWrap w:val="0"/>
            <w:vAlign w:val="center"/>
          </w:tcPr>
          <w:p w14:paraId="2F67F971">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r>
      <w:tr w14:paraId="51373D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4" w:type="pct"/>
            <w:noWrap w:val="0"/>
            <w:vAlign w:val="center"/>
          </w:tcPr>
          <w:p w14:paraId="2D444C79">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2003~2019</w:t>
            </w:r>
          </w:p>
        </w:tc>
        <w:tc>
          <w:tcPr>
            <w:tcW w:w="952" w:type="pct"/>
            <w:noWrap w:val="0"/>
            <w:vAlign w:val="center"/>
          </w:tcPr>
          <w:p w14:paraId="66B44139">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952" w:type="pct"/>
            <w:noWrap w:val="0"/>
            <w:vAlign w:val="center"/>
          </w:tcPr>
          <w:p w14:paraId="4DAFA145">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1122" w:type="pct"/>
            <w:noWrap w:val="0"/>
            <w:vAlign w:val="center"/>
          </w:tcPr>
          <w:p w14:paraId="52457FCC">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968" w:type="pct"/>
            <w:noWrap w:val="0"/>
            <w:vAlign w:val="center"/>
          </w:tcPr>
          <w:p w14:paraId="6ACDB9C7">
            <w:pPr>
              <w:pStyle w:val="56"/>
              <w:keepNext w:val="0"/>
              <w:keepLines w:val="0"/>
              <w:pageBreakBefore w:val="0"/>
              <w:kinsoku w:val="0"/>
              <w:wordWrap/>
              <w:overflowPunct w:val="0"/>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w:t>
            </w:r>
          </w:p>
        </w:tc>
      </w:tr>
    </w:tbl>
    <w:p w14:paraId="48F8883A">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注：表中冲淤量“-”为冲刷，“+”为淤积。</w:t>
      </w:r>
    </w:p>
    <w:p w14:paraId="79076B06">
      <w:pPr>
        <w:spacing w:line="360" w:lineRule="auto"/>
        <w:ind w:firstLine="482" w:firstLineChars="200"/>
        <w:outlineLvl w:val="9"/>
        <w:rPr>
          <w:rFonts w:hint="default" w:ascii="Times New Roman" w:hAnsi="Times New Roman" w:eastAsia="宋体" w:cs="Times New Roman"/>
          <w:b/>
          <w:bCs w:val="0"/>
          <w:color w:val="auto"/>
          <w:sz w:val="24"/>
        </w:rPr>
      </w:pPr>
      <w:bookmarkStart w:id="684" w:name="_Toc4454"/>
      <w:r>
        <w:rPr>
          <w:rFonts w:hint="default" w:ascii="Times New Roman" w:hAnsi="Times New Roman" w:eastAsia="宋体" w:cs="Times New Roman"/>
          <w:b/>
          <w:bCs w:val="0"/>
          <w:color w:val="auto"/>
          <w:sz w:val="24"/>
        </w:rPr>
        <w:t>5、演变趋势预测</w:t>
      </w:r>
      <w:bookmarkEnd w:id="684"/>
    </w:p>
    <w:p w14:paraId="14E6C2EB">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（1）三峡工程对洞庭湖区、中游干流冲淤变化的影响</w:t>
      </w:r>
    </w:p>
    <w:p w14:paraId="5FA547C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峡水库泥沙淤积研究成果表明，三峡水库蓄水运用后，推移质泥沙大多数被拦在库内，下泄的悬移质泥沙量比天然情况也将减少，粒径变细，水库运用前10年平均排沙比约为30%，运用50年以后约为50%，运用80年后可达 80%。</w:t>
      </w:r>
    </w:p>
    <w:p w14:paraId="4E40919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据三峡水库蓄水运用以来的2003年6月~2012年12月实测资料表明，三峡入库泥沙总量为20.269×10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t，出库（宜昌站）泥沙总量为4.822×10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t，水库淤积泥沙 15.447×10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t，水库排沙比为23.8%，不足1/4。</w:t>
      </w:r>
    </w:p>
    <w:p w14:paraId="4BD49FF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根据现有研究成果，三峡工程蓄水运用后坝下游河道冲刷具有以下特点：冲刷的距离很长，可以影响到距坝1100km 的大通河段；河道冲刷自上向下逐步发展，城陵矶以上冲刷量较大，武汉以下河段冲刷量较小；各河段经过一定时间冲刷后，冲刷量达最大，以后回淤，反映出“冲刷～平衡～回淤”的变化过程和这一过程向下游发展的一般规律。根据长江与洞庭湖联合一维水沙模型的初步计算，三峡建库后10年末宜昌至松滋口段河床冲刷量达最大，为0.98×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t，按河宽 1000m 计，平均冲深约为1.0m；松滋口至太平口段河床在三峡建库后20年冲刷量达到最大，为1.93×10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t，按河宽1200m计，平均冲深1.96m；太平口至藕池口段在三峡建库后31~40 年河床累计冲刷达最大，为5.18×10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t，按河宽1300m计，河床平均冲深约3.42m；下荆江在三峡建库后11~30年受到强烈冲刷，建库40年末冲刷达最大，达17.01×10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t，按河宽1400m计，河床平均冲深约5.29m；三峡建库后50年末城陵矶至武汉河段河床累计冲刷量最大冲刷量为14.72×10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t，按河宽1900m计河床平均冲深约2.50m。</w:t>
      </w:r>
    </w:p>
    <w:p w14:paraId="7449C6DC">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峡工程蓄水运用后，荆江河床冲刷，水位降低，将使三口分流入洞庭湖的水沙量显著减少，江湖关系发生调整，洞庭湖的淤积情况将随之发生改变。三峡建库后，三口分流均呈减少趋势，衰减最为严重的是藕池口，其次为太平口、松滋口。根据长江与洞庭湖联合一维水沙模型的初步计算，三峡水库运用后，三口分流分沙减少，其中以前20年减少速率较大，此后分流量略有减少，但幅度较小，分沙量则呈回升趋势。松滋、太平、藕池三口三峡建库运行10年与现状相比，分流量分别减少4.7%、11.3%和20%；运行20年，分别减少6.9%、28.8%和64.8%；运行50年，分别减少10.4%、36.8%和80%。随着三口分流的减少，三口分入洞庭湖的泥沙量相应减少。三峡水库运用前10年，与现状相比，三口年均分沙量减少60%，第11~20 年减少约72%，此后分沙量有所增加，至第41~50年分沙量较现状减少约60%。</w:t>
      </w:r>
    </w:p>
    <w:p w14:paraId="2100AC22">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三峡水库运用后，随着三口分流分沙减少，进入洞庭湖区的沙量相应减少，经湖区调蓄后，湖区仍以淤为主，但淤积量大为减少。计算结果表明，三峡建库后10年，湖区平均年淤积量约0.42×10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t，约为1981~1995年平均年淤积量的一半；水库运用 11~20 年，湖区平均年淤积量约为0.35×10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t。此后，三口分沙量增加，湖区年均淤积量开始缓慢增加，至水库运用41~50 年，湖区年均淤积约为0.45×10</w:t>
      </w:r>
      <w:r>
        <w:rPr>
          <w:rFonts w:hint="default" w:ascii="Times New Roman" w:hAnsi="Times New Roman" w:eastAsia="宋体" w:cs="Times New Roman"/>
          <w:bCs/>
          <w:color w:val="auto"/>
          <w:sz w:val="24"/>
          <w:vertAlign w:val="superscript"/>
        </w:rPr>
        <w:t>8</w:t>
      </w:r>
      <w:r>
        <w:rPr>
          <w:rFonts w:hint="default" w:ascii="Times New Roman" w:hAnsi="Times New Roman" w:eastAsia="宋体" w:cs="Times New Roman"/>
          <w:bCs/>
          <w:color w:val="auto"/>
          <w:sz w:val="24"/>
        </w:rPr>
        <w:t>t，为1981~1995年的51%，说明三峡工程运用对延缓洞庭湖的淤积有很大作用。</w:t>
      </w:r>
    </w:p>
    <w:p w14:paraId="766F4D1F">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（2）三峡工程蓄水运用后影响分析</w:t>
      </w:r>
    </w:p>
    <w:p w14:paraId="18008B7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bCs/>
          <w:color w:val="auto"/>
          <w:sz w:val="24"/>
        </w:rPr>
        <w:t>三峡水库建成运用后，来水来沙条件的改变将导致长江中下游河道经历较长时期的冲刷。1998年长江全流域大洪水后，长江中下游河道的河势控制和崩岸治理等工程建设得以加强，河道的稳定性逐步增强。从三峡工程建成运行后的情况看，洞庭湖出口河段的河床形态和河道演变特点总体上没有重大改变。在较长</w:t>
      </w:r>
      <w:r>
        <w:rPr>
          <w:rFonts w:hint="default" w:ascii="Times New Roman" w:hAnsi="Times New Roman" w:eastAsia="宋体" w:cs="Times New Roman"/>
          <w:bCs/>
          <w:color w:val="auto"/>
          <w:sz w:val="24"/>
          <w:u w:val="none"/>
        </w:rPr>
        <w:t>时期内，坝下游河道水流挟沙处于非饱和状态，河床将自上而下沿程冲刷。荆江河道冲刷发展相对较快，而河道冲刷势必导致水位降低，荆江三口分流分沙比总体呈减小趋势，下荆江干流泄流进一步增加。荆江及城陵矶以下干流河床的冲刷将使得洞庭湖出口段的比降增大，有利于洞庭湖出口河段的冲刷。三口入湖沙量的减少，也将减轻洞庭湖及其出口河段的淤积。</w:t>
      </w:r>
    </w:p>
    <w:p w14:paraId="0915EA83">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rPr>
      </w:pPr>
      <w:bookmarkStart w:id="685" w:name="_Toc116111714"/>
      <w:bookmarkStart w:id="686" w:name="_Toc82508881"/>
      <w:bookmarkStart w:id="687" w:name="_Toc77255327"/>
      <w:bookmarkStart w:id="688" w:name="_Toc12600"/>
      <w:bookmarkStart w:id="689" w:name="_Toc67925923"/>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.2.7对湘江水文</w:t>
      </w:r>
      <w:r>
        <w:rPr>
          <w:rFonts w:hint="eastAsia" w:cs="Times New Roman"/>
          <w:color w:val="auto"/>
          <w:u w:val="none"/>
          <w:lang w:val="en-US" w:eastAsia="zh-CN"/>
        </w:rPr>
        <w:t>要素</w:t>
      </w:r>
      <w:r>
        <w:rPr>
          <w:rFonts w:hint="default" w:ascii="Times New Roman" w:hAnsi="Times New Roman" w:eastAsia="宋体" w:cs="Times New Roman"/>
          <w:color w:val="auto"/>
          <w:u w:val="none"/>
        </w:rPr>
        <w:t>影响分析</w:t>
      </w:r>
      <w:bookmarkEnd w:id="685"/>
      <w:bookmarkEnd w:id="686"/>
      <w:bookmarkEnd w:id="687"/>
      <w:bookmarkEnd w:id="688"/>
      <w:bookmarkEnd w:id="689"/>
    </w:p>
    <w:p w14:paraId="4D60C51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rPr>
        <w:t>根据《环境影响评价技术导则  地表水环境》（HJ 2.3-2018）要求，水文要素影响型建设项目水文情势预测分析主要包括水域形态、径流条件、水文条件以及冲淤变化等内容，预测水期包括枯、丰水期。根据码头工程特点，码头工程对径流过程、水量、水温、水面宽等水文要素影响较小，主要针对水位、流速及泥沙冲淤等水文要素进行预测与分析。</w:t>
      </w:r>
      <w:r>
        <w:rPr>
          <w:rFonts w:hint="default" w:ascii="Times New Roman" w:hAnsi="Times New Roman" w:eastAsia="宋体" w:cs="Times New Roman"/>
          <w:color w:val="auto"/>
          <w:u w:val="none"/>
          <w:lang w:val="en-US" w:eastAsia="zh-CN"/>
        </w:rPr>
        <w:t>考虑到本项目规模较小，且不新建码头，仅在湘江河道上新增一座趸船，报告书类比同为湘江河道，位于本项目上游的汨纺货运码头提质改造工程的《汨纺货运码头提质改造工程项目环境影响报告书》中码头对湘江水文情势的分析，评价本项目对湘江水文情势的影响。</w:t>
      </w:r>
    </w:p>
    <w:p w14:paraId="3E8DD930">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5.2.7.1 类比的同类项目概况</w:t>
      </w:r>
    </w:p>
    <w:p w14:paraId="70C556DA">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汨纺货运码头提质改造工程项目项目位于</w:t>
      </w:r>
      <w:r>
        <w:rPr>
          <w:rFonts w:hint="default" w:ascii="Times New Roman" w:hAnsi="Times New Roman" w:eastAsia="宋体" w:cs="Times New Roman"/>
          <w:color w:val="auto"/>
          <w:u w:val="none"/>
        </w:rPr>
        <w:t>岳阳市屈原管理区德科工业园</w:t>
      </w:r>
      <w:r>
        <w:rPr>
          <w:rFonts w:hint="default" w:ascii="Times New Roman" w:hAnsi="Times New Roman" w:eastAsia="宋体" w:cs="Times New Roman"/>
          <w:color w:val="auto"/>
          <w:szCs w:val="24"/>
          <w:u w:val="none"/>
          <w:lang w:eastAsia="zh-CN"/>
        </w:rPr>
        <w:t>，项目建设内容</w:t>
      </w:r>
      <w:r>
        <w:rPr>
          <w:rFonts w:hint="default" w:ascii="Times New Roman" w:hAnsi="Times New Roman" w:eastAsia="宋体" w:cs="Times New Roman"/>
          <w:color w:val="auto"/>
          <w:u w:val="none"/>
          <w:lang w:val="en-US"/>
        </w:rPr>
        <w:t>将原有10m宽的斜坡道扩宽至20m。顶高程设为33.50m，底高程为25.50m。斜坡道总长约174.26m，底高程往上90m范围内斜坡道从31.5m以1：15的坡度放坡至底高程。斜坡道临水侧设挡土墙，结构采用C25毛石混凝土。中间用抛石和原土回填。斜坡道面层结构从上至下依次为：250mmC30混凝土、250mm6%水泥碎石稳定层、200mm碎石垫层。船舶装卸货物依靠浮吊趸船（42</w:t>
      </w:r>
      <w:r>
        <w:rPr>
          <w:rFonts w:hint="default" w:ascii="Times New Roman" w:hAnsi="Times New Roman" w:eastAsia="宋体" w:cs="Times New Roman"/>
          <w:color w:val="auto"/>
          <w:u w:val="none"/>
          <w:lang w:val="en-US" w:eastAsia="zh-CN"/>
        </w:rPr>
        <w:t>m</w:t>
      </w:r>
      <w:r>
        <w:rPr>
          <w:rFonts w:hint="default" w:ascii="Times New Roman" w:hAnsi="Times New Roman" w:eastAsia="宋体" w:cs="Times New Roman"/>
          <w:color w:val="auto"/>
          <w:u w:val="none"/>
          <w:lang w:val="en-US"/>
        </w:rPr>
        <w:t>×14</w:t>
      </w:r>
      <w:r>
        <w:rPr>
          <w:rFonts w:hint="default" w:ascii="Times New Roman" w:hAnsi="Times New Roman" w:eastAsia="宋体" w:cs="Times New Roman"/>
          <w:color w:val="auto"/>
          <w:u w:val="none"/>
          <w:lang w:val="en-US" w:eastAsia="zh-CN"/>
        </w:rPr>
        <w:t>m</w:t>
      </w:r>
      <w:r>
        <w:rPr>
          <w:rFonts w:hint="default" w:ascii="Times New Roman" w:hAnsi="Times New Roman" w:eastAsia="宋体" w:cs="Times New Roman"/>
          <w:color w:val="auto"/>
          <w:u w:val="none"/>
          <w:lang w:val="en-US"/>
        </w:rPr>
        <w:t>×2.2</w:t>
      </w:r>
      <w:r>
        <w:rPr>
          <w:rFonts w:hint="default" w:ascii="Times New Roman" w:hAnsi="Times New Roman" w:eastAsia="宋体" w:cs="Times New Roman"/>
          <w:color w:val="auto"/>
          <w:u w:val="none"/>
          <w:lang w:val="en-US" w:eastAsia="zh-CN"/>
        </w:rPr>
        <w:t>m</w:t>
      </w:r>
      <w:r>
        <w:rPr>
          <w:rFonts w:hint="default" w:ascii="Times New Roman" w:hAnsi="Times New Roman" w:eastAsia="宋体" w:cs="Times New Roman"/>
          <w:color w:val="auto"/>
          <w:u w:val="none"/>
          <w:lang w:val="en-US"/>
        </w:rPr>
        <w:t>×1.2</w:t>
      </w:r>
      <w:r>
        <w:rPr>
          <w:rFonts w:hint="default" w:ascii="Times New Roman" w:hAnsi="Times New Roman" w:eastAsia="宋体" w:cs="Times New Roman"/>
          <w:color w:val="auto"/>
          <w:u w:val="none"/>
          <w:lang w:val="en-US" w:eastAsia="zh-CN"/>
        </w:rPr>
        <w:t>m</w:t>
      </w:r>
      <w:r>
        <w:rPr>
          <w:rFonts w:hint="default" w:ascii="Times New Roman" w:hAnsi="Times New Roman" w:eastAsia="宋体" w:cs="Times New Roman"/>
          <w:color w:val="auto"/>
          <w:u w:val="none"/>
          <w:lang w:val="en-US"/>
        </w:rPr>
        <w:t>），斜坡道设两个作业点根据水位情况移船作业，当水当水位高于31.4m时停止作业。相应的作业点安装DA-A400H橡胶护舷供浮吊趸船停靠，并斜坡道上每隔20m布置一个系船柱供货船系缆。对码头前235</w:t>
      </w:r>
      <w:r>
        <w:rPr>
          <w:rFonts w:hint="default" w:ascii="Times New Roman" w:hAnsi="Times New Roman" w:eastAsia="宋体" w:cs="Times New Roman"/>
          <w:color w:val="auto"/>
          <w:u w:val="none"/>
          <w:lang w:val="en-US" w:eastAsia="zh-CN"/>
        </w:rPr>
        <w:t>m</w:t>
      </w:r>
      <w:r>
        <w:rPr>
          <w:rFonts w:hint="default" w:ascii="Times New Roman" w:hAnsi="Times New Roman" w:eastAsia="宋体" w:cs="Times New Roman"/>
          <w:color w:val="auto"/>
          <w:u w:val="none"/>
          <w:lang w:val="en-US"/>
        </w:rPr>
        <w:t>×46.4m范围内进行开挖，河底高程根据码头船舶水平作业平台分别设置为15.11m和21.80m。码头前沿46.4m以外以1:3坡度比与原有地面衔接，并对放坡范围内进行生态复绿。</w:t>
      </w:r>
      <w:r>
        <w:rPr>
          <w:rFonts w:hint="default" w:ascii="Times New Roman" w:hAnsi="Times New Roman" w:eastAsia="宋体" w:cs="Times New Roman"/>
          <w:color w:val="auto"/>
          <w:szCs w:val="24"/>
          <w:u w:val="none"/>
          <w:lang w:eastAsia="zh-CN"/>
        </w:rPr>
        <w:t>提质改造完成后</w:t>
      </w:r>
      <w:r>
        <w:rPr>
          <w:rFonts w:hint="default" w:ascii="Times New Roman" w:hAnsi="Times New Roman" w:eastAsia="宋体" w:cs="Times New Roman"/>
          <w:color w:val="auto"/>
          <w:u w:val="none"/>
          <w:lang w:val="en-US" w:eastAsia="zh-CN"/>
        </w:rPr>
        <w:t>占有岸线66.4m，建设1个</w:t>
      </w:r>
      <w:r>
        <w:rPr>
          <w:rFonts w:hint="default" w:ascii="Times New Roman" w:hAnsi="Times New Roman" w:eastAsia="宋体" w:cs="Times New Roman"/>
          <w:color w:val="auto"/>
          <w:u w:val="none"/>
        </w:rPr>
        <w:t>3000吨级</w:t>
      </w:r>
      <w:r>
        <w:rPr>
          <w:rFonts w:hint="default" w:ascii="Times New Roman" w:hAnsi="Times New Roman" w:eastAsia="宋体" w:cs="Times New Roman"/>
          <w:color w:val="auto"/>
          <w:u w:val="none"/>
          <w:lang w:eastAsia="zh-CN"/>
        </w:rPr>
        <w:t>趸船</w:t>
      </w:r>
      <w:r>
        <w:rPr>
          <w:rFonts w:hint="default" w:ascii="Times New Roman" w:hAnsi="Times New Roman" w:eastAsia="宋体" w:cs="Times New Roman"/>
          <w:color w:val="auto"/>
          <w:u w:val="none"/>
        </w:rPr>
        <w:t>码头泊位</w:t>
      </w:r>
      <w:r>
        <w:rPr>
          <w:rFonts w:hint="default" w:ascii="Times New Roman" w:hAnsi="Times New Roman" w:eastAsia="宋体" w:cs="Times New Roman"/>
          <w:color w:val="auto"/>
          <w:u w:val="none"/>
          <w:lang w:eastAsia="zh-CN"/>
        </w:rPr>
        <w:t>（42m</w:t>
      </w:r>
      <w:r>
        <w:rPr>
          <w:rFonts w:hint="default" w:ascii="Times New Roman" w:hAnsi="Times New Roman" w:eastAsia="宋体" w:cs="Times New Roman"/>
          <w:color w:val="auto"/>
          <w:szCs w:val="24"/>
          <w:u w:val="none"/>
          <w:lang w:eastAsia="zh-CN"/>
        </w:rPr>
        <w:t>×14m×2.2m钢制趸船+</w:t>
      </w:r>
      <w:r>
        <w:rPr>
          <w:rFonts w:hint="default" w:ascii="Times New Roman" w:hAnsi="Times New Roman" w:eastAsia="宋体" w:cs="Times New Roman"/>
          <w:color w:val="auto"/>
          <w:u w:val="none"/>
          <w:lang w:eastAsia="zh-CN"/>
        </w:rPr>
        <w:t>5t-20m浮式起重机）</w:t>
      </w:r>
      <w:r>
        <w:rPr>
          <w:rFonts w:hint="default" w:ascii="Times New Roman" w:hAnsi="Times New Roman" w:eastAsia="宋体" w:cs="Times New Roman"/>
          <w:color w:val="auto"/>
          <w:u w:val="none"/>
          <w:lang w:val="en-US" w:eastAsia="zh-CN"/>
        </w:rPr>
        <w:t>。汨纺货运码头提质改造工程项目不设物料堆场和固定办公楼。</w:t>
      </w:r>
    </w:p>
    <w:p w14:paraId="2DB8E67F">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服务对象、货种及吞吐量：本项目建成后服务对象为</w:t>
      </w:r>
      <w:r>
        <w:rPr>
          <w:rFonts w:hint="default" w:ascii="Times New Roman" w:hAnsi="Times New Roman" w:eastAsia="宋体" w:cs="Times New Roman"/>
          <w:color w:val="auto"/>
          <w:u w:val="none"/>
        </w:rPr>
        <w:t>湖南德科纺织印染有限公司</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负责棉花、纤维、布匹等件杂货的进出口作业</w:t>
      </w:r>
      <w:r>
        <w:rPr>
          <w:rFonts w:hint="default" w:ascii="Times New Roman" w:hAnsi="Times New Roman" w:eastAsia="宋体" w:cs="Times New Roman"/>
          <w:color w:val="auto"/>
          <w:u w:val="none"/>
          <w:lang w:eastAsia="zh-CN"/>
        </w:rPr>
        <w:t>，趸船</w:t>
      </w:r>
      <w:r>
        <w:rPr>
          <w:rFonts w:hint="default" w:ascii="Times New Roman" w:hAnsi="Times New Roman" w:eastAsia="宋体" w:cs="Times New Roman"/>
          <w:color w:val="auto"/>
          <w:u w:val="none"/>
          <w:lang w:val="en-US" w:eastAsia="zh-CN"/>
        </w:rPr>
        <w:t>上</w:t>
      </w:r>
      <w:r>
        <w:rPr>
          <w:rFonts w:hint="default" w:ascii="Times New Roman" w:hAnsi="Times New Roman" w:eastAsia="宋体" w:cs="Times New Roman"/>
          <w:color w:val="auto"/>
          <w:u w:val="none"/>
          <w:lang w:eastAsia="zh-CN"/>
        </w:rPr>
        <w:t>设5t-20m浮式起重机1台，用于接卸件杂货。设计吞吐量为5.5万吨/年（其中件杂货进口3万吨/年，件杂货出口2.5万吨/年）。</w:t>
      </w:r>
    </w:p>
    <w:p w14:paraId="5B20D8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Cs w:val="21"/>
          <w:u w:val="none"/>
        </w:rPr>
      </w:pPr>
      <w:r>
        <w:rPr>
          <w:rFonts w:hint="default" w:ascii="Times New Roman" w:hAnsi="Times New Roman" w:eastAsia="宋体" w:cs="Times New Roman"/>
          <w:b/>
          <w:color w:val="auto"/>
          <w:szCs w:val="21"/>
          <w:u w:val="none"/>
        </w:rPr>
        <w:t>表</w:t>
      </w:r>
      <w:r>
        <w:rPr>
          <w:rFonts w:hint="default" w:ascii="Times New Roman" w:hAnsi="Times New Roman" w:eastAsia="宋体" w:cs="Times New Roman"/>
          <w:b/>
          <w:color w:val="auto"/>
          <w:szCs w:val="21"/>
          <w:u w:val="none"/>
          <w:lang w:val="en-US" w:eastAsia="zh-CN"/>
        </w:rPr>
        <w:t>5.2-</w:t>
      </w:r>
      <w:r>
        <w:rPr>
          <w:rFonts w:hint="eastAsia" w:cs="Times New Roman"/>
          <w:b/>
          <w:color w:val="auto"/>
          <w:szCs w:val="21"/>
          <w:u w:val="none"/>
          <w:lang w:val="en-US" w:eastAsia="zh-CN"/>
        </w:rPr>
        <w:t>12</w:t>
      </w:r>
      <w:r>
        <w:rPr>
          <w:rFonts w:hint="default" w:ascii="Times New Roman" w:hAnsi="Times New Roman" w:eastAsia="宋体" w:cs="Times New Roman"/>
          <w:b/>
          <w:color w:val="auto"/>
          <w:szCs w:val="21"/>
          <w:u w:val="none"/>
        </w:rPr>
        <w:t xml:space="preserve"> </w:t>
      </w:r>
      <w:r>
        <w:rPr>
          <w:rFonts w:hint="default" w:ascii="Times New Roman" w:hAnsi="Times New Roman" w:eastAsia="宋体" w:cs="Times New Roman"/>
          <w:b/>
          <w:color w:val="auto"/>
          <w:szCs w:val="21"/>
          <w:u w:val="none"/>
          <w:lang w:val="en-US" w:eastAsia="zh-CN"/>
        </w:rPr>
        <w:t>类比项目</w:t>
      </w:r>
      <w:r>
        <w:rPr>
          <w:rFonts w:hint="default" w:ascii="Times New Roman" w:hAnsi="Times New Roman" w:eastAsia="宋体" w:cs="Times New Roman"/>
          <w:b/>
          <w:color w:val="auto"/>
          <w:szCs w:val="21"/>
          <w:u w:val="none"/>
        </w:rPr>
        <w:t>工程组成一览表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57"/>
        <w:gridCol w:w="1998"/>
        <w:gridCol w:w="3258"/>
        <w:gridCol w:w="2600"/>
      </w:tblGrid>
      <w:tr w14:paraId="53D0FC0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noWrap w:val="0"/>
            <w:vAlign w:val="center"/>
          </w:tcPr>
          <w:p w14:paraId="468F858C">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项目</w:t>
            </w:r>
          </w:p>
        </w:tc>
        <w:tc>
          <w:tcPr>
            <w:tcW w:w="1173" w:type="pct"/>
            <w:noWrap w:val="0"/>
            <w:vAlign w:val="center"/>
          </w:tcPr>
          <w:p w14:paraId="36DB2822">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工程内容</w:t>
            </w:r>
          </w:p>
        </w:tc>
        <w:tc>
          <w:tcPr>
            <w:tcW w:w="1913" w:type="pct"/>
            <w:noWrap w:val="0"/>
            <w:vAlign w:val="center"/>
          </w:tcPr>
          <w:p w14:paraId="3A1F8174">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指标</w:t>
            </w:r>
          </w:p>
        </w:tc>
        <w:tc>
          <w:tcPr>
            <w:tcW w:w="1526" w:type="pct"/>
            <w:noWrap w:val="0"/>
            <w:vAlign w:val="center"/>
          </w:tcPr>
          <w:p w14:paraId="2DFCD3A5">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备注</w:t>
            </w:r>
          </w:p>
        </w:tc>
      </w:tr>
      <w:tr w14:paraId="5327F85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restart"/>
            <w:noWrap w:val="0"/>
            <w:vAlign w:val="center"/>
          </w:tcPr>
          <w:p w14:paraId="1308FDF0">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主体</w:t>
            </w:r>
          </w:p>
          <w:p w14:paraId="22F528CC">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工程</w:t>
            </w:r>
          </w:p>
        </w:tc>
        <w:tc>
          <w:tcPr>
            <w:tcW w:w="1173" w:type="pct"/>
            <w:vMerge w:val="restart"/>
            <w:noWrap w:val="0"/>
            <w:vAlign w:val="center"/>
          </w:tcPr>
          <w:p w14:paraId="55C40003">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趸船码头泊位</w:t>
            </w:r>
          </w:p>
        </w:tc>
        <w:tc>
          <w:tcPr>
            <w:tcW w:w="1913" w:type="pct"/>
            <w:noWrap w:val="0"/>
            <w:vAlign w:val="center"/>
          </w:tcPr>
          <w:p w14:paraId="0AC436F9">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3000吨级，为采用浮码头结构，设有42m×14m×2.2m钢制趸船，利用斜坡码头系缆柱固定</w:t>
            </w:r>
          </w:p>
        </w:tc>
        <w:tc>
          <w:tcPr>
            <w:tcW w:w="1526" w:type="pct"/>
            <w:noWrap w:val="0"/>
            <w:vAlign w:val="center"/>
          </w:tcPr>
          <w:p w14:paraId="7047B78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1个100吨级渔政公务船泊位</w:t>
            </w:r>
            <w:r>
              <w:rPr>
                <w:rFonts w:hint="eastAsia" w:cs="Times New Roman"/>
                <w:color w:val="auto"/>
                <w:kern w:val="2"/>
                <w:sz w:val="21"/>
                <w:szCs w:val="24"/>
                <w:u w:val="none"/>
                <w:lang w:val="en-US" w:eastAsia="zh-CN"/>
              </w:rPr>
              <w:t>，渔政船停泊趸船长度取为36m。码头结构拟采用趸船式浮码头接引桥的型式。</w:t>
            </w:r>
          </w:p>
        </w:tc>
      </w:tr>
      <w:tr w14:paraId="25F62DA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3A783697">
            <w:pPr>
              <w:pStyle w:val="41"/>
              <w:rPr>
                <w:rFonts w:hint="default" w:ascii="Times New Roman" w:hAnsi="Times New Roman" w:eastAsia="宋体" w:cs="Times New Roman"/>
                <w:color w:val="auto"/>
                <w:kern w:val="2"/>
                <w:sz w:val="21"/>
                <w:szCs w:val="24"/>
                <w:u w:val="none"/>
                <w:lang w:val="en-US" w:eastAsia="zh-CN"/>
              </w:rPr>
            </w:pPr>
          </w:p>
        </w:tc>
        <w:tc>
          <w:tcPr>
            <w:tcW w:w="1173" w:type="pct"/>
            <w:vMerge w:val="continue"/>
            <w:noWrap w:val="0"/>
            <w:vAlign w:val="center"/>
          </w:tcPr>
          <w:p w14:paraId="32D5405F">
            <w:pPr>
              <w:pStyle w:val="41"/>
              <w:rPr>
                <w:rFonts w:hint="default" w:ascii="Times New Roman" w:hAnsi="Times New Roman" w:eastAsia="宋体" w:cs="Times New Roman"/>
                <w:color w:val="auto"/>
                <w:kern w:val="2"/>
                <w:sz w:val="21"/>
                <w:szCs w:val="24"/>
                <w:u w:val="none"/>
                <w:lang w:val="en-US" w:eastAsia="zh-CN"/>
              </w:rPr>
            </w:pPr>
          </w:p>
        </w:tc>
        <w:tc>
          <w:tcPr>
            <w:tcW w:w="1913" w:type="pct"/>
            <w:noWrap w:val="0"/>
            <w:vAlign w:val="center"/>
          </w:tcPr>
          <w:p w14:paraId="5641E698">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sz w:val="21"/>
                <w:szCs w:val="21"/>
                <w:u w:val="none"/>
                <w:lang w:eastAsia="zh-CN"/>
              </w:rPr>
              <w:t>5t-20m浮式起重机</w:t>
            </w:r>
          </w:p>
        </w:tc>
        <w:tc>
          <w:tcPr>
            <w:tcW w:w="1526" w:type="pct"/>
            <w:noWrap w:val="0"/>
            <w:vAlign w:val="center"/>
          </w:tcPr>
          <w:p w14:paraId="54DFF3C0">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趸船上方</w:t>
            </w:r>
          </w:p>
        </w:tc>
      </w:tr>
      <w:tr w14:paraId="3F71284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restart"/>
            <w:noWrap w:val="0"/>
            <w:vAlign w:val="center"/>
          </w:tcPr>
          <w:p w14:paraId="0DD2B7B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辅助</w:t>
            </w:r>
          </w:p>
          <w:p w14:paraId="1E40DC75">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工程</w:t>
            </w:r>
          </w:p>
        </w:tc>
        <w:tc>
          <w:tcPr>
            <w:tcW w:w="1173" w:type="pct"/>
            <w:noWrap w:val="0"/>
            <w:vAlign w:val="center"/>
          </w:tcPr>
          <w:p w14:paraId="336E1F69">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码头员工住宿</w:t>
            </w:r>
          </w:p>
        </w:tc>
        <w:tc>
          <w:tcPr>
            <w:tcW w:w="1913" w:type="pct"/>
            <w:noWrap w:val="0"/>
            <w:vAlign w:val="center"/>
          </w:tcPr>
          <w:p w14:paraId="659CEEE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不设办公生活区</w:t>
            </w:r>
          </w:p>
        </w:tc>
        <w:tc>
          <w:tcPr>
            <w:tcW w:w="1526" w:type="pct"/>
            <w:noWrap w:val="0"/>
            <w:vAlign w:val="center"/>
          </w:tcPr>
          <w:p w14:paraId="6C94962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趸船设厕所和生活污水收集箱</w:t>
            </w:r>
          </w:p>
        </w:tc>
      </w:tr>
      <w:tr w14:paraId="5BDB4AA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319988CB">
            <w:pPr>
              <w:pStyle w:val="41"/>
              <w:rPr>
                <w:rFonts w:hint="default" w:ascii="Times New Roman" w:hAnsi="Times New Roman" w:eastAsia="宋体" w:cs="Times New Roman"/>
                <w:color w:val="auto"/>
                <w:kern w:val="2"/>
                <w:sz w:val="21"/>
                <w:szCs w:val="24"/>
                <w:u w:val="none"/>
                <w:lang w:val="en-US" w:eastAsia="zh-CN"/>
              </w:rPr>
            </w:pPr>
          </w:p>
        </w:tc>
        <w:tc>
          <w:tcPr>
            <w:tcW w:w="1173" w:type="pct"/>
            <w:noWrap w:val="0"/>
            <w:vAlign w:val="center"/>
          </w:tcPr>
          <w:p w14:paraId="6B25F841">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系船柱</w:t>
            </w:r>
          </w:p>
        </w:tc>
        <w:tc>
          <w:tcPr>
            <w:tcW w:w="1913" w:type="pct"/>
            <w:noWrap w:val="0"/>
            <w:vAlign w:val="center"/>
          </w:tcPr>
          <w:p w14:paraId="514DA215">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20m/个</w:t>
            </w:r>
          </w:p>
        </w:tc>
        <w:tc>
          <w:tcPr>
            <w:tcW w:w="1526" w:type="pct"/>
            <w:noWrap w:val="0"/>
            <w:vAlign w:val="center"/>
          </w:tcPr>
          <w:p w14:paraId="6F3E4C08">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w:t>
            </w:r>
          </w:p>
        </w:tc>
      </w:tr>
      <w:tr w14:paraId="6E62137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restart"/>
            <w:noWrap w:val="0"/>
            <w:vAlign w:val="center"/>
          </w:tcPr>
          <w:p w14:paraId="4D08C29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公用</w:t>
            </w:r>
          </w:p>
          <w:p w14:paraId="7CB91637">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工程</w:t>
            </w:r>
          </w:p>
        </w:tc>
        <w:tc>
          <w:tcPr>
            <w:tcW w:w="1173" w:type="pct"/>
            <w:noWrap w:val="0"/>
            <w:vAlign w:val="center"/>
          </w:tcPr>
          <w:p w14:paraId="153F556F">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供电</w:t>
            </w:r>
          </w:p>
        </w:tc>
        <w:tc>
          <w:tcPr>
            <w:tcW w:w="1913" w:type="pct"/>
            <w:noWrap w:val="0"/>
            <w:vAlign w:val="center"/>
          </w:tcPr>
          <w:p w14:paraId="713EFE39">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依托现有变压器</w:t>
            </w:r>
          </w:p>
        </w:tc>
        <w:tc>
          <w:tcPr>
            <w:tcW w:w="1526" w:type="pct"/>
            <w:noWrap w:val="0"/>
            <w:vAlign w:val="center"/>
          </w:tcPr>
          <w:p w14:paraId="42B42D18">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趸船设置岸电系统，并且预留船舶岸电接口</w:t>
            </w:r>
          </w:p>
        </w:tc>
      </w:tr>
      <w:tr w14:paraId="0132349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360A8F22">
            <w:pPr>
              <w:pStyle w:val="41"/>
              <w:rPr>
                <w:rFonts w:hint="default" w:ascii="Times New Roman" w:hAnsi="Times New Roman" w:eastAsia="宋体" w:cs="Times New Roman"/>
                <w:color w:val="auto"/>
                <w:kern w:val="2"/>
                <w:sz w:val="21"/>
                <w:szCs w:val="24"/>
                <w:u w:val="none"/>
                <w:lang w:val="en-US" w:eastAsia="zh-CN"/>
              </w:rPr>
            </w:pPr>
          </w:p>
        </w:tc>
        <w:tc>
          <w:tcPr>
            <w:tcW w:w="1173" w:type="pct"/>
            <w:noWrap w:val="0"/>
            <w:vAlign w:val="center"/>
          </w:tcPr>
          <w:p w14:paraId="2DC0B8BF">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供水</w:t>
            </w:r>
          </w:p>
        </w:tc>
        <w:tc>
          <w:tcPr>
            <w:tcW w:w="1913" w:type="pct"/>
            <w:noWrap w:val="0"/>
            <w:vAlign w:val="center"/>
          </w:tcPr>
          <w:p w14:paraId="4A344AAF">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bCs/>
                <w:color w:val="auto"/>
                <w:kern w:val="2"/>
                <w:sz w:val="21"/>
                <w:szCs w:val="21"/>
                <w:u w:val="none"/>
                <w:lang w:val="en-US" w:eastAsia="zh-CN"/>
              </w:rPr>
              <w:t>依托现有生活给水管网接入</w:t>
            </w:r>
          </w:p>
        </w:tc>
        <w:tc>
          <w:tcPr>
            <w:tcW w:w="1526" w:type="pct"/>
            <w:noWrap w:val="0"/>
            <w:vAlign w:val="center"/>
          </w:tcPr>
          <w:p w14:paraId="2F1B516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趸船设置生活给水系统，并且预留船舶给水接口</w:t>
            </w:r>
          </w:p>
        </w:tc>
      </w:tr>
      <w:tr w14:paraId="21DD233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6" w:type="pct"/>
            <w:vMerge w:val="continue"/>
            <w:noWrap w:val="0"/>
            <w:vAlign w:val="center"/>
          </w:tcPr>
          <w:p w14:paraId="35B34048">
            <w:pPr>
              <w:pStyle w:val="41"/>
              <w:rPr>
                <w:rFonts w:hint="default" w:ascii="Times New Roman" w:hAnsi="Times New Roman" w:eastAsia="宋体" w:cs="Times New Roman"/>
                <w:color w:val="auto"/>
                <w:kern w:val="2"/>
                <w:sz w:val="21"/>
                <w:szCs w:val="24"/>
                <w:u w:val="none"/>
                <w:lang w:val="en-US" w:eastAsia="zh-CN"/>
              </w:rPr>
            </w:pPr>
          </w:p>
        </w:tc>
        <w:tc>
          <w:tcPr>
            <w:tcW w:w="1173" w:type="pct"/>
            <w:noWrap w:val="0"/>
            <w:vAlign w:val="center"/>
          </w:tcPr>
          <w:p w14:paraId="00D80737">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排水</w:t>
            </w:r>
          </w:p>
        </w:tc>
        <w:tc>
          <w:tcPr>
            <w:tcW w:w="1913" w:type="pct"/>
            <w:noWrap w:val="0"/>
            <w:vAlign w:val="center"/>
          </w:tcPr>
          <w:p w14:paraId="296489D3">
            <w:pPr>
              <w:pStyle w:val="41"/>
              <w:rPr>
                <w:rFonts w:hint="default" w:ascii="Times New Roman" w:hAnsi="Times New Roman" w:eastAsia="宋体" w:cs="Times New Roman"/>
                <w:bCs/>
                <w:color w:val="auto"/>
                <w:kern w:val="2"/>
                <w:sz w:val="21"/>
                <w:szCs w:val="21"/>
                <w:u w:val="none"/>
                <w:lang w:val="en-US" w:eastAsia="zh-CN"/>
              </w:rPr>
            </w:pPr>
            <w:r>
              <w:rPr>
                <w:rFonts w:hint="default" w:ascii="Times New Roman" w:hAnsi="Times New Roman" w:eastAsia="宋体" w:cs="Times New Roman"/>
                <w:bCs/>
                <w:color w:val="auto"/>
                <w:kern w:val="2"/>
                <w:sz w:val="21"/>
                <w:szCs w:val="21"/>
                <w:u w:val="none"/>
                <w:lang w:val="en-US" w:eastAsia="zh-CN"/>
              </w:rPr>
              <w:t>码头不设固定办公员工，趸船设置生活污水箱和含油污水箱</w:t>
            </w:r>
          </w:p>
        </w:tc>
        <w:tc>
          <w:tcPr>
            <w:tcW w:w="1526" w:type="pct"/>
            <w:noWrap w:val="0"/>
            <w:vAlign w:val="center"/>
          </w:tcPr>
          <w:p w14:paraId="7C29662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bCs/>
                <w:color w:val="auto"/>
                <w:kern w:val="2"/>
                <w:sz w:val="21"/>
                <w:szCs w:val="21"/>
                <w:u w:val="none"/>
                <w:lang w:val="en-US" w:eastAsia="zh-CN"/>
              </w:rPr>
              <w:t>新增</w:t>
            </w:r>
            <w:r>
              <w:rPr>
                <w:rFonts w:hint="default" w:ascii="Times New Roman" w:hAnsi="Times New Roman" w:eastAsia="宋体" w:cs="Times New Roman"/>
                <w:color w:val="auto"/>
                <w:kern w:val="2"/>
                <w:sz w:val="21"/>
                <w:szCs w:val="24"/>
                <w:u w:val="none"/>
                <w:lang w:val="en-US" w:eastAsia="zh-CN"/>
              </w:rPr>
              <w:t>20m</w:t>
            </w:r>
            <w:r>
              <w:rPr>
                <w:rFonts w:hint="default" w:ascii="Times New Roman" w:hAnsi="Times New Roman" w:eastAsia="宋体" w:cs="Times New Roman"/>
                <w:color w:val="auto"/>
                <w:kern w:val="2"/>
                <w:sz w:val="21"/>
                <w:szCs w:val="24"/>
                <w:u w:val="none"/>
                <w:vertAlign w:val="superscript"/>
                <w:lang w:val="en-US" w:eastAsia="zh-CN"/>
              </w:rPr>
              <w:t>3</w:t>
            </w:r>
            <w:r>
              <w:rPr>
                <w:rFonts w:hint="default" w:ascii="Times New Roman" w:hAnsi="Times New Roman" w:eastAsia="宋体" w:cs="Times New Roman"/>
                <w:bCs/>
                <w:color w:val="auto"/>
                <w:kern w:val="2"/>
                <w:sz w:val="21"/>
                <w:szCs w:val="21"/>
                <w:u w:val="none"/>
                <w:lang w:val="en-US" w:eastAsia="zh-CN"/>
              </w:rPr>
              <w:t>生活污水箱和2m</w:t>
            </w:r>
            <w:r>
              <w:rPr>
                <w:rFonts w:hint="default" w:ascii="Times New Roman" w:hAnsi="Times New Roman" w:eastAsia="宋体" w:cs="Times New Roman"/>
                <w:bCs/>
                <w:color w:val="auto"/>
                <w:kern w:val="2"/>
                <w:sz w:val="21"/>
                <w:szCs w:val="21"/>
                <w:u w:val="none"/>
                <w:vertAlign w:val="superscript"/>
                <w:lang w:val="en-US" w:eastAsia="zh-CN"/>
              </w:rPr>
              <w:t>3</w:t>
            </w:r>
            <w:r>
              <w:rPr>
                <w:rFonts w:hint="default" w:ascii="Times New Roman" w:hAnsi="Times New Roman" w:eastAsia="宋体" w:cs="Times New Roman"/>
                <w:bCs/>
                <w:color w:val="auto"/>
                <w:kern w:val="2"/>
                <w:sz w:val="21"/>
                <w:szCs w:val="21"/>
                <w:u w:val="none"/>
                <w:lang w:val="en-US" w:eastAsia="zh-CN"/>
              </w:rPr>
              <w:t>含油污水箱</w:t>
            </w:r>
          </w:p>
        </w:tc>
      </w:tr>
    </w:tbl>
    <w:p w14:paraId="3D5C790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6.2.7.2 类比可行性分析</w:t>
      </w:r>
    </w:p>
    <w:p w14:paraId="08022B9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sz w:val="24"/>
          <w:szCs w:val="24"/>
          <w:u w:val="none"/>
          <w:lang w:val="en-US" w:eastAsia="zh-CN"/>
        </w:rPr>
      </w:pPr>
      <w:r>
        <w:rPr>
          <w:rFonts w:hint="default" w:ascii="Times New Roman" w:hAnsi="Times New Roman" w:eastAsia="宋体" w:cs="Times New Roman"/>
          <w:color w:val="auto"/>
          <w:sz w:val="24"/>
          <w:szCs w:val="24"/>
        </w:rPr>
        <w:t>汨纺货运码头提质改造工程</w:t>
      </w:r>
      <w:r>
        <w:rPr>
          <w:rFonts w:hint="default" w:ascii="Times New Roman" w:hAnsi="Times New Roman" w:eastAsia="宋体" w:cs="Times New Roman"/>
          <w:color w:val="auto"/>
          <w:sz w:val="24"/>
          <w:szCs w:val="24"/>
          <w:lang w:val="en-US" w:eastAsia="zh-CN"/>
        </w:rPr>
        <w:t>与本项目相同，同为现有码头提质改造工程，</w:t>
      </w:r>
      <w:r>
        <w:rPr>
          <w:rFonts w:hint="default" w:ascii="Times New Roman" w:hAnsi="Times New Roman" w:eastAsia="宋体" w:cs="Times New Roman"/>
          <w:color w:val="auto"/>
          <w:sz w:val="24"/>
          <w:szCs w:val="24"/>
        </w:rPr>
        <w:t>汨纺货运码头</w:t>
      </w:r>
      <w:r>
        <w:rPr>
          <w:rFonts w:hint="default" w:ascii="Times New Roman" w:hAnsi="Times New Roman" w:eastAsia="宋体" w:cs="Times New Roman"/>
          <w:color w:val="auto"/>
          <w:sz w:val="24"/>
          <w:szCs w:val="24"/>
          <w:lang w:val="en-US" w:eastAsia="zh-CN"/>
        </w:rPr>
        <w:t>同样为浮码头结构，设置一艘趸船。从规模上而言，</w:t>
      </w:r>
      <w:r>
        <w:rPr>
          <w:rFonts w:hint="default" w:ascii="Times New Roman" w:hAnsi="Times New Roman" w:eastAsia="宋体" w:cs="Times New Roman"/>
          <w:color w:val="auto"/>
          <w:sz w:val="24"/>
          <w:szCs w:val="24"/>
        </w:rPr>
        <w:t>汨纺货运码头</w:t>
      </w:r>
      <w:r>
        <w:rPr>
          <w:rFonts w:hint="default" w:ascii="Times New Roman" w:hAnsi="Times New Roman" w:eastAsia="宋体" w:cs="Times New Roman"/>
          <w:color w:val="auto"/>
          <w:sz w:val="24"/>
          <w:szCs w:val="24"/>
          <w:lang w:val="en-US" w:eastAsia="zh-CN"/>
        </w:rPr>
        <w:t>为3000吨级，较本项目</w:t>
      </w:r>
      <w:r>
        <w:rPr>
          <w:rFonts w:hint="default" w:ascii="Times New Roman" w:hAnsi="Times New Roman" w:eastAsia="宋体" w:cs="Times New Roman"/>
          <w:color w:val="auto"/>
          <w:sz w:val="24"/>
          <w:szCs w:val="24"/>
          <w:u w:val="none"/>
          <w:lang w:val="en-US" w:eastAsia="zh-CN"/>
        </w:rPr>
        <w:t>更大（本项目设置1个100吨级渔政公务船泊位），同</w:t>
      </w:r>
      <w:r>
        <w:rPr>
          <w:rFonts w:hint="default" w:ascii="Times New Roman" w:hAnsi="Times New Roman" w:eastAsia="宋体" w:cs="Times New Roman"/>
          <w:color w:val="auto"/>
          <w:sz w:val="24"/>
          <w:szCs w:val="24"/>
          <w:lang w:val="en-US" w:eastAsia="zh-CN"/>
        </w:rPr>
        <w:t>时，设置的趸船尺寸为</w:t>
      </w:r>
      <w:r>
        <w:rPr>
          <w:rFonts w:hint="default" w:ascii="Times New Roman" w:hAnsi="Times New Roman" w:eastAsia="宋体" w:cs="Times New Roman"/>
          <w:color w:val="auto"/>
          <w:kern w:val="2"/>
          <w:sz w:val="24"/>
          <w:szCs w:val="24"/>
          <w:u w:val="none"/>
          <w:lang w:val="en-US" w:eastAsia="zh-CN"/>
        </w:rPr>
        <w:t>42m×14m×2.2m，较本项目的</w:t>
      </w:r>
      <w:r>
        <w:rPr>
          <w:rFonts w:hint="eastAsia" w:cs="Times New Roman"/>
          <w:color w:val="auto"/>
          <w:kern w:val="2"/>
          <w:sz w:val="24"/>
          <w:szCs w:val="24"/>
          <w:u w:val="none"/>
          <w:lang w:val="en-US" w:eastAsia="zh-CN"/>
        </w:rPr>
        <w:t>36</w:t>
      </w:r>
      <w:r>
        <w:rPr>
          <w:rFonts w:hint="default" w:ascii="Times New Roman" w:hAnsi="Times New Roman" w:eastAsia="宋体" w:cs="Times New Roman"/>
          <w:color w:val="auto"/>
          <w:kern w:val="2"/>
          <w:sz w:val="24"/>
          <w:szCs w:val="24"/>
          <w:u w:val="none"/>
          <w:lang w:val="en-US" w:eastAsia="zh-CN"/>
        </w:rPr>
        <w:t>m×</w:t>
      </w:r>
      <w:r>
        <w:rPr>
          <w:rFonts w:hint="eastAsia" w:cs="Times New Roman"/>
          <w:color w:val="auto"/>
          <w:kern w:val="2"/>
          <w:sz w:val="24"/>
          <w:szCs w:val="24"/>
          <w:u w:val="none"/>
          <w:lang w:val="en-US" w:eastAsia="zh-CN"/>
        </w:rPr>
        <w:t>9</w:t>
      </w:r>
      <w:r>
        <w:rPr>
          <w:rFonts w:hint="default" w:ascii="Times New Roman" w:hAnsi="Times New Roman" w:eastAsia="宋体" w:cs="Times New Roman"/>
          <w:color w:val="auto"/>
          <w:kern w:val="2"/>
          <w:sz w:val="24"/>
          <w:szCs w:val="24"/>
          <w:u w:val="none"/>
          <w:lang w:val="en-US" w:eastAsia="zh-CN"/>
        </w:rPr>
        <w:t>m×1.5m更大。同时，</w:t>
      </w:r>
      <w:r>
        <w:rPr>
          <w:rFonts w:hint="default" w:ascii="Times New Roman" w:hAnsi="Times New Roman" w:eastAsia="宋体" w:cs="Times New Roman"/>
          <w:color w:val="auto"/>
          <w:sz w:val="24"/>
          <w:szCs w:val="24"/>
        </w:rPr>
        <w:t>汨纺货运码头</w:t>
      </w:r>
      <w:r>
        <w:rPr>
          <w:rFonts w:hint="default" w:ascii="Times New Roman" w:hAnsi="Times New Roman" w:eastAsia="宋体" w:cs="Times New Roman"/>
          <w:color w:val="auto"/>
          <w:sz w:val="24"/>
          <w:szCs w:val="24"/>
          <w:lang w:val="en-US" w:eastAsia="zh-CN"/>
        </w:rPr>
        <w:t>位置位于本项目上游，同为湘江干流，结合上述条件，报告书认为</w:t>
      </w:r>
      <w:r>
        <w:rPr>
          <w:rFonts w:hint="default" w:ascii="Times New Roman" w:hAnsi="Times New Roman" w:eastAsia="宋体" w:cs="Times New Roman"/>
          <w:color w:val="auto"/>
          <w:sz w:val="24"/>
          <w:szCs w:val="24"/>
        </w:rPr>
        <w:t>汨纺货运码头</w:t>
      </w:r>
      <w:r>
        <w:rPr>
          <w:rFonts w:hint="default" w:ascii="Times New Roman" w:hAnsi="Times New Roman" w:eastAsia="宋体" w:cs="Times New Roman"/>
          <w:color w:val="auto"/>
          <w:sz w:val="24"/>
          <w:szCs w:val="24"/>
          <w:lang w:val="en-US" w:eastAsia="zh-CN"/>
        </w:rPr>
        <w:t>的建设较本项目而言，对湘江水文情势的影响更大，根据保守原则，本项目类比该项目对湘江水文情势的分析是合理的，可靠的。</w:t>
      </w:r>
    </w:p>
    <w:p w14:paraId="13D6733E">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5.2.7.2 类比项目对湘江水文情势影响的分析</w:t>
      </w:r>
    </w:p>
    <w:p w14:paraId="2D28D3F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本报告采用二维水流模型，主要通过分析拟建码头工程实施前后河道水位和流速的变化，进而分析泥沙冲淤情况，来分析拟建工程对水文情势的变化影响。</w:t>
      </w:r>
    </w:p>
    <w:p w14:paraId="4F44BBD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rPr>
      </w:pPr>
      <w:bookmarkStart w:id="690" w:name="_Toc239733734"/>
      <w:r>
        <w:rPr>
          <w:rFonts w:hint="default" w:ascii="Times New Roman" w:hAnsi="Times New Roman" w:eastAsia="宋体" w:cs="Times New Roman"/>
          <w:color w:val="auto"/>
          <w:u w:val="none"/>
          <w:lang w:val="en-US"/>
        </w:rPr>
        <w:t>采用河道平面二维水流数学模型，进行了</w:t>
      </w:r>
      <w:r>
        <w:rPr>
          <w:rFonts w:hint="default" w:ascii="Times New Roman" w:hAnsi="Times New Roman" w:eastAsia="宋体" w:cs="Times New Roman"/>
          <w:color w:val="auto"/>
          <w:sz w:val="24"/>
          <w:szCs w:val="24"/>
        </w:rPr>
        <w:t>汨纺货运码头</w:t>
      </w:r>
      <w:r>
        <w:rPr>
          <w:rFonts w:hint="default" w:ascii="Times New Roman" w:hAnsi="Times New Roman" w:eastAsia="宋体" w:cs="Times New Roman"/>
          <w:color w:val="auto"/>
          <w:u w:val="none"/>
          <w:lang w:val="en-US"/>
        </w:rPr>
        <w:t>（以下简称拟建工程）对河道行洪水位和流场影响的计算，并对工程兴建前后河道水位和流速等的变化进行了分析。</w:t>
      </w:r>
    </w:p>
    <w:p w14:paraId="534176A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综合考虑</w:t>
      </w:r>
      <w:bookmarkStart w:id="691" w:name="_Hlk88667087"/>
      <w:r>
        <w:rPr>
          <w:rFonts w:hint="default" w:ascii="Times New Roman" w:hAnsi="Times New Roman" w:eastAsia="宋体" w:cs="Times New Roman"/>
          <w:color w:val="auto"/>
          <w:u w:val="none"/>
          <w:lang w:val="en-US"/>
        </w:rPr>
        <w:t>拟建工程所在河段的河势</w:t>
      </w:r>
      <w:bookmarkEnd w:id="691"/>
      <w:r>
        <w:rPr>
          <w:rFonts w:hint="default" w:ascii="Times New Roman" w:hAnsi="Times New Roman" w:eastAsia="宋体" w:cs="Times New Roman"/>
          <w:color w:val="auto"/>
          <w:u w:val="none"/>
          <w:lang w:val="en-US"/>
        </w:rPr>
        <w:t>、工程可能影响范围及水文资料等因素，选取营田洲洲头上游附近为进口断面，下游以沉沙港附近为出口控制断面，全长约15km。计算地形选择2017年11月1/10000河道地形图，工程局部采用2020年12月实测的1/2000河道地形图。计算河段内的已建桥梁、码头等建筑物均作为固有边界考虑。</w:t>
      </w:r>
      <w:bookmarkEnd w:id="690"/>
    </w:p>
    <w:p w14:paraId="4076E16E">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val="en-US" w:eastAsia="zh-CN"/>
        </w:rPr>
      </w:pPr>
      <w:bookmarkStart w:id="692" w:name="_Toc10794"/>
      <w:r>
        <w:rPr>
          <w:rFonts w:hint="default" w:ascii="Times New Roman" w:hAnsi="Times New Roman" w:eastAsia="宋体" w:cs="Times New Roman"/>
          <w:color w:val="auto"/>
          <w:u w:val="none"/>
          <w:lang w:val="en-US" w:eastAsia="zh-CN"/>
        </w:rPr>
        <w:t>1、平面二维水流数学模型</w:t>
      </w:r>
      <w:bookmarkEnd w:id="692"/>
    </w:p>
    <w:p w14:paraId="4F698E0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（1）模型基本方程及边界条件</w:t>
      </w:r>
    </w:p>
    <w:p w14:paraId="0488136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1）模型方程</w:t>
      </w:r>
    </w:p>
    <w:p w14:paraId="4DC77A8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采用水深平均二维水流方程作为模型基本方程，以x、y分别表示直角坐标系的纵向与横向坐标，平面二维水流数学模型的控制方程由水流连续方程和水流运动方程组成，其分别为：</w:t>
      </w:r>
    </w:p>
    <w:p w14:paraId="4AD368B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水流连续方程：</w:t>
      </w:r>
    </w:p>
    <w:p w14:paraId="5D8A6F20">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619250" cy="49530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57"/>
                    <a:stretch>
                      <a:fillRect/>
                    </a:stretch>
                  </pic:blipFill>
                  <pic:spPr>
                    <a:xfrm>
                      <a:off x="0" y="0"/>
                      <a:ext cx="1619250" cy="4953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2BABDB46">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水流运动方程：</w:t>
      </w:r>
    </w:p>
    <w:p w14:paraId="6C3E50D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3342005" cy="981075"/>
            <wp:effectExtent l="0" t="0" r="10795"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58"/>
                    <a:stretch>
                      <a:fillRect/>
                    </a:stretch>
                  </pic:blipFill>
                  <pic:spPr>
                    <a:xfrm>
                      <a:off x="0" y="0"/>
                      <a:ext cx="3342005" cy="981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43A3D857">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3315970" cy="981075"/>
            <wp:effectExtent l="0" t="0" r="177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9"/>
                    <a:stretch>
                      <a:fillRect/>
                    </a:stretch>
                  </pic:blipFill>
                  <pic:spPr>
                    <a:xfrm>
                      <a:off x="0" y="0"/>
                      <a:ext cx="3315970" cy="981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6094B663">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w:t>
      </w:r>
      <w:r>
        <w:rPr>
          <w:rFonts w:hint="default" w:ascii="Times New Roman" w:hAnsi="Times New Roman" w:eastAsia="宋体" w:cs="Times New Roman"/>
          <w:i/>
          <w:iCs/>
          <w:color w:val="auto"/>
          <w:u w:val="none"/>
          <w:lang w:val="en-US"/>
        </w:rPr>
        <w:t>Z</w:t>
      </w:r>
      <w:r>
        <w:rPr>
          <w:rFonts w:hint="default" w:ascii="Times New Roman" w:hAnsi="Times New Roman" w:eastAsia="宋体" w:cs="Times New Roman"/>
          <w:color w:val="auto"/>
          <w:u w:val="none"/>
          <w:lang w:val="en-US"/>
        </w:rPr>
        <w:t>、</w:t>
      </w:r>
      <w:r>
        <w:rPr>
          <w:rFonts w:hint="default" w:ascii="Times New Roman" w:hAnsi="Times New Roman" w:eastAsia="宋体" w:cs="Times New Roman"/>
          <w:i/>
          <w:iCs/>
          <w:color w:val="auto"/>
          <w:u w:val="none"/>
          <w:lang w:val="en-US"/>
        </w:rPr>
        <w:t>Z</w:t>
      </w:r>
      <w:r>
        <w:rPr>
          <w:rFonts w:hint="default" w:ascii="Times New Roman" w:hAnsi="Times New Roman" w:eastAsia="宋体" w:cs="Times New Roman"/>
          <w:i/>
          <w:iCs/>
          <w:color w:val="auto"/>
          <w:u w:val="none"/>
          <w:vertAlign w:val="subscript"/>
          <w:lang w:val="en-US"/>
        </w:rPr>
        <w:t>b</w:t>
      </w:r>
      <w:r>
        <w:rPr>
          <w:rFonts w:hint="default" w:ascii="Times New Roman" w:hAnsi="Times New Roman" w:eastAsia="宋体" w:cs="Times New Roman"/>
          <w:color w:val="auto"/>
          <w:u w:val="none"/>
          <w:lang w:val="en-US"/>
        </w:rPr>
        <w:t>—水位与河底高程；</w:t>
      </w:r>
      <w:r>
        <w:rPr>
          <w:rFonts w:hint="default" w:ascii="Times New Roman" w:hAnsi="Times New Roman" w:eastAsia="宋体" w:cs="Times New Roman"/>
          <w:color w:val="auto"/>
          <w:u w:val="none"/>
          <w:lang w:val="en-US"/>
        </w:rPr>
        <w:drawing>
          <wp:inline distT="0" distB="0" distL="114300" distR="114300">
            <wp:extent cx="180975" cy="161925"/>
            <wp:effectExtent l="0" t="0" r="9525" b="635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60"/>
                    <a:stretch>
                      <a:fillRect/>
                    </a:stretch>
                  </pic:blipFill>
                  <pic:spPr>
                    <a:xfrm>
                      <a:off x="0" y="0"/>
                      <a:ext cx="180975" cy="1619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—水深；</w:t>
      </w:r>
      <w:r>
        <w:rPr>
          <w:rFonts w:hint="default" w:ascii="Times New Roman" w:hAnsi="Times New Roman" w:eastAsia="宋体" w:cs="Times New Roman"/>
          <w:color w:val="auto"/>
          <w:u w:val="none"/>
          <w:lang w:val="en-US"/>
        </w:rPr>
        <w:drawing>
          <wp:inline distT="0" distB="0" distL="114300" distR="114300">
            <wp:extent cx="133350" cy="13335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61"/>
                    <a:stretch>
                      <a:fillRect/>
                    </a:stretch>
                  </pic:blipFill>
                  <pic:spPr>
                    <a:xfrm>
                      <a:off x="0" y="0"/>
                      <a:ext cx="133350"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123825" cy="13335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62"/>
                    <a:stretch>
                      <a:fillRect/>
                    </a:stretch>
                  </pic:blipFill>
                  <pic:spPr>
                    <a:xfrm>
                      <a:off x="0" y="0"/>
                      <a:ext cx="123825"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133350" cy="133350"/>
            <wp:effectExtent l="0" t="0" r="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63"/>
                    <a:stretch>
                      <a:fillRect/>
                    </a:stretch>
                  </pic:blipFill>
                  <pic:spPr>
                    <a:xfrm>
                      <a:off x="0" y="0"/>
                      <a:ext cx="133350"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133350" cy="161925"/>
            <wp:effectExtent l="0" t="0" r="0" b="635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64"/>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方向的水深平均流速；</w:t>
      </w:r>
      <w:r>
        <w:rPr>
          <w:rFonts w:hint="default" w:ascii="Times New Roman" w:hAnsi="Times New Roman" w:eastAsia="宋体" w:cs="Times New Roman"/>
          <w:color w:val="auto"/>
          <w:u w:val="none"/>
          <w:lang w:val="en-US"/>
        </w:rPr>
        <w:drawing>
          <wp:inline distT="0" distB="0" distL="114300" distR="114300">
            <wp:extent cx="133350" cy="133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5"/>
                    <a:stretch>
                      <a:fillRect/>
                    </a:stretch>
                  </pic:blipFill>
                  <pic:spPr>
                    <a:xfrm>
                      <a:off x="0" y="0"/>
                      <a:ext cx="133350"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—糙率；</w:t>
      </w:r>
      <w:r>
        <w:rPr>
          <w:rFonts w:hint="default" w:ascii="Times New Roman" w:hAnsi="Times New Roman" w:eastAsia="宋体" w:cs="Times New Roman"/>
          <w:color w:val="auto"/>
          <w:u w:val="none"/>
          <w:lang w:val="en-US"/>
        </w:rPr>
        <w:drawing>
          <wp:inline distT="0" distB="0" distL="114300" distR="114300">
            <wp:extent cx="133350" cy="161925"/>
            <wp:effectExtent l="0" t="0" r="0" b="762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66"/>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—重力加速度；</w:t>
      </w:r>
      <w:r>
        <w:rPr>
          <w:rFonts w:hint="default" w:ascii="Times New Roman" w:hAnsi="Times New Roman" w:eastAsia="宋体" w:cs="Times New Roman"/>
          <w:color w:val="auto"/>
          <w:u w:val="none"/>
          <w:lang w:val="en-US"/>
        </w:rPr>
        <w:drawing>
          <wp:inline distT="0" distB="0" distL="114300" distR="114300">
            <wp:extent cx="190500" cy="219075"/>
            <wp:effectExtent l="0" t="0" r="0" b="571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67"/>
                    <a:stretch>
                      <a:fillRect/>
                    </a:stretch>
                  </pic:blipFill>
                  <pic:spPr>
                    <a:xfrm>
                      <a:off x="0" y="0"/>
                      <a:ext cx="190500"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—水流综合扩散系数；</w:t>
      </w:r>
      <w:r>
        <w:rPr>
          <w:rFonts w:hint="default" w:ascii="Times New Roman" w:hAnsi="Times New Roman" w:eastAsia="宋体" w:cs="Times New Roman"/>
          <w:color w:val="auto"/>
          <w:u w:val="none"/>
          <w:lang w:val="en-US"/>
        </w:rPr>
        <w:drawing>
          <wp:inline distT="0" distB="0" distL="114300" distR="114300">
            <wp:extent cx="133350" cy="161925"/>
            <wp:effectExtent l="0" t="0" r="0" b="762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68"/>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—单位面积上水流的源汇强度；</w:t>
      </w:r>
      <w:r>
        <w:rPr>
          <w:rFonts w:hint="default" w:ascii="Times New Roman" w:hAnsi="Times New Roman" w:eastAsia="宋体" w:cs="Times New Roman"/>
          <w:color w:val="auto"/>
          <w:u w:val="none"/>
          <w:lang w:val="en-US"/>
        </w:rPr>
        <w:drawing>
          <wp:inline distT="0" distB="0" distL="114300" distR="114300">
            <wp:extent cx="180975" cy="238125"/>
            <wp:effectExtent l="0" t="0" r="9525" b="635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69"/>
                    <a:stretch>
                      <a:fillRect/>
                    </a:stretch>
                  </pic:blipFill>
                  <pic:spPr>
                    <a:xfrm>
                      <a:off x="0" y="0"/>
                      <a:ext cx="180975" cy="2381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161925" cy="238125"/>
            <wp:effectExtent l="0" t="0" r="9525" b="635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70"/>
                    <a:stretch>
                      <a:fillRect/>
                    </a:stretch>
                  </pic:blipFill>
                  <pic:spPr>
                    <a:xfrm>
                      <a:off x="0" y="0"/>
                      <a:ext cx="161925" cy="2381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—动量源汇在</w:t>
      </w:r>
      <w:r>
        <w:rPr>
          <w:rFonts w:hint="default" w:ascii="Times New Roman" w:hAnsi="Times New Roman" w:eastAsia="宋体" w:cs="Times New Roman"/>
          <w:color w:val="auto"/>
          <w:u w:val="none"/>
          <w:lang w:val="en-US"/>
        </w:rPr>
        <w:drawing>
          <wp:inline distT="0" distB="0" distL="114300" distR="114300">
            <wp:extent cx="133350" cy="133350"/>
            <wp:effectExtent l="0" t="0" r="0" b="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63"/>
                    <a:stretch>
                      <a:fillRect/>
                    </a:stretch>
                  </pic:blipFill>
                  <pic:spPr>
                    <a:xfrm>
                      <a:off x="0" y="0"/>
                      <a:ext cx="133350"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133350" cy="161925"/>
            <wp:effectExtent l="0" t="0" r="0" b="635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64"/>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方向的分量。</w:t>
      </w:r>
    </w:p>
    <w:p w14:paraId="7525E58B">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2）边界条件</w:t>
      </w:r>
    </w:p>
    <w:p w14:paraId="11DE1342">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进、出口边界：在进口边界上给定流量或潮位过程，出口边界上给定水位过程。</w:t>
      </w:r>
    </w:p>
    <w:p w14:paraId="0FBB13A2">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河岸边界：河岸边界按固壁边界处理。</w:t>
      </w:r>
    </w:p>
    <w:p w14:paraId="45D56E60">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（2）数值计算方法</w:t>
      </w:r>
    </w:p>
    <w:p w14:paraId="79D7FFDF">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选择如图</w:t>
      </w:r>
      <w:r>
        <w:rPr>
          <w:rFonts w:hint="default" w:ascii="Times New Roman" w:hAnsi="Times New Roman" w:eastAsia="宋体" w:cs="Times New Roman"/>
          <w:color w:val="auto"/>
          <w:u w:val="none"/>
          <w:lang w:val="en-US" w:eastAsia="zh-CN"/>
        </w:rPr>
        <w:t>5.2-1</w:t>
      </w:r>
      <w:r>
        <w:rPr>
          <w:rFonts w:hint="default" w:ascii="Times New Roman" w:hAnsi="Times New Roman" w:eastAsia="宋体" w:cs="Times New Roman"/>
          <w:color w:val="auto"/>
          <w:u w:val="none"/>
          <w:lang w:val="en-US"/>
        </w:rPr>
        <w:t>所示的多边形形单元为控制体，待求变量存储于控制体中心。采用有限体积法对控制方程进行离散，用基于同位网格的SIMPLE算法处理水流运动方程中水位和速度的耦合关系。</w:t>
      </w:r>
    </w:p>
    <w:p w14:paraId="2A41078E">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drawing>
          <wp:inline distT="0" distB="0" distL="114300" distR="114300">
            <wp:extent cx="4685665" cy="2037715"/>
            <wp:effectExtent l="0" t="0" r="635" b="635"/>
            <wp:docPr id="58" name="图片 25" descr="2012020615242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descr="20120206152424661"/>
                    <pic:cNvPicPr>
                      <a:picLocks noChangeAspect="1"/>
                    </pic:cNvPicPr>
                  </pic:nvPicPr>
                  <pic:blipFill>
                    <a:blip r:embed="rId71"/>
                    <a:stretch>
                      <a:fillRect/>
                    </a:stretch>
                  </pic:blipFill>
                  <pic:spPr>
                    <a:xfrm>
                      <a:off x="0" y="0"/>
                      <a:ext cx="4685665" cy="2037715"/>
                    </a:xfrm>
                    <a:prstGeom prst="rect">
                      <a:avLst/>
                    </a:prstGeom>
                    <a:noFill/>
                    <a:ln>
                      <a:noFill/>
                    </a:ln>
                  </pic:spPr>
                </pic:pic>
              </a:graphicData>
            </a:graphic>
          </wp:inline>
        </w:drawing>
      </w:r>
    </w:p>
    <w:p w14:paraId="3DFBF7A8">
      <w:pPr>
        <w:pStyle w:val="38"/>
        <w:ind w:left="0" w:leftChars="0" w:firstLine="0" w:firstLineChars="0"/>
        <w:jc w:val="center"/>
        <w:rPr>
          <w:rFonts w:hint="default" w:ascii="Times New Roman" w:hAnsi="Times New Roman" w:eastAsia="宋体" w:cs="Times New Roman"/>
          <w:b/>
          <w:color w:val="auto"/>
          <w:u w:val="none"/>
          <w:lang w:val="en-US"/>
        </w:rPr>
      </w:pPr>
      <w:r>
        <w:rPr>
          <w:rFonts w:hint="default" w:ascii="Times New Roman" w:hAnsi="Times New Roman" w:eastAsia="宋体" w:cs="Times New Roman"/>
          <w:b/>
          <w:color w:val="auto"/>
          <w:u w:val="none"/>
          <w:lang w:val="en-US"/>
        </w:rPr>
        <w:t>图</w:t>
      </w:r>
      <w:r>
        <w:rPr>
          <w:rFonts w:hint="default" w:ascii="Times New Roman" w:hAnsi="Times New Roman" w:eastAsia="宋体" w:cs="Times New Roman"/>
          <w:b/>
          <w:color w:val="auto"/>
          <w:u w:val="none"/>
          <w:lang w:val="en-US" w:eastAsia="zh-CN"/>
        </w:rPr>
        <w:t>5</w:t>
      </w:r>
      <w:r>
        <w:rPr>
          <w:rFonts w:hint="default" w:ascii="Times New Roman" w:hAnsi="Times New Roman" w:eastAsia="宋体" w:cs="Times New Roman"/>
          <w:b/>
          <w:color w:val="auto"/>
          <w:u w:val="none"/>
          <w:lang w:val="en-US"/>
        </w:rPr>
        <w:t>.2-1  单元控制体示意图</w:t>
      </w:r>
    </w:p>
    <w:p w14:paraId="67ED54E3">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1）水流运动方程的离散</w:t>
      </w:r>
    </w:p>
    <w:p w14:paraId="275D9D86">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对流项和扩散项的离散是求解水流运动方程的难点。对流项的离散格式直接决定了算法的稳定性和计算精度。在本报告中，对流项的离散采用一阶迎风格式。沿控制体界面上扩散项的总通量可以分为，沿PE连线的法向扩散项</w:t>
      </w:r>
      <w:r>
        <w:rPr>
          <w:rFonts w:hint="default" w:ascii="Times New Roman" w:hAnsi="Times New Roman" w:eastAsia="宋体" w:cs="Times New Roman"/>
          <w:color w:val="auto"/>
          <w:u w:val="none"/>
          <w:lang w:val="en-US"/>
        </w:rPr>
        <w:drawing>
          <wp:inline distT="0" distB="0" distL="114300" distR="114300">
            <wp:extent cx="200025" cy="219075"/>
            <wp:effectExtent l="0" t="0" r="952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72"/>
                    <a:stretch>
                      <a:fillRect/>
                    </a:stretch>
                  </pic:blipFill>
                  <pic:spPr>
                    <a:xfrm>
                      <a:off x="0" y="0"/>
                      <a:ext cx="20002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和垂直于PE连线的交叉扩散项</w:t>
      </w:r>
      <w:r>
        <w:rPr>
          <w:rFonts w:hint="default" w:ascii="Times New Roman" w:hAnsi="Times New Roman" w:eastAsia="宋体" w:cs="Times New Roman"/>
          <w:color w:val="auto"/>
          <w:u w:val="none"/>
          <w:lang w:val="en-US"/>
        </w:rPr>
        <w:drawing>
          <wp:inline distT="0" distB="0" distL="114300" distR="114300">
            <wp:extent cx="190500" cy="219075"/>
            <wp:effectExtent l="0" t="0" r="0" b="698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73"/>
                    <a:stretch>
                      <a:fillRect/>
                    </a:stretch>
                  </pic:blipFill>
                  <pic:spPr>
                    <a:xfrm>
                      <a:off x="0" y="0"/>
                      <a:ext cx="190500"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对于准正交的非结构网格，通过控制体界面上的交叉扩散项一般很小，可以忽略，随着网格奇异度的增加，交叉扩散项也逐渐增加，但目前尚无办法准确计算这一项，本报告一方面尽可能减少网格的奇异度，同时采用基于非结构化同位网格的SIMPLE算法来计算交叉扩散项。运动方程最终的离散形式如下：</w:t>
      </w:r>
    </w:p>
    <w:p w14:paraId="7D302E2F">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542415" cy="552450"/>
            <wp:effectExtent l="0" t="0" r="635" b="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74"/>
                    <a:stretch>
                      <a:fillRect/>
                    </a:stretch>
                  </pic:blipFill>
                  <pic:spPr>
                    <a:xfrm>
                      <a:off x="0" y="0"/>
                      <a:ext cx="1542415" cy="5524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t>（5.2-4）</w:t>
      </w:r>
    </w:p>
    <w:p w14:paraId="6428D78C">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其中，</w:t>
      </w:r>
    </w:p>
    <w:p w14:paraId="6AC5F1C6">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2211070" cy="552450"/>
            <wp:effectExtent l="0" t="0" r="0" b="0"/>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75"/>
                    <a:stretch>
                      <a:fillRect/>
                    </a:stretch>
                  </pic:blipFill>
                  <pic:spPr>
                    <a:xfrm>
                      <a:off x="0" y="0"/>
                      <a:ext cx="2211070" cy="5524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2215AA9B">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2877185" cy="552450"/>
            <wp:effectExtent l="0" t="0" r="0" b="0"/>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76"/>
                    <a:stretch>
                      <a:fillRect/>
                    </a:stretch>
                  </pic:blipFill>
                  <pic:spPr>
                    <a:xfrm>
                      <a:off x="0" y="0"/>
                      <a:ext cx="2877185" cy="552450"/>
                    </a:xfrm>
                    <a:prstGeom prst="rect">
                      <a:avLst/>
                    </a:prstGeom>
                    <a:noFill/>
                    <a:ln>
                      <a:noFill/>
                    </a:ln>
                  </pic:spPr>
                </pic:pic>
              </a:graphicData>
            </a:graphic>
          </wp:inline>
        </w:drawing>
      </w:r>
    </w:p>
    <w:p w14:paraId="23206095">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4521835" cy="1000125"/>
            <wp:effectExtent l="0" t="0" r="12065" b="8890"/>
            <wp:docPr id="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
                    <pic:cNvPicPr>
                      <a:picLocks noChangeAspect="1"/>
                    </pic:cNvPicPr>
                  </pic:nvPicPr>
                  <pic:blipFill>
                    <a:blip r:embed="rId77"/>
                    <a:stretch>
                      <a:fillRect/>
                    </a:stretch>
                  </pic:blipFill>
                  <pic:spPr>
                    <a:xfrm>
                      <a:off x="0" y="0"/>
                      <a:ext cx="4521835" cy="1000125"/>
                    </a:xfrm>
                    <a:prstGeom prst="rect">
                      <a:avLst/>
                    </a:prstGeom>
                    <a:noFill/>
                    <a:ln>
                      <a:noFill/>
                    </a:ln>
                  </pic:spPr>
                </pic:pic>
              </a:graphicData>
            </a:graphic>
          </wp:inline>
        </w:drawing>
      </w:r>
    </w:p>
    <w:p w14:paraId="409A9472">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w:t>
      </w:r>
      <w:r>
        <w:rPr>
          <w:rFonts w:hint="default" w:ascii="Times New Roman" w:hAnsi="Times New Roman" w:eastAsia="宋体" w:cs="Times New Roman"/>
          <w:i/>
          <w:color w:val="auto"/>
          <w:u w:val="none"/>
          <w:lang w:val="en-US"/>
        </w:rPr>
        <w:t>m</w:t>
      </w:r>
      <w:r>
        <w:rPr>
          <w:rFonts w:hint="default" w:ascii="Times New Roman" w:hAnsi="Times New Roman" w:eastAsia="宋体" w:cs="Times New Roman"/>
          <w:color w:val="auto"/>
          <w:u w:val="none"/>
          <w:lang w:val="en-US"/>
        </w:rPr>
        <w:t>为单元顶点数，</w:t>
      </w:r>
      <w:r>
        <w:rPr>
          <w:rFonts w:hint="default" w:ascii="Times New Roman" w:hAnsi="Times New Roman" w:eastAsia="宋体" w:cs="Times New Roman"/>
          <w:i/>
          <w:color w:val="auto"/>
          <w:u w:val="none"/>
          <w:lang w:val="en-US"/>
        </w:rPr>
        <w:t>m</w:t>
      </w:r>
      <w:r>
        <w:rPr>
          <w:rFonts w:hint="default" w:ascii="Times New Roman" w:hAnsi="Times New Roman" w:eastAsia="宋体" w:cs="Times New Roman"/>
          <w:color w:val="auto"/>
          <w:u w:val="none"/>
          <w:lang w:val="en-US"/>
        </w:rPr>
        <w:t>=3或4；</w:t>
      </w:r>
      <w:r>
        <w:rPr>
          <w:rFonts w:hint="default" w:ascii="Times New Roman" w:hAnsi="Times New Roman" w:eastAsia="宋体" w:cs="Times New Roman"/>
          <w:color w:val="auto"/>
          <w:u w:val="none"/>
          <w:lang w:val="en-US"/>
        </w:rPr>
        <w:drawing>
          <wp:inline distT="0" distB="0" distL="114300" distR="114300">
            <wp:extent cx="200025" cy="276225"/>
            <wp:effectExtent l="0" t="0" r="9525" b="825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78"/>
                    <a:stretch>
                      <a:fillRect/>
                    </a:stretch>
                  </pic:blipFill>
                  <pic:spPr>
                    <a:xfrm>
                      <a:off x="0" y="0"/>
                      <a:ext cx="20002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为向量</w:t>
      </w:r>
      <w:r>
        <w:rPr>
          <w:rFonts w:hint="default" w:ascii="Times New Roman" w:hAnsi="Times New Roman" w:eastAsia="宋体" w:cs="Times New Roman"/>
          <w:color w:val="auto"/>
          <w:u w:val="none"/>
          <w:lang w:val="en-US"/>
        </w:rPr>
        <w:drawing>
          <wp:inline distT="0" distB="0" distL="114300" distR="114300">
            <wp:extent cx="238125" cy="219075"/>
            <wp:effectExtent l="0" t="0" r="9525" b="8255"/>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79"/>
                    <a:stretch>
                      <a:fillRect/>
                    </a:stretch>
                  </pic:blipFill>
                  <pic:spPr>
                    <a:xfrm>
                      <a:off x="0" y="0"/>
                      <a:ext cx="23812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rPr>
        <w:drawing>
          <wp:inline distT="0" distB="0" distL="114300" distR="114300">
            <wp:extent cx="276225" cy="276225"/>
            <wp:effectExtent l="0" t="0" r="9525" b="6985"/>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80"/>
                    <a:stretch>
                      <a:fillRect/>
                    </a:stretch>
                  </pic:blipFill>
                  <pic:spPr>
                    <a:xfrm>
                      <a:off x="0" y="0"/>
                      <a:ext cx="27622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为向量</w:t>
      </w:r>
      <w:r>
        <w:rPr>
          <w:rFonts w:hint="default" w:ascii="Times New Roman" w:hAnsi="Times New Roman" w:eastAsia="宋体" w:cs="Times New Roman"/>
          <w:color w:val="auto"/>
          <w:u w:val="none"/>
          <w:lang w:val="en-US"/>
        </w:rPr>
        <w:drawing>
          <wp:inline distT="0" distB="0" distL="114300" distR="114300">
            <wp:extent cx="200025" cy="190500"/>
            <wp:effectExtent l="0" t="0" r="9525" b="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81"/>
                    <a:stretch>
                      <a:fillRect/>
                    </a:stretch>
                  </pic:blipFill>
                  <pic:spPr>
                    <a:xfrm>
                      <a:off x="0" y="0"/>
                      <a:ext cx="200025" cy="1905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的法线；</w:t>
      </w:r>
      <w:r>
        <w:rPr>
          <w:rFonts w:hint="default" w:ascii="Times New Roman" w:hAnsi="Times New Roman" w:eastAsia="宋体" w:cs="Times New Roman"/>
          <w:color w:val="auto"/>
          <w:u w:val="none"/>
          <w:lang w:val="en-US"/>
        </w:rPr>
        <w:drawing>
          <wp:inline distT="0" distB="0" distL="114300" distR="114300">
            <wp:extent cx="190500" cy="219075"/>
            <wp:effectExtent l="0" t="0" r="0" b="952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82"/>
                    <a:stretch>
                      <a:fillRect/>
                    </a:stretch>
                  </pic:blipFill>
                  <pic:spPr>
                    <a:xfrm>
                      <a:off x="0" y="0"/>
                      <a:ext cx="190500"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为边界1, 2的长度；</w:t>
      </w:r>
      <w:r>
        <w:rPr>
          <w:rFonts w:hint="default" w:ascii="Times New Roman" w:hAnsi="Times New Roman" w:eastAsia="宋体" w:cs="Times New Roman"/>
          <w:color w:val="auto"/>
          <w:u w:val="none"/>
          <w:lang w:val="en-US"/>
        </w:rPr>
        <w:drawing>
          <wp:inline distT="0" distB="0" distL="114300" distR="114300">
            <wp:extent cx="257175" cy="276225"/>
            <wp:effectExtent l="0" t="0" r="0" b="6985"/>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83"/>
                    <a:stretch>
                      <a:fillRect/>
                    </a:stretch>
                  </pic:blipFill>
                  <pic:spPr>
                    <a:xfrm>
                      <a:off x="0" y="0"/>
                      <a:ext cx="25717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为界面的法方向，</w:t>
      </w:r>
      <w:r>
        <w:rPr>
          <w:rFonts w:hint="default" w:ascii="Times New Roman" w:hAnsi="Times New Roman" w:eastAsia="宋体" w:cs="Times New Roman"/>
          <w:color w:val="auto"/>
          <w:u w:val="none"/>
          <w:lang w:val="en-US"/>
        </w:rPr>
        <w:drawing>
          <wp:inline distT="0" distB="0" distL="114300" distR="114300">
            <wp:extent cx="238125" cy="276225"/>
            <wp:effectExtent l="0" t="0" r="0" b="8255"/>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84"/>
                    <a:stretch>
                      <a:fillRect/>
                    </a:stretch>
                  </pic:blipFill>
                  <pic:spPr>
                    <a:xfrm>
                      <a:off x="0" y="0"/>
                      <a:ext cx="23812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为界面处的质量流量，</w:t>
      </w:r>
      <w:r>
        <w:rPr>
          <w:rFonts w:hint="default" w:ascii="Times New Roman" w:hAnsi="Times New Roman" w:eastAsia="宋体" w:cs="Times New Roman"/>
          <w:color w:val="auto"/>
          <w:u w:val="none"/>
          <w:lang w:val="en-US"/>
        </w:rPr>
        <w:drawing>
          <wp:inline distT="0" distB="0" distL="114300" distR="114300">
            <wp:extent cx="323850" cy="238125"/>
            <wp:effectExtent l="0" t="0" r="0" b="825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85"/>
                    <a:stretch>
                      <a:fillRect/>
                    </a:stretch>
                  </pic:blipFill>
                  <pic:spPr>
                    <a:xfrm>
                      <a:off x="0" y="0"/>
                      <a:ext cx="323850" cy="2381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控制体的面积，</w:t>
      </w:r>
      <w:r>
        <w:rPr>
          <w:rFonts w:hint="default" w:ascii="Times New Roman" w:hAnsi="Times New Roman" w:eastAsia="宋体" w:cs="Times New Roman"/>
          <w:color w:val="auto"/>
          <w:u w:val="none"/>
          <w:lang w:val="en-US"/>
        </w:rPr>
        <w:drawing>
          <wp:inline distT="0" distB="0" distL="114300" distR="114300">
            <wp:extent cx="314325" cy="276225"/>
            <wp:effectExtent l="0" t="0" r="0" b="8890"/>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86"/>
                    <a:stretch>
                      <a:fillRect/>
                    </a:stretch>
                  </pic:blipFill>
                  <pic:spPr>
                    <a:xfrm>
                      <a:off x="0" y="0"/>
                      <a:ext cx="31432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为控制体界面上的水深，</w:t>
      </w:r>
      <w:r>
        <w:rPr>
          <w:rFonts w:hint="default" w:ascii="Times New Roman" w:hAnsi="Times New Roman" w:eastAsia="宋体" w:cs="Times New Roman"/>
          <w:color w:val="auto"/>
          <w:u w:val="none"/>
          <w:lang w:val="en-US"/>
        </w:rPr>
        <w:drawing>
          <wp:inline distT="0" distB="0" distL="114300" distR="114300">
            <wp:extent cx="257175" cy="276225"/>
            <wp:effectExtent l="0" t="0" r="0" b="8255"/>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87"/>
                    <a:stretch>
                      <a:fillRect/>
                    </a:stretch>
                  </pic:blipFill>
                  <pic:spPr>
                    <a:xfrm>
                      <a:off x="0" y="0"/>
                      <a:ext cx="257175" cy="2762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为控制体界面上的水位，</w:t>
      </w:r>
      <w:r>
        <w:rPr>
          <w:rFonts w:hint="default" w:ascii="Times New Roman" w:hAnsi="Times New Roman" w:eastAsia="宋体" w:cs="Times New Roman"/>
          <w:color w:val="auto"/>
          <w:u w:val="none"/>
          <w:lang w:val="en-US"/>
        </w:rPr>
        <w:drawing>
          <wp:inline distT="0" distB="0" distL="114300" distR="114300">
            <wp:extent cx="238125" cy="266700"/>
            <wp:effectExtent l="0" t="0" r="0" b="0"/>
            <wp:docPr id="6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88"/>
                    <a:stretch>
                      <a:fillRect/>
                    </a:stretch>
                  </pic:blipFill>
                  <pic:spPr>
                    <a:xfrm>
                      <a:off x="0" y="0"/>
                      <a:ext cx="238125" cy="2667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表示由风应力、科氏力等形成的源项。源项</w:t>
      </w:r>
      <w:r>
        <w:rPr>
          <w:rFonts w:hint="default" w:ascii="Times New Roman" w:hAnsi="Times New Roman" w:eastAsia="宋体" w:cs="Times New Roman"/>
          <w:color w:val="auto"/>
          <w:u w:val="none"/>
          <w:lang w:val="en-US"/>
        </w:rPr>
        <w:drawing>
          <wp:inline distT="0" distB="0" distL="114300" distR="114300">
            <wp:extent cx="161925" cy="238125"/>
            <wp:effectExtent l="0" t="0" r="9525" b="8255"/>
            <wp:docPr id="7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3"/>
                    <pic:cNvPicPr>
                      <a:picLocks noChangeAspect="1"/>
                    </pic:cNvPicPr>
                  </pic:nvPicPr>
                  <pic:blipFill>
                    <a:blip r:embed="rId89"/>
                    <a:stretch>
                      <a:fillRect/>
                    </a:stretch>
                  </pic:blipFill>
                  <pic:spPr>
                    <a:xfrm>
                      <a:off x="0" y="0"/>
                      <a:ext cx="161925" cy="2381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中等号右边括号中第二项为对流项的延迟修正项，第三项为交叉扩散项。上标CDS，UDS分别表示变量按照中心格式和迎风格式确定，上标0表示括号内的项采用上一层次的计算结果。</w:t>
      </w:r>
    </w:p>
    <w:p w14:paraId="234766ED">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在求解过程中，为了增强计算格式的稳定性，采用了欠松弛技术。将速度欠松弛因子</w:t>
      </w:r>
      <w:r>
        <w:rPr>
          <w:rFonts w:hint="default" w:ascii="Times New Roman" w:hAnsi="Times New Roman" w:eastAsia="宋体" w:cs="Times New Roman"/>
          <w:color w:val="auto"/>
          <w:u w:val="none"/>
          <w:lang w:val="en-US"/>
        </w:rPr>
        <w:drawing>
          <wp:inline distT="0" distB="0" distL="114300" distR="114300">
            <wp:extent cx="161925" cy="200025"/>
            <wp:effectExtent l="0" t="0" r="9525" b="6350"/>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90"/>
                    <a:stretch>
                      <a:fillRect/>
                    </a:stretch>
                  </pic:blipFill>
                  <pic:spPr>
                    <a:xfrm>
                      <a:off x="0" y="0"/>
                      <a:ext cx="161925" cy="2000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直接代入上式即可得到离散后的运动方程为：</w:t>
      </w:r>
    </w:p>
    <w:p w14:paraId="1C41FCD2">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2573020" cy="533400"/>
            <wp:effectExtent l="0" t="0" r="17780" b="0"/>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91"/>
                    <a:stretch>
                      <a:fillRect/>
                    </a:stretch>
                  </pic:blipFill>
                  <pic:spPr>
                    <a:xfrm>
                      <a:off x="0" y="0"/>
                      <a:ext cx="2573020" cy="5334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324E1FA0">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2）水位修正方程</w:t>
      </w:r>
    </w:p>
    <w:p w14:paraId="2182A82E">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在非结构网格中，由于网格形状的特殊性和网格编号的复杂性，采用交错网格处理流速和水位的耦合关系将会使程序编制变得非常复杂。因此，本报告采用基于非结构同位网格的SIMPLE算法来处理流速和水位的耦合关系，引入界面流速计算式和流速修正式如下：</w:t>
      </w:r>
    </w:p>
    <w:p w14:paraId="40BBF89E">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4641215" cy="447675"/>
            <wp:effectExtent l="0" t="0" r="6985" b="889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92"/>
                    <a:stretch>
                      <a:fillRect/>
                    </a:stretch>
                  </pic:blipFill>
                  <pic:spPr>
                    <a:xfrm>
                      <a:off x="0" y="0"/>
                      <a:ext cx="4641215" cy="447675"/>
                    </a:xfrm>
                    <a:prstGeom prst="rect">
                      <a:avLst/>
                    </a:prstGeom>
                    <a:noFill/>
                    <a:ln>
                      <a:noFill/>
                    </a:ln>
                  </pic:spPr>
                </pic:pic>
              </a:graphicData>
            </a:graphic>
          </wp:inline>
        </w:drawing>
      </w:r>
    </w:p>
    <w:p w14:paraId="381C1A2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2848610" cy="552450"/>
            <wp:effectExtent l="0" t="0" r="8890" b="0"/>
            <wp:docPr id="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pic:cNvPicPr>
                      <a:picLocks noChangeAspect="1"/>
                    </pic:cNvPicPr>
                  </pic:nvPicPr>
                  <pic:blipFill>
                    <a:blip r:embed="rId93"/>
                    <a:stretch>
                      <a:fillRect/>
                    </a:stretch>
                  </pic:blipFill>
                  <pic:spPr>
                    <a:xfrm>
                      <a:off x="0" y="0"/>
                      <a:ext cx="2848610" cy="5524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43737E74">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w:t>
      </w:r>
      <w:r>
        <w:rPr>
          <w:rFonts w:hint="default" w:ascii="Times New Roman" w:hAnsi="Times New Roman" w:eastAsia="宋体" w:cs="Times New Roman"/>
          <w:color w:val="auto"/>
          <w:u w:val="none"/>
          <w:lang w:val="en-US"/>
        </w:rPr>
        <w:drawing>
          <wp:inline distT="0" distB="0" distL="114300" distR="114300">
            <wp:extent cx="447675" cy="200025"/>
            <wp:effectExtent l="0" t="0" r="9525" b="5080"/>
            <wp:docPr id="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pic:cNvPicPr>
                      <a:picLocks noChangeAspect="1"/>
                    </pic:cNvPicPr>
                  </pic:nvPicPr>
                  <pic:blipFill>
                    <a:blip r:embed="rId94"/>
                    <a:stretch>
                      <a:fillRect/>
                    </a:stretch>
                  </pic:blipFill>
                  <pic:spPr>
                    <a:xfrm>
                      <a:off x="0" y="0"/>
                      <a:ext cx="447675" cy="2000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分别表示控制体和其相邻控制体上的流速；</w:t>
      </w:r>
      <w:r>
        <w:rPr>
          <w:rFonts w:hint="default" w:ascii="Times New Roman" w:hAnsi="Times New Roman" w:eastAsia="宋体" w:cs="Times New Roman"/>
          <w:color w:val="auto"/>
          <w:u w:val="none"/>
          <w:lang w:val="en-US"/>
        </w:rPr>
        <w:drawing>
          <wp:inline distT="0" distB="0" distL="114300" distR="114300">
            <wp:extent cx="485775" cy="200025"/>
            <wp:effectExtent l="0" t="0" r="9525" b="6985"/>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pic:cNvPicPr>
                      <a:picLocks noChangeAspect="1"/>
                    </pic:cNvPicPr>
                  </pic:nvPicPr>
                  <pic:blipFill>
                    <a:blip r:embed="rId95"/>
                    <a:stretch>
                      <a:fillRect/>
                    </a:stretch>
                  </pic:blipFill>
                  <pic:spPr>
                    <a:xfrm>
                      <a:off x="0" y="0"/>
                      <a:ext cx="485775" cy="2000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分别表示控制体和其相邻控制体上的水位；</w:t>
      </w:r>
      <w:r>
        <w:rPr>
          <w:rFonts w:hint="default" w:ascii="Times New Roman" w:hAnsi="Times New Roman" w:eastAsia="宋体" w:cs="Times New Roman"/>
          <w:color w:val="auto"/>
          <w:u w:val="none"/>
          <w:lang w:val="en-US"/>
        </w:rPr>
        <w:drawing>
          <wp:inline distT="0" distB="0" distL="114300" distR="114300">
            <wp:extent cx="190500" cy="200025"/>
            <wp:effectExtent l="0" t="0" r="0" b="6985"/>
            <wp:docPr id="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pic:cNvPicPr>
                      <a:picLocks noChangeAspect="1"/>
                    </pic:cNvPicPr>
                  </pic:nvPicPr>
                  <pic:blipFill>
                    <a:blip r:embed="rId96"/>
                    <a:stretch>
                      <a:fillRect/>
                    </a:stretch>
                  </pic:blipFill>
                  <pic:spPr>
                    <a:xfrm>
                      <a:off x="0" y="0"/>
                      <a:ext cx="190500" cy="2000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为运动方程的主对角元系数。</w:t>
      </w:r>
    </w:p>
    <w:p w14:paraId="6E4759A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将求解运动方程得到的流速初始值和上一层次的水位初始值代入式即可得到界面流速</w:t>
      </w:r>
      <w:r>
        <w:rPr>
          <w:rFonts w:hint="default" w:ascii="Times New Roman" w:hAnsi="Times New Roman" w:eastAsia="宋体" w:cs="Times New Roman"/>
          <w:color w:val="auto"/>
          <w:u w:val="none"/>
          <w:lang w:val="en-US"/>
        </w:rPr>
        <w:drawing>
          <wp:inline distT="0" distB="0" distL="114300" distR="114300">
            <wp:extent cx="161925" cy="219075"/>
            <wp:effectExtent l="0" t="0" r="9525"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7"/>
                    <a:stretch>
                      <a:fillRect/>
                    </a:stretch>
                  </pic:blipFill>
                  <pic:spPr>
                    <a:xfrm>
                      <a:off x="0" y="0"/>
                      <a:ext cx="16192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。将</w:t>
      </w:r>
      <w:r>
        <w:rPr>
          <w:rFonts w:hint="default" w:ascii="Times New Roman" w:hAnsi="Times New Roman" w:eastAsia="宋体" w:cs="Times New Roman"/>
          <w:color w:val="auto"/>
          <w:u w:val="none"/>
          <w:lang w:val="en-US"/>
        </w:rPr>
        <w:drawing>
          <wp:inline distT="0" distB="0" distL="114300" distR="114300">
            <wp:extent cx="428625" cy="219075"/>
            <wp:effectExtent l="0" t="0" r="9525" b="8255"/>
            <wp:docPr id="4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pic:cNvPicPr>
                      <a:picLocks noChangeAspect="1"/>
                    </pic:cNvPicPr>
                  </pic:nvPicPr>
                  <pic:blipFill>
                    <a:blip r:embed="rId98"/>
                    <a:stretch>
                      <a:fillRect/>
                    </a:stretch>
                  </pic:blipFill>
                  <pic:spPr>
                    <a:xfrm>
                      <a:off x="0" y="0"/>
                      <a:ext cx="42862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代入式（5.2-1）中，沿控制体积分可得水位修正方程为：</w:t>
      </w:r>
    </w:p>
    <w:p w14:paraId="6F5EC445">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609725" cy="571500"/>
            <wp:effectExtent l="0" t="0" r="9525" b="0"/>
            <wp:docPr id="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pic:cNvPicPr>
                      <a:picLocks noChangeAspect="1"/>
                    </pic:cNvPicPr>
                  </pic:nvPicPr>
                  <pic:blipFill>
                    <a:blip r:embed="rId99"/>
                    <a:stretch>
                      <a:fillRect/>
                    </a:stretch>
                  </pic:blipFill>
                  <pic:spPr>
                    <a:xfrm>
                      <a:off x="0" y="0"/>
                      <a:ext cx="1609725" cy="5715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5A227F61">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式中，上标</w:t>
      </w:r>
      <w:r>
        <w:rPr>
          <w:rFonts w:hint="default" w:ascii="Times New Roman" w:hAnsi="Times New Roman" w:eastAsia="宋体" w:cs="Times New Roman"/>
          <w:i/>
          <w:color w:val="auto"/>
          <w:u w:val="none"/>
          <w:lang w:val="en-US"/>
        </w:rPr>
        <w:t>P</w:t>
      </w:r>
      <w:r>
        <w:rPr>
          <w:rFonts w:hint="default" w:ascii="Times New Roman" w:hAnsi="Times New Roman" w:eastAsia="宋体" w:cs="Times New Roman"/>
          <w:color w:val="auto"/>
          <w:u w:val="none"/>
          <w:lang w:val="en-US"/>
        </w:rPr>
        <w:t>表示水位修正方程中的系数，且有</w:t>
      </w:r>
    </w:p>
    <w:p w14:paraId="459BA9B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2677160" cy="590550"/>
            <wp:effectExtent l="0" t="0" r="8890" b="0"/>
            <wp:docPr id="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pic:cNvPicPr>
                      <a:picLocks noChangeAspect="1"/>
                    </pic:cNvPicPr>
                  </pic:nvPicPr>
                  <pic:blipFill>
                    <a:blip r:embed="rId100"/>
                    <a:stretch>
                      <a:fillRect/>
                    </a:stretch>
                  </pic:blipFill>
                  <pic:spPr>
                    <a:xfrm>
                      <a:off x="0" y="0"/>
                      <a:ext cx="2677160" cy="590550"/>
                    </a:xfrm>
                    <a:prstGeom prst="rect">
                      <a:avLst/>
                    </a:prstGeom>
                    <a:noFill/>
                    <a:ln>
                      <a:noFill/>
                    </a:ln>
                  </pic:spPr>
                </pic:pic>
              </a:graphicData>
            </a:graphic>
          </wp:inline>
        </w:drawing>
      </w:r>
    </w:p>
    <w:p w14:paraId="6BC8AB4D">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390015" cy="581025"/>
            <wp:effectExtent l="0" t="0" r="635" b="0"/>
            <wp:docPr id="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pic:cNvPicPr>
                      <a:picLocks noChangeAspect="1"/>
                    </pic:cNvPicPr>
                  </pic:nvPicPr>
                  <pic:blipFill>
                    <a:blip r:embed="rId101"/>
                    <a:stretch>
                      <a:fillRect/>
                    </a:stretch>
                  </pic:blipFill>
                  <pic:spPr>
                    <a:xfrm>
                      <a:off x="0" y="0"/>
                      <a:ext cx="1390015" cy="581025"/>
                    </a:xfrm>
                    <a:prstGeom prst="rect">
                      <a:avLst/>
                    </a:prstGeom>
                    <a:noFill/>
                    <a:ln>
                      <a:noFill/>
                    </a:ln>
                  </pic:spPr>
                </pic:pic>
              </a:graphicData>
            </a:graphic>
          </wp:inline>
        </w:drawing>
      </w:r>
    </w:p>
    <w:p w14:paraId="1CF79C9D">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657985" cy="552450"/>
            <wp:effectExtent l="0" t="0" r="18415" b="0"/>
            <wp:docPr id="4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6"/>
                    <pic:cNvPicPr>
                      <a:picLocks noChangeAspect="1"/>
                    </pic:cNvPicPr>
                  </pic:nvPicPr>
                  <pic:blipFill>
                    <a:blip r:embed="rId102"/>
                    <a:stretch>
                      <a:fillRect/>
                    </a:stretch>
                  </pic:blipFill>
                  <pic:spPr>
                    <a:xfrm>
                      <a:off x="0" y="0"/>
                      <a:ext cx="1657985" cy="552450"/>
                    </a:xfrm>
                    <a:prstGeom prst="rect">
                      <a:avLst/>
                    </a:prstGeom>
                    <a:noFill/>
                    <a:ln>
                      <a:noFill/>
                    </a:ln>
                  </pic:spPr>
                </pic:pic>
              </a:graphicData>
            </a:graphic>
          </wp:inline>
        </w:drawing>
      </w:r>
    </w:p>
    <w:p w14:paraId="258F7C0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w:t>
      </w:r>
      <w:r>
        <w:rPr>
          <w:rFonts w:hint="default" w:ascii="Times New Roman" w:hAnsi="Times New Roman" w:eastAsia="宋体" w:cs="Times New Roman"/>
          <w:color w:val="auto"/>
          <w:u w:val="none"/>
          <w:lang w:val="en-US"/>
        </w:rPr>
        <w:drawing>
          <wp:inline distT="0" distB="0" distL="114300" distR="114300">
            <wp:extent cx="180975" cy="219075"/>
            <wp:effectExtent l="0" t="0" r="9525" b="8255"/>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103"/>
                    <a:stretch>
                      <a:fillRect/>
                    </a:stretch>
                  </pic:blipFill>
                  <pic:spPr>
                    <a:xfrm>
                      <a:off x="0" y="0"/>
                      <a:ext cx="18097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为流进单元</w:t>
      </w:r>
      <w:r>
        <w:rPr>
          <w:rFonts w:hint="default" w:ascii="Times New Roman" w:hAnsi="Times New Roman" w:eastAsia="宋体" w:cs="Times New Roman"/>
          <w:i/>
          <w:color w:val="auto"/>
          <w:u w:val="none"/>
          <w:lang w:val="en-US"/>
        </w:rPr>
        <w:t>P</w:t>
      </w:r>
      <w:r>
        <w:rPr>
          <w:rFonts w:hint="default" w:ascii="Times New Roman" w:hAnsi="Times New Roman" w:eastAsia="宋体" w:cs="Times New Roman"/>
          <w:color w:val="auto"/>
          <w:u w:val="none"/>
          <w:lang w:val="en-US"/>
        </w:rPr>
        <w:t>的净质量流量。在获得水位修正值</w:t>
      </w:r>
      <w:r>
        <w:rPr>
          <w:rFonts w:hint="default" w:ascii="Times New Roman" w:hAnsi="Times New Roman" w:eastAsia="宋体" w:cs="Times New Roman"/>
          <w:color w:val="auto"/>
          <w:u w:val="none"/>
          <w:lang w:val="en-US"/>
        </w:rPr>
        <w:drawing>
          <wp:inline distT="0" distB="0" distL="114300" distR="114300">
            <wp:extent cx="200025" cy="219075"/>
            <wp:effectExtent l="0" t="0" r="9525" b="8255"/>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104"/>
                    <a:stretch>
                      <a:fillRect/>
                    </a:stretch>
                  </pic:blipFill>
                  <pic:spPr>
                    <a:xfrm>
                      <a:off x="0" y="0"/>
                      <a:ext cx="200025" cy="21907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以后，分别按如下方式修正水位和流速</w:t>
      </w:r>
    </w:p>
    <w:p w14:paraId="3AE8E69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543050" cy="342900"/>
            <wp:effectExtent l="0" t="0" r="0" b="0"/>
            <wp:docPr id="7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9"/>
                    <pic:cNvPicPr>
                      <a:picLocks noChangeAspect="1"/>
                    </pic:cNvPicPr>
                  </pic:nvPicPr>
                  <pic:blipFill>
                    <a:blip r:embed="rId105"/>
                    <a:stretch>
                      <a:fillRect/>
                    </a:stretch>
                  </pic:blipFill>
                  <pic:spPr>
                    <a:xfrm>
                      <a:off x="0" y="0"/>
                      <a:ext cx="1543050" cy="34290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2FB0FE0B">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b/>
      </w:r>
      <w:r>
        <w:rPr>
          <w:rFonts w:hint="default" w:ascii="Times New Roman" w:hAnsi="Times New Roman" w:eastAsia="宋体" w:cs="Times New Roman"/>
          <w:color w:val="auto"/>
          <w:u w:val="none"/>
          <w:lang w:val="en-US"/>
        </w:rPr>
        <w:drawing>
          <wp:inline distT="0" distB="0" distL="114300" distR="114300">
            <wp:extent cx="1628775" cy="514350"/>
            <wp:effectExtent l="0" t="0" r="9525" b="0"/>
            <wp:docPr id="7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0"/>
                    <pic:cNvPicPr>
                      <a:picLocks noChangeAspect="1"/>
                    </pic:cNvPicPr>
                  </pic:nvPicPr>
                  <pic:blipFill>
                    <a:blip r:embed="rId106"/>
                    <a:stretch>
                      <a:fillRect/>
                    </a:stretch>
                  </pic:blipFill>
                  <pic:spPr>
                    <a:xfrm>
                      <a:off x="0" y="0"/>
                      <a:ext cx="1628775" cy="514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ab/>
      </w:r>
    </w:p>
    <w:p w14:paraId="1DC5A172">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式中，</w:t>
      </w:r>
      <w:r>
        <w:rPr>
          <w:rFonts w:hint="default" w:ascii="Times New Roman" w:hAnsi="Times New Roman" w:eastAsia="宋体" w:cs="Times New Roman"/>
          <w:color w:val="auto"/>
          <w:u w:val="none"/>
          <w:lang w:val="en-US"/>
        </w:rPr>
        <w:drawing>
          <wp:inline distT="0" distB="0" distL="114300" distR="114300">
            <wp:extent cx="190500" cy="200025"/>
            <wp:effectExtent l="0" t="0" r="0" b="6350"/>
            <wp:docPr id="7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1"/>
                    <pic:cNvPicPr>
                      <a:picLocks noChangeAspect="1"/>
                    </pic:cNvPicPr>
                  </pic:nvPicPr>
                  <pic:blipFill>
                    <a:blip r:embed="rId107"/>
                    <a:stretch>
                      <a:fillRect/>
                    </a:stretch>
                  </pic:blipFill>
                  <pic:spPr>
                    <a:xfrm>
                      <a:off x="0" y="0"/>
                      <a:ext cx="190500" cy="200025"/>
                    </a:xfrm>
                    <a:prstGeom prst="rect">
                      <a:avLst/>
                    </a:prstGeom>
                    <a:noFill/>
                    <a:ln>
                      <a:noFill/>
                    </a:ln>
                  </pic:spPr>
                </pic:pic>
              </a:graphicData>
            </a:graphic>
          </wp:inline>
        </w:drawing>
      </w:r>
      <w:r>
        <w:rPr>
          <w:rFonts w:hint="default" w:ascii="Times New Roman" w:hAnsi="Times New Roman" w:eastAsia="宋体" w:cs="Times New Roman"/>
          <w:color w:val="auto"/>
          <w:u w:val="none"/>
          <w:lang w:val="en-US"/>
        </w:rPr>
        <w:t>为水位的欠松弛因子。</w:t>
      </w:r>
    </w:p>
    <w:p w14:paraId="165DDDB0">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离散方程的求解步骤和结构化网格上SIMPLE算法的求解步骤类似，系数矩阵采用Gauss-Seidel迭代法求解，具体步骤如下：</w:t>
      </w:r>
    </w:p>
    <w:p w14:paraId="6F1C132A">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a）给全场赋以初始的猜测水位；</w:t>
      </w:r>
    </w:p>
    <w:p w14:paraId="4C2A58CE">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b）计算运动方程系数，求解运动方程；</w:t>
      </w:r>
    </w:p>
    <w:p w14:paraId="4A2E34A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c）计算水位修正方程的系数，求解水位修正值，更新水位和流速；</w:t>
      </w:r>
    </w:p>
    <w:p w14:paraId="522E74BF">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d）根据单元残余质量流量和全场残余质量流量判断是否收敛。在工程计算中，一般当单元残余质量流量达到进口流量的0.01%,全场残余质量流量达到进口流量的0.5％时即可认为迭代收敛。</w:t>
      </w:r>
    </w:p>
    <w:p w14:paraId="6E3F77D0">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（3）数值模型中关键问题的处理</w:t>
      </w:r>
    </w:p>
    <w:p w14:paraId="6B6B5AEA">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1）计算河段网格布置</w:t>
      </w:r>
    </w:p>
    <w:p w14:paraId="155B315A">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计算河段为营田洲洲头上游至沉沙港附近，长约15km。二维计算网格采用无结构三角形和四边形混合网格形式，计算区域网格节点数为6737个，单元总数为9053个。网格长度约为30～120m，拟建工程局部区域网格长度约为4～10m。</w:t>
      </w:r>
    </w:p>
    <w:p w14:paraId="595E1F59">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2）动边界模拟</w:t>
      </w:r>
    </w:p>
    <w:p w14:paraId="0881F83E">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在计算过程中，网格区域内的部分单元在涨水时被“淹没”，在落水时则“干出”。为正确反映这些单元的干湿变化，模型中采用了如下的动边界模拟技术：选定一临界水深（hmin一般取为0.001m），当某时刻某湿单元的实际水深（水位减去河底高程）小于hmin时，认为该单元“干出”，令该点流速为零，水深为临界水深，水位值由附近非“干出”点水位值外插值得到；当某时刻某节点实际水深大于临界水深时，则恢复程序计算。</w:t>
      </w:r>
    </w:p>
    <w:p w14:paraId="003769C9">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3）参系数取值</w:t>
      </w:r>
    </w:p>
    <w:p w14:paraId="2BCD5497">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二维水流数模计算涉及的主要参数有动量方程中的糙率、紊动粘性系数等。</w:t>
      </w:r>
    </w:p>
    <w:p w14:paraId="5ED1BD1D">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河道糙率实际上是一个综合阻力系数，反映了计算河段的河床河岸阻力、河道形态变化、植被及河道地形概化等因素的综合影响。计算所采用的河道糙率主要由实测水面线资料率定。</w:t>
      </w:r>
    </w:p>
    <w:p w14:paraId="07235244">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紊动粘性系数采用</w:t>
      </w:r>
      <w:r>
        <w:rPr>
          <w:rFonts w:hint="default" w:ascii="Times New Roman" w:hAnsi="Times New Roman" w:eastAsia="宋体" w:cs="Times New Roman"/>
          <w:color w:val="auto"/>
          <w:u w:val="none"/>
          <w:lang w:val="en-US" w:eastAsia="zh-CN"/>
        </w:rPr>
        <w:drawing>
          <wp:inline distT="0" distB="0" distL="114300" distR="114300">
            <wp:extent cx="533400" cy="190500"/>
            <wp:effectExtent l="0" t="0" r="0" b="0"/>
            <wp:docPr id="7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5"/>
                    <pic:cNvPicPr>
                      <a:picLocks noChangeAspect="1"/>
                    </pic:cNvPicPr>
                  </pic:nvPicPr>
                  <pic:blipFill>
                    <a:blip r:embed="rId108"/>
                    <a:stretch>
                      <a:fillRect/>
                    </a:stretch>
                  </pic:blipFill>
                  <pic:spPr>
                    <a:xfrm>
                      <a:off x="0" y="0"/>
                      <a:ext cx="533400" cy="190500"/>
                    </a:xfrm>
                    <a:prstGeom prst="rect">
                      <a:avLst/>
                    </a:prstGeom>
                    <a:noFill/>
                    <a:ln>
                      <a:noFill/>
                    </a:ln>
                  </pic:spPr>
                </pic:pic>
              </a:graphicData>
            </a:graphic>
          </wp:inline>
        </w:drawing>
      </w:r>
      <w:r>
        <w:rPr>
          <w:rFonts w:hint="default" w:ascii="Times New Roman" w:hAnsi="Times New Roman" w:eastAsia="宋体" w:cs="Times New Roman"/>
          <w:color w:val="auto"/>
          <w:u w:val="none"/>
          <w:lang w:val="en-US" w:eastAsia="zh-CN"/>
        </w:rPr>
        <w:t>公式计算，</w:t>
      </w:r>
      <w:r>
        <w:rPr>
          <w:rFonts w:hint="default" w:ascii="Times New Roman" w:hAnsi="Times New Roman" w:eastAsia="宋体" w:cs="Times New Roman"/>
          <w:color w:val="auto"/>
          <w:u w:val="none"/>
          <w:lang w:val="en-US" w:eastAsia="zh-CN"/>
        </w:rPr>
        <w:drawing>
          <wp:inline distT="0" distB="0" distL="114300" distR="114300">
            <wp:extent cx="152400" cy="133350"/>
            <wp:effectExtent l="0" t="0" r="0" b="0"/>
            <wp:docPr id="8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pic:cNvPicPr>
                      <a:picLocks noChangeAspect="1"/>
                    </pic:cNvPicPr>
                  </pic:nvPicPr>
                  <pic:blipFill>
                    <a:blip r:embed="rId109"/>
                    <a:stretch>
                      <a:fillRect/>
                    </a:stretch>
                  </pic:blipFill>
                  <pic:spPr>
                    <a:xfrm>
                      <a:off x="0" y="0"/>
                      <a:ext cx="152400" cy="133350"/>
                    </a:xfrm>
                    <a:prstGeom prst="rect">
                      <a:avLst/>
                    </a:prstGeom>
                    <a:noFill/>
                    <a:ln>
                      <a:noFill/>
                    </a:ln>
                  </pic:spPr>
                </pic:pic>
              </a:graphicData>
            </a:graphic>
          </wp:inline>
        </w:drawing>
      </w:r>
      <w:r>
        <w:rPr>
          <w:rFonts w:hint="default" w:ascii="Times New Roman" w:hAnsi="Times New Roman" w:eastAsia="宋体" w:cs="Times New Roman"/>
          <w:color w:val="auto"/>
          <w:u w:val="none"/>
          <w:lang w:val="en-US" w:eastAsia="zh-CN"/>
        </w:rPr>
        <w:t>为常数，一般取0.5，</w:t>
      </w:r>
      <w:r>
        <w:rPr>
          <w:rFonts w:hint="default" w:ascii="Times New Roman" w:hAnsi="Times New Roman" w:eastAsia="宋体" w:cs="Times New Roman"/>
          <w:color w:val="auto"/>
          <w:u w:val="none"/>
          <w:lang w:val="en-US" w:eastAsia="zh-CN"/>
        </w:rPr>
        <w:drawing>
          <wp:inline distT="0" distB="0" distL="114300" distR="114300">
            <wp:extent cx="152400" cy="190500"/>
            <wp:effectExtent l="0" t="0" r="0" b="0"/>
            <wp:docPr id="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7"/>
                    <pic:cNvPicPr>
                      <a:picLocks noChangeAspect="1"/>
                    </pic:cNvPicPr>
                  </pic:nvPicPr>
                  <pic:blipFill>
                    <a:blip r:embed="rId110"/>
                    <a:stretch>
                      <a:fillRect/>
                    </a:stretch>
                  </pic:blipFill>
                  <pic:spPr>
                    <a:xfrm>
                      <a:off x="0" y="0"/>
                      <a:ext cx="152400" cy="190500"/>
                    </a:xfrm>
                    <a:prstGeom prst="rect">
                      <a:avLst/>
                    </a:prstGeom>
                    <a:noFill/>
                    <a:ln>
                      <a:noFill/>
                    </a:ln>
                  </pic:spPr>
                </pic:pic>
              </a:graphicData>
            </a:graphic>
          </wp:inline>
        </w:drawing>
      </w:r>
      <w:r>
        <w:rPr>
          <w:rFonts w:hint="default" w:ascii="Times New Roman" w:hAnsi="Times New Roman" w:eastAsia="宋体" w:cs="Times New Roman"/>
          <w:color w:val="auto"/>
          <w:u w:val="none"/>
          <w:lang w:val="en-US" w:eastAsia="zh-CN"/>
        </w:rPr>
        <w:t>为摩阻流速。</w:t>
      </w:r>
    </w:p>
    <w:p w14:paraId="3D509A99">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（4）数学模型率定和验证计算</w:t>
      </w:r>
    </w:p>
    <w:p w14:paraId="672E3DAC">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二维水流数学模型率定验证计算的主要目的是检验数学模型计算方法的可行性，率定模型中的相关参数并检验模型的计算精度。根据现有的资料情况，主要验证内容有沿程水面线、断面流速分布。</w:t>
      </w:r>
    </w:p>
    <w:p w14:paraId="4D330CEC">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选取2017年6月4日实测水文资料进行</w:t>
      </w:r>
      <w:bookmarkStart w:id="693" w:name="_Hlk88667145"/>
      <w:r>
        <w:rPr>
          <w:rFonts w:hint="default" w:ascii="Times New Roman" w:hAnsi="Times New Roman" w:eastAsia="宋体" w:cs="Times New Roman"/>
          <w:color w:val="auto"/>
          <w:u w:val="none"/>
          <w:lang w:val="en-US"/>
        </w:rPr>
        <w:t>率定模型参数</w:t>
      </w:r>
      <w:bookmarkEnd w:id="693"/>
      <w:r>
        <w:rPr>
          <w:rFonts w:hint="default" w:ascii="Times New Roman" w:hAnsi="Times New Roman" w:eastAsia="宋体" w:cs="Times New Roman"/>
          <w:color w:val="auto"/>
          <w:u w:val="none"/>
          <w:lang w:val="en-US"/>
        </w:rPr>
        <w:t>，在计算河段内布置有2个水尺，采用2017年11月20日实测水文资料进行模型验证，率定、验证计算条件见</w:t>
      </w:r>
      <w:r>
        <w:rPr>
          <w:rFonts w:hint="default" w:ascii="Times New Roman" w:hAnsi="Times New Roman" w:eastAsia="宋体" w:cs="Times New Roman"/>
          <w:color w:val="auto"/>
          <w:u w:val="none"/>
          <w:lang w:val="en-US" w:eastAsia="zh-CN"/>
        </w:rPr>
        <w:t>下表</w:t>
      </w:r>
      <w:r>
        <w:rPr>
          <w:rFonts w:hint="default" w:ascii="Times New Roman" w:hAnsi="Times New Roman" w:eastAsia="宋体" w:cs="Times New Roman"/>
          <w:color w:val="auto"/>
          <w:u w:val="none"/>
          <w:lang w:val="en-US"/>
        </w:rPr>
        <w:t>。</w:t>
      </w:r>
    </w:p>
    <w:p w14:paraId="40722E8B">
      <w:pPr>
        <w:pStyle w:val="4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rPr>
        <w:t xml:space="preserve">  数模率定、验证计算条件列表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448"/>
        <w:gridCol w:w="2446"/>
        <w:gridCol w:w="2043"/>
        <w:gridCol w:w="1645"/>
      </w:tblGrid>
      <w:tr w14:paraId="5A23BD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1555D0BE">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组次</w:t>
            </w:r>
          </w:p>
        </w:tc>
        <w:tc>
          <w:tcPr>
            <w:tcW w:w="880" w:type="pct"/>
            <w:noWrap w:val="0"/>
            <w:vAlign w:val="center"/>
          </w:tcPr>
          <w:p w14:paraId="1A0AF636">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测验时间</w:t>
            </w:r>
          </w:p>
          <w:p w14:paraId="2719537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(年.月.日)</w:t>
            </w:r>
          </w:p>
        </w:tc>
        <w:tc>
          <w:tcPr>
            <w:tcW w:w="1487" w:type="pct"/>
            <w:noWrap w:val="0"/>
            <w:vAlign w:val="center"/>
          </w:tcPr>
          <w:p w14:paraId="61509D3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水文条件</w:t>
            </w:r>
          </w:p>
        </w:tc>
        <w:tc>
          <w:tcPr>
            <w:tcW w:w="1242" w:type="pct"/>
            <w:noWrap w:val="0"/>
            <w:vAlign w:val="center"/>
          </w:tcPr>
          <w:p w14:paraId="53698D2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率定验证内容</w:t>
            </w:r>
          </w:p>
        </w:tc>
        <w:tc>
          <w:tcPr>
            <w:tcW w:w="1000" w:type="pct"/>
            <w:noWrap w:val="0"/>
            <w:vAlign w:val="center"/>
          </w:tcPr>
          <w:p w14:paraId="1EE2FF01">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率定、验证位置</w:t>
            </w:r>
          </w:p>
        </w:tc>
      </w:tr>
      <w:tr w14:paraId="7E0D0B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vMerge w:val="restart"/>
            <w:noWrap w:val="0"/>
            <w:vAlign w:val="center"/>
          </w:tcPr>
          <w:p w14:paraId="4C7FEAC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880" w:type="pct"/>
            <w:vMerge w:val="restart"/>
            <w:noWrap w:val="0"/>
            <w:vAlign w:val="center"/>
          </w:tcPr>
          <w:p w14:paraId="19E64BD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2017.06.04</w:t>
            </w:r>
          </w:p>
        </w:tc>
        <w:tc>
          <w:tcPr>
            <w:tcW w:w="1487" w:type="pct"/>
            <w:vMerge w:val="restart"/>
            <w:noWrap w:val="0"/>
            <w:vAlign w:val="center"/>
          </w:tcPr>
          <w:p w14:paraId="43B7C3D3">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总流量：7350m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p w14:paraId="2396B3D4">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营田3750m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p w14:paraId="1F96C58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上河口3600m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tc>
        <w:tc>
          <w:tcPr>
            <w:tcW w:w="1242" w:type="pct"/>
            <w:noWrap w:val="0"/>
            <w:vAlign w:val="center"/>
          </w:tcPr>
          <w:p w14:paraId="6A1F7F60">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水位率定</w:t>
            </w:r>
          </w:p>
        </w:tc>
        <w:tc>
          <w:tcPr>
            <w:tcW w:w="1000" w:type="pct"/>
            <w:noWrap w:val="0"/>
            <w:vAlign w:val="center"/>
          </w:tcPr>
          <w:p w14:paraId="64C0126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2#、12#</w:t>
            </w:r>
          </w:p>
        </w:tc>
      </w:tr>
      <w:tr w14:paraId="683F7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vMerge w:val="continue"/>
            <w:noWrap w:val="0"/>
            <w:vAlign w:val="center"/>
          </w:tcPr>
          <w:p w14:paraId="69EB48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880" w:type="pct"/>
            <w:vMerge w:val="continue"/>
            <w:noWrap w:val="0"/>
            <w:vAlign w:val="center"/>
          </w:tcPr>
          <w:p w14:paraId="7988A7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1487" w:type="pct"/>
            <w:vMerge w:val="continue"/>
            <w:noWrap w:val="0"/>
            <w:vAlign w:val="center"/>
          </w:tcPr>
          <w:p w14:paraId="71C6A2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1242" w:type="pct"/>
            <w:noWrap w:val="0"/>
            <w:vAlign w:val="center"/>
          </w:tcPr>
          <w:p w14:paraId="1F07CBC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断面流速</w:t>
            </w:r>
          </w:p>
          <w:p w14:paraId="50A6BDE9">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分布验证</w:t>
            </w:r>
          </w:p>
        </w:tc>
        <w:tc>
          <w:tcPr>
            <w:tcW w:w="1000" w:type="pct"/>
            <w:noWrap w:val="0"/>
            <w:vAlign w:val="center"/>
          </w:tcPr>
          <w:p w14:paraId="02C03914">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2#、12#</w:t>
            </w:r>
          </w:p>
        </w:tc>
      </w:tr>
      <w:tr w14:paraId="552F8F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vMerge w:val="restart"/>
            <w:noWrap w:val="0"/>
            <w:vAlign w:val="center"/>
          </w:tcPr>
          <w:p w14:paraId="22B080D2">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880" w:type="pct"/>
            <w:vMerge w:val="restart"/>
            <w:noWrap w:val="0"/>
            <w:vAlign w:val="center"/>
          </w:tcPr>
          <w:p w14:paraId="047B2D29">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2017.11.20</w:t>
            </w:r>
          </w:p>
        </w:tc>
        <w:tc>
          <w:tcPr>
            <w:tcW w:w="1487" w:type="pct"/>
            <w:vMerge w:val="restart"/>
            <w:noWrap w:val="0"/>
            <w:vAlign w:val="center"/>
          </w:tcPr>
          <w:p w14:paraId="6ADAE77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总流量：2016m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p w14:paraId="053CDBC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营田</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1410m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p w14:paraId="11FA7D70">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上河口</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606m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/s</w:t>
            </w:r>
          </w:p>
        </w:tc>
        <w:tc>
          <w:tcPr>
            <w:tcW w:w="1242" w:type="pct"/>
            <w:noWrap w:val="0"/>
            <w:vAlign w:val="center"/>
          </w:tcPr>
          <w:p w14:paraId="31059F24">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水位率定</w:t>
            </w:r>
          </w:p>
        </w:tc>
        <w:tc>
          <w:tcPr>
            <w:tcW w:w="1000" w:type="pct"/>
            <w:noWrap w:val="0"/>
            <w:vAlign w:val="center"/>
          </w:tcPr>
          <w:p w14:paraId="099AFDF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2#、12#</w:t>
            </w:r>
          </w:p>
        </w:tc>
      </w:tr>
      <w:tr w14:paraId="1918DC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vMerge w:val="continue"/>
            <w:noWrap w:val="0"/>
            <w:vAlign w:val="center"/>
          </w:tcPr>
          <w:p w14:paraId="625865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880" w:type="pct"/>
            <w:vMerge w:val="continue"/>
            <w:noWrap w:val="0"/>
            <w:vAlign w:val="center"/>
          </w:tcPr>
          <w:p w14:paraId="3652C1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1487" w:type="pct"/>
            <w:vMerge w:val="continue"/>
            <w:noWrap w:val="0"/>
            <w:vAlign w:val="center"/>
          </w:tcPr>
          <w:p w14:paraId="4648F0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1242" w:type="pct"/>
            <w:noWrap w:val="0"/>
            <w:vAlign w:val="center"/>
          </w:tcPr>
          <w:p w14:paraId="3AD2FAD3">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断面流速</w:t>
            </w:r>
          </w:p>
          <w:p w14:paraId="2859F43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分布验证</w:t>
            </w:r>
          </w:p>
        </w:tc>
        <w:tc>
          <w:tcPr>
            <w:tcW w:w="1000" w:type="pct"/>
            <w:noWrap w:val="0"/>
            <w:vAlign w:val="center"/>
          </w:tcPr>
          <w:p w14:paraId="280A95F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2#、12#</w:t>
            </w:r>
          </w:p>
        </w:tc>
      </w:tr>
    </w:tbl>
    <w:p w14:paraId="0D258EE5">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1）水位率定、验证结果分析</w:t>
      </w:r>
    </w:p>
    <w:p w14:paraId="5C674B20">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从表</w:t>
      </w:r>
      <w:r>
        <w:rPr>
          <w:rFonts w:hint="default" w:ascii="Times New Roman" w:hAnsi="Times New Roman" w:eastAsia="宋体" w:cs="Times New Roman"/>
          <w:color w:val="auto"/>
          <w:u w:val="none"/>
          <w:lang w:val="en-US" w:eastAsia="zh-CN"/>
        </w:rPr>
        <w:t>5.2-</w:t>
      </w:r>
      <w:r>
        <w:rPr>
          <w:rFonts w:hint="eastAsia" w:cs="Times New Roman"/>
          <w:color w:val="auto"/>
          <w:u w:val="none"/>
          <w:lang w:val="en-US" w:eastAsia="zh-CN"/>
        </w:rPr>
        <w:t>14</w:t>
      </w:r>
      <w:r>
        <w:rPr>
          <w:rFonts w:hint="default" w:ascii="Times New Roman" w:hAnsi="Times New Roman" w:eastAsia="宋体" w:cs="Times New Roman"/>
          <w:color w:val="auto"/>
          <w:u w:val="none"/>
          <w:lang w:val="en-US"/>
        </w:rPr>
        <w:t>可看出：各流量级下，率定、验证误差在3.0cm以内，计算值与实测值相差较小。因此，水位率定验证结果较好。</w:t>
      </w:r>
    </w:p>
    <w:p w14:paraId="1CFAE4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rPr>
        <w:t>表</w:t>
      </w:r>
      <w:r>
        <w:rPr>
          <w:rFonts w:hint="default" w:ascii="Times New Roman" w:hAnsi="Times New Roman" w:eastAsia="宋体" w:cs="Times New Roman"/>
          <w:b/>
          <w:color w:val="auto"/>
          <w:sz w:val="24"/>
          <w:u w:val="none"/>
          <w:lang w:val="en-US" w:eastAsia="zh-CN"/>
        </w:rPr>
        <w:t>5</w:t>
      </w:r>
      <w:r>
        <w:rPr>
          <w:rFonts w:hint="default" w:ascii="Times New Roman" w:hAnsi="Times New Roman" w:eastAsia="宋体" w:cs="Times New Roman"/>
          <w:b/>
          <w:color w:val="auto"/>
          <w:sz w:val="24"/>
          <w:u w:val="none"/>
        </w:rPr>
        <w:t>.2-</w:t>
      </w:r>
      <w:r>
        <w:rPr>
          <w:rFonts w:hint="eastAsia" w:cs="Times New Roman"/>
          <w:b/>
          <w:color w:val="auto"/>
          <w:sz w:val="24"/>
          <w:u w:val="none"/>
          <w:lang w:val="en-US" w:eastAsia="zh-CN"/>
        </w:rPr>
        <w:t>14</w:t>
      </w:r>
      <w:r>
        <w:rPr>
          <w:rFonts w:hint="default" w:ascii="Times New Roman" w:hAnsi="Times New Roman" w:eastAsia="宋体" w:cs="Times New Roman"/>
          <w:b/>
          <w:color w:val="auto"/>
          <w:sz w:val="24"/>
          <w:u w:val="none"/>
        </w:rPr>
        <w:t xml:space="preserve">  营田河段沿程水位验证结果表（单位：m）</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04"/>
        <w:gridCol w:w="1169"/>
        <w:gridCol w:w="1169"/>
        <w:gridCol w:w="1169"/>
        <w:gridCol w:w="1169"/>
        <w:gridCol w:w="1169"/>
        <w:gridCol w:w="1171"/>
      </w:tblGrid>
      <w:tr w14:paraId="6C9CD8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pct"/>
            <w:vMerge w:val="restart"/>
            <w:noWrap w:val="0"/>
            <w:vAlign w:val="center"/>
          </w:tcPr>
          <w:p w14:paraId="59AE968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snapToGrid w:val="0"/>
                <w:color w:val="auto"/>
                <w:sz w:val="21"/>
                <w:szCs w:val="21"/>
                <w:u w:val="none"/>
              </w:rPr>
              <w:t>位置</w:t>
            </w:r>
          </w:p>
        </w:tc>
        <w:tc>
          <w:tcPr>
            <w:tcW w:w="2133" w:type="pct"/>
            <w:gridSpan w:val="3"/>
            <w:noWrap w:val="0"/>
            <w:vAlign w:val="center"/>
          </w:tcPr>
          <w:p w14:paraId="052EB2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snapToGrid w:val="0"/>
                <w:color w:val="auto"/>
                <w:sz w:val="21"/>
                <w:szCs w:val="21"/>
                <w:u w:val="none"/>
              </w:rPr>
              <w:t>2017年6月</w:t>
            </w:r>
          </w:p>
        </w:tc>
        <w:tc>
          <w:tcPr>
            <w:tcW w:w="2134" w:type="pct"/>
            <w:gridSpan w:val="3"/>
            <w:noWrap w:val="0"/>
            <w:vAlign w:val="center"/>
          </w:tcPr>
          <w:p w14:paraId="53383B52">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snapToGrid w:val="0"/>
                <w:color w:val="auto"/>
                <w:sz w:val="21"/>
                <w:szCs w:val="21"/>
                <w:u w:val="none"/>
              </w:rPr>
              <w:t>2017年11月</w:t>
            </w:r>
          </w:p>
        </w:tc>
      </w:tr>
      <w:tr w14:paraId="1A2BAC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pct"/>
            <w:vMerge w:val="continue"/>
            <w:noWrap w:val="0"/>
            <w:vAlign w:val="center"/>
          </w:tcPr>
          <w:p w14:paraId="67D10E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u w:val="none"/>
              </w:rPr>
            </w:pPr>
          </w:p>
        </w:tc>
        <w:tc>
          <w:tcPr>
            <w:tcW w:w="711" w:type="pct"/>
            <w:noWrap w:val="0"/>
            <w:vAlign w:val="center"/>
          </w:tcPr>
          <w:p w14:paraId="115DDDEF">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实测值</w:t>
            </w:r>
          </w:p>
        </w:tc>
        <w:tc>
          <w:tcPr>
            <w:tcW w:w="711" w:type="pct"/>
            <w:noWrap w:val="0"/>
            <w:vAlign w:val="center"/>
          </w:tcPr>
          <w:p w14:paraId="2C9AB621">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计算值</w:t>
            </w:r>
          </w:p>
        </w:tc>
        <w:tc>
          <w:tcPr>
            <w:tcW w:w="711" w:type="pct"/>
            <w:noWrap w:val="0"/>
            <w:vAlign w:val="center"/>
          </w:tcPr>
          <w:p w14:paraId="357F3C5F">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误差</w:t>
            </w:r>
          </w:p>
        </w:tc>
        <w:tc>
          <w:tcPr>
            <w:tcW w:w="711" w:type="pct"/>
            <w:noWrap w:val="0"/>
            <w:vAlign w:val="center"/>
          </w:tcPr>
          <w:p w14:paraId="7E8618AB">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实测值</w:t>
            </w:r>
          </w:p>
        </w:tc>
        <w:tc>
          <w:tcPr>
            <w:tcW w:w="711" w:type="pct"/>
            <w:noWrap w:val="0"/>
            <w:vAlign w:val="center"/>
          </w:tcPr>
          <w:p w14:paraId="5F2AF37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计算值</w:t>
            </w:r>
          </w:p>
        </w:tc>
        <w:tc>
          <w:tcPr>
            <w:tcW w:w="712" w:type="pct"/>
            <w:noWrap w:val="0"/>
            <w:vAlign w:val="center"/>
          </w:tcPr>
          <w:p w14:paraId="5436D59C">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误差</w:t>
            </w:r>
          </w:p>
        </w:tc>
      </w:tr>
      <w:tr w14:paraId="3B35C2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pct"/>
            <w:noWrap w:val="0"/>
            <w:vAlign w:val="center"/>
          </w:tcPr>
          <w:p w14:paraId="5CF3E63D">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711" w:type="pct"/>
            <w:noWrap w:val="0"/>
            <w:vAlign w:val="center"/>
          </w:tcPr>
          <w:p w14:paraId="534E8B6B">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25.37</w:t>
            </w:r>
          </w:p>
        </w:tc>
        <w:tc>
          <w:tcPr>
            <w:tcW w:w="711" w:type="pct"/>
            <w:noWrap w:val="0"/>
            <w:vAlign w:val="center"/>
          </w:tcPr>
          <w:p w14:paraId="466CF4CD">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25.34</w:t>
            </w:r>
          </w:p>
        </w:tc>
        <w:tc>
          <w:tcPr>
            <w:tcW w:w="711" w:type="pct"/>
            <w:noWrap w:val="0"/>
            <w:vAlign w:val="center"/>
          </w:tcPr>
          <w:p w14:paraId="5E6C52B5">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0.03</w:t>
            </w:r>
          </w:p>
        </w:tc>
        <w:tc>
          <w:tcPr>
            <w:tcW w:w="711" w:type="pct"/>
            <w:noWrap w:val="0"/>
            <w:vAlign w:val="center"/>
          </w:tcPr>
          <w:p w14:paraId="2474F4D6">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20.33</w:t>
            </w:r>
          </w:p>
        </w:tc>
        <w:tc>
          <w:tcPr>
            <w:tcW w:w="711" w:type="pct"/>
            <w:noWrap w:val="0"/>
            <w:vAlign w:val="center"/>
          </w:tcPr>
          <w:p w14:paraId="2A2A56B4">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20.31</w:t>
            </w:r>
          </w:p>
        </w:tc>
        <w:tc>
          <w:tcPr>
            <w:tcW w:w="712" w:type="pct"/>
            <w:noWrap w:val="0"/>
            <w:vAlign w:val="center"/>
          </w:tcPr>
          <w:p w14:paraId="6E13530C">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0.02</w:t>
            </w:r>
          </w:p>
        </w:tc>
      </w:tr>
      <w:tr w14:paraId="32703E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pct"/>
            <w:noWrap w:val="0"/>
            <w:vAlign w:val="center"/>
          </w:tcPr>
          <w:p w14:paraId="7F35B9C1">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711" w:type="pct"/>
            <w:noWrap w:val="0"/>
            <w:vAlign w:val="center"/>
          </w:tcPr>
          <w:p w14:paraId="41ABFA81">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25.22</w:t>
            </w:r>
          </w:p>
        </w:tc>
        <w:tc>
          <w:tcPr>
            <w:tcW w:w="711" w:type="pct"/>
            <w:noWrap w:val="0"/>
            <w:vAlign w:val="center"/>
          </w:tcPr>
          <w:p w14:paraId="7F970F18">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25.21</w:t>
            </w:r>
          </w:p>
        </w:tc>
        <w:tc>
          <w:tcPr>
            <w:tcW w:w="711" w:type="pct"/>
            <w:noWrap w:val="0"/>
            <w:vAlign w:val="center"/>
          </w:tcPr>
          <w:p w14:paraId="45A002B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0.01</w:t>
            </w:r>
          </w:p>
        </w:tc>
        <w:tc>
          <w:tcPr>
            <w:tcW w:w="711" w:type="pct"/>
            <w:noWrap w:val="0"/>
            <w:vAlign w:val="center"/>
          </w:tcPr>
          <w:p w14:paraId="7876BCA2">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20.29</w:t>
            </w:r>
          </w:p>
        </w:tc>
        <w:tc>
          <w:tcPr>
            <w:tcW w:w="711" w:type="pct"/>
            <w:noWrap w:val="0"/>
            <w:vAlign w:val="center"/>
          </w:tcPr>
          <w:p w14:paraId="0E415EBD">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20.29</w:t>
            </w:r>
          </w:p>
        </w:tc>
        <w:tc>
          <w:tcPr>
            <w:tcW w:w="712" w:type="pct"/>
            <w:noWrap w:val="0"/>
            <w:vAlign w:val="center"/>
          </w:tcPr>
          <w:p w14:paraId="6BBD0D1C">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w:t>
            </w:r>
          </w:p>
        </w:tc>
      </w:tr>
    </w:tbl>
    <w:p w14:paraId="077BE87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napToGrid w:val="0"/>
          <w:color w:val="auto"/>
          <w:sz w:val="18"/>
          <w:szCs w:val="18"/>
          <w:u w:val="none"/>
        </w:rPr>
      </w:pPr>
      <w:r>
        <w:rPr>
          <w:rFonts w:hint="default" w:ascii="Times New Roman" w:hAnsi="Times New Roman" w:eastAsia="宋体" w:cs="Times New Roman"/>
          <w:b/>
          <w:bCs/>
          <w:snapToGrid w:val="0"/>
          <w:color w:val="auto"/>
          <w:sz w:val="18"/>
          <w:szCs w:val="18"/>
          <w:u w:val="none"/>
        </w:rPr>
        <w:t>注：“-”表示计算值小于实测值</w:t>
      </w:r>
    </w:p>
    <w:p w14:paraId="19382731">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2）断面流速分布率定验证结果分析</w:t>
      </w:r>
    </w:p>
    <w:p w14:paraId="579BDFD2">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表</w:t>
      </w:r>
      <w:r>
        <w:rPr>
          <w:rFonts w:hint="default" w:ascii="Times New Roman" w:hAnsi="Times New Roman" w:eastAsia="宋体" w:cs="Times New Roman"/>
          <w:color w:val="auto"/>
          <w:u w:val="none"/>
          <w:lang w:val="en-US" w:eastAsia="zh-CN"/>
        </w:rPr>
        <w:t>5.2-1</w:t>
      </w:r>
      <w:r>
        <w:rPr>
          <w:rFonts w:hint="eastAsia" w:cs="Times New Roman"/>
          <w:color w:val="auto"/>
          <w:u w:val="none"/>
          <w:lang w:val="en-US" w:eastAsia="zh-CN"/>
        </w:rPr>
        <w:t>5</w:t>
      </w:r>
      <w:r>
        <w:rPr>
          <w:rFonts w:hint="default" w:ascii="Times New Roman" w:hAnsi="Times New Roman" w:eastAsia="宋体" w:cs="Times New Roman"/>
          <w:color w:val="auto"/>
          <w:u w:val="none"/>
          <w:lang w:val="en-US"/>
        </w:rPr>
        <w:t>为营田河段在2017年6月和11月断面流速验证结果对比表。</w:t>
      </w:r>
    </w:p>
    <w:p w14:paraId="7722C3C0">
      <w:pPr>
        <w:pStyle w:val="57"/>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表</w:t>
      </w:r>
      <w:r>
        <w:rPr>
          <w:rFonts w:hint="default" w:ascii="Times New Roman" w:hAnsi="Times New Roman" w:eastAsia="宋体"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rPr>
        <w:t>.2-</w:t>
      </w:r>
      <w:r>
        <w:rPr>
          <w:rFonts w:hint="default" w:ascii="Times New Roman" w:hAnsi="Times New Roman" w:eastAsia="宋体" w:cs="Times New Roman"/>
          <w:b/>
          <w:color w:val="auto"/>
          <w:sz w:val="24"/>
          <w:szCs w:val="24"/>
          <w:u w:val="none"/>
          <w:lang w:val="en-US" w:eastAsia="zh-CN"/>
        </w:rPr>
        <w:t>1</w:t>
      </w:r>
      <w:r>
        <w:rPr>
          <w:rFonts w:hint="eastAsia"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rPr>
        <w:t xml:space="preserve"> 营田河段沿程断面流速验证结果表（单位：m/s）</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94"/>
        <w:gridCol w:w="1121"/>
        <w:gridCol w:w="1121"/>
        <w:gridCol w:w="1121"/>
        <w:gridCol w:w="1121"/>
        <w:gridCol w:w="1121"/>
        <w:gridCol w:w="1121"/>
      </w:tblGrid>
      <w:tr w14:paraId="623011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Merge w:val="restart"/>
            <w:noWrap w:val="0"/>
            <w:vAlign w:val="center"/>
          </w:tcPr>
          <w:p w14:paraId="7C3378A5">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位  置</w:t>
            </w:r>
          </w:p>
        </w:tc>
        <w:tc>
          <w:tcPr>
            <w:tcW w:w="2046" w:type="pct"/>
            <w:gridSpan w:val="3"/>
            <w:noWrap w:val="0"/>
            <w:vAlign w:val="center"/>
          </w:tcPr>
          <w:p w14:paraId="3CC39732">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2017年6月</w:t>
            </w:r>
          </w:p>
        </w:tc>
        <w:tc>
          <w:tcPr>
            <w:tcW w:w="2045" w:type="pct"/>
            <w:gridSpan w:val="3"/>
            <w:noWrap w:val="0"/>
            <w:vAlign w:val="center"/>
          </w:tcPr>
          <w:p w14:paraId="6FFFB1CD">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2017年11月</w:t>
            </w:r>
          </w:p>
        </w:tc>
      </w:tr>
      <w:tr w14:paraId="766B47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Merge w:val="continue"/>
            <w:noWrap w:val="0"/>
            <w:vAlign w:val="center"/>
          </w:tcPr>
          <w:p w14:paraId="2BF135E5">
            <w:pPr>
              <w:pStyle w:val="58"/>
              <w:rPr>
                <w:rFonts w:hint="default" w:ascii="Times New Roman" w:hAnsi="Times New Roman" w:eastAsia="宋体" w:cs="Times New Roman"/>
                <w:color w:val="auto"/>
                <w:sz w:val="21"/>
                <w:szCs w:val="21"/>
                <w:u w:val="none"/>
              </w:rPr>
            </w:pPr>
          </w:p>
        </w:tc>
        <w:tc>
          <w:tcPr>
            <w:tcW w:w="682" w:type="pct"/>
            <w:noWrap w:val="0"/>
            <w:vAlign w:val="center"/>
          </w:tcPr>
          <w:p w14:paraId="7E82C3FC">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实测值</w:t>
            </w:r>
          </w:p>
        </w:tc>
        <w:tc>
          <w:tcPr>
            <w:tcW w:w="682" w:type="pct"/>
            <w:noWrap w:val="0"/>
            <w:vAlign w:val="center"/>
          </w:tcPr>
          <w:p w14:paraId="1F67F9FB">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计算值</w:t>
            </w:r>
          </w:p>
        </w:tc>
        <w:tc>
          <w:tcPr>
            <w:tcW w:w="682" w:type="pct"/>
            <w:noWrap w:val="0"/>
            <w:vAlign w:val="center"/>
          </w:tcPr>
          <w:p w14:paraId="443620D7">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误差</w:t>
            </w:r>
          </w:p>
        </w:tc>
        <w:tc>
          <w:tcPr>
            <w:tcW w:w="682" w:type="pct"/>
            <w:noWrap w:val="0"/>
            <w:vAlign w:val="center"/>
          </w:tcPr>
          <w:p w14:paraId="182BC6FD">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实测值</w:t>
            </w:r>
          </w:p>
        </w:tc>
        <w:tc>
          <w:tcPr>
            <w:tcW w:w="682" w:type="pct"/>
            <w:noWrap w:val="0"/>
            <w:vAlign w:val="center"/>
          </w:tcPr>
          <w:p w14:paraId="21225651">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计算值</w:t>
            </w:r>
          </w:p>
        </w:tc>
        <w:tc>
          <w:tcPr>
            <w:tcW w:w="681" w:type="pct"/>
            <w:noWrap w:val="0"/>
            <w:vAlign w:val="center"/>
          </w:tcPr>
          <w:p w14:paraId="74C3A226">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误差</w:t>
            </w:r>
          </w:p>
        </w:tc>
      </w:tr>
      <w:tr w14:paraId="365D02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noWrap w:val="0"/>
            <w:vAlign w:val="center"/>
          </w:tcPr>
          <w:p w14:paraId="7FD65A4C">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682" w:type="pct"/>
            <w:noWrap w:val="0"/>
            <w:vAlign w:val="center"/>
          </w:tcPr>
          <w:p w14:paraId="5C36A03A">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0.42</w:t>
            </w:r>
          </w:p>
        </w:tc>
        <w:tc>
          <w:tcPr>
            <w:tcW w:w="682" w:type="pct"/>
            <w:noWrap w:val="0"/>
            <w:vAlign w:val="center"/>
          </w:tcPr>
          <w:p w14:paraId="62299D85">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0.42</w:t>
            </w:r>
          </w:p>
        </w:tc>
        <w:tc>
          <w:tcPr>
            <w:tcW w:w="682" w:type="pct"/>
            <w:noWrap w:val="0"/>
            <w:vAlign w:val="center"/>
          </w:tcPr>
          <w:p w14:paraId="5BDC868F">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c>
          <w:tcPr>
            <w:tcW w:w="682" w:type="pct"/>
            <w:noWrap w:val="0"/>
            <w:vAlign w:val="center"/>
          </w:tcPr>
          <w:p w14:paraId="1386A5CD">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0.19</w:t>
            </w:r>
          </w:p>
        </w:tc>
        <w:tc>
          <w:tcPr>
            <w:tcW w:w="682" w:type="pct"/>
            <w:noWrap w:val="0"/>
            <w:vAlign w:val="center"/>
          </w:tcPr>
          <w:p w14:paraId="6D025537">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0.18</w:t>
            </w:r>
          </w:p>
        </w:tc>
        <w:tc>
          <w:tcPr>
            <w:tcW w:w="681" w:type="pct"/>
            <w:noWrap w:val="0"/>
            <w:vAlign w:val="center"/>
          </w:tcPr>
          <w:p w14:paraId="0354FE1F">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0.01</w:t>
            </w:r>
          </w:p>
        </w:tc>
      </w:tr>
      <w:tr w14:paraId="142359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noWrap w:val="0"/>
            <w:vAlign w:val="center"/>
          </w:tcPr>
          <w:p w14:paraId="18BAA1F3">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682" w:type="pct"/>
            <w:noWrap w:val="0"/>
            <w:vAlign w:val="center"/>
          </w:tcPr>
          <w:p w14:paraId="34590818">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0.41</w:t>
            </w:r>
          </w:p>
        </w:tc>
        <w:tc>
          <w:tcPr>
            <w:tcW w:w="682" w:type="pct"/>
            <w:noWrap w:val="0"/>
            <w:vAlign w:val="center"/>
          </w:tcPr>
          <w:p w14:paraId="5CB50E83">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0.43</w:t>
            </w:r>
          </w:p>
        </w:tc>
        <w:tc>
          <w:tcPr>
            <w:tcW w:w="682" w:type="pct"/>
            <w:noWrap w:val="0"/>
            <w:vAlign w:val="center"/>
          </w:tcPr>
          <w:p w14:paraId="36127A5F">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-0.02</w:t>
            </w:r>
          </w:p>
        </w:tc>
        <w:tc>
          <w:tcPr>
            <w:tcW w:w="682" w:type="pct"/>
            <w:noWrap w:val="0"/>
            <w:vAlign w:val="center"/>
          </w:tcPr>
          <w:p w14:paraId="225D2A4D">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0.16</w:t>
            </w:r>
          </w:p>
        </w:tc>
        <w:tc>
          <w:tcPr>
            <w:tcW w:w="682" w:type="pct"/>
            <w:noWrap w:val="0"/>
            <w:vAlign w:val="center"/>
          </w:tcPr>
          <w:p w14:paraId="0A07B5C3">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0.16</w:t>
            </w:r>
          </w:p>
        </w:tc>
        <w:tc>
          <w:tcPr>
            <w:tcW w:w="681" w:type="pct"/>
            <w:noWrap w:val="0"/>
            <w:vAlign w:val="center"/>
          </w:tcPr>
          <w:p w14:paraId="30FDC561">
            <w:pPr>
              <w:pStyle w:val="58"/>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w:t>
            </w:r>
          </w:p>
        </w:tc>
      </w:tr>
    </w:tbl>
    <w:p w14:paraId="767C4219">
      <w:pPr>
        <w:pStyle w:val="38"/>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3）分流比验证分析</w:t>
      </w:r>
    </w:p>
    <w:p w14:paraId="431CBD54">
      <w:pPr>
        <w:pStyle w:val="38"/>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表5.2-1</w:t>
      </w:r>
      <w:r>
        <w:rPr>
          <w:rFonts w:hint="eastAsia" w:cs="Times New Roman"/>
          <w:color w:val="auto"/>
          <w:u w:val="none"/>
          <w:lang w:val="en-US" w:eastAsia="zh-CN"/>
        </w:rPr>
        <w:t>6</w:t>
      </w:r>
      <w:r>
        <w:rPr>
          <w:rFonts w:hint="default" w:ascii="Times New Roman" w:hAnsi="Times New Roman" w:eastAsia="宋体" w:cs="Times New Roman"/>
          <w:color w:val="auto"/>
          <w:u w:val="none"/>
          <w:lang w:val="en-US" w:eastAsia="zh-CN"/>
        </w:rPr>
        <w:t>为分流比对比结果。</w:t>
      </w:r>
    </w:p>
    <w:p w14:paraId="0DE7ACEF">
      <w:pPr>
        <w:pStyle w:val="57"/>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表</w:t>
      </w:r>
      <w:r>
        <w:rPr>
          <w:rFonts w:hint="default" w:ascii="Times New Roman" w:hAnsi="Times New Roman" w:eastAsia="宋体"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rPr>
        <w:t>.2-1</w:t>
      </w:r>
      <w:r>
        <w:rPr>
          <w:rFonts w:hint="eastAsia" w:cs="Times New Roman"/>
          <w:b/>
          <w:color w:val="auto"/>
          <w:sz w:val="24"/>
          <w:szCs w:val="24"/>
          <w:u w:val="none"/>
          <w:lang w:val="en-US" w:eastAsia="zh-CN"/>
        </w:rPr>
        <w:t>6</w:t>
      </w:r>
      <w:r>
        <w:rPr>
          <w:rFonts w:hint="default" w:ascii="Times New Roman" w:hAnsi="Times New Roman" w:eastAsia="宋体" w:cs="Times New Roman"/>
          <w:b/>
          <w:color w:val="auto"/>
          <w:sz w:val="24"/>
          <w:szCs w:val="24"/>
          <w:u w:val="none"/>
        </w:rPr>
        <w:t xml:space="preserve">  营田洲分流比验证结果表（单位：%）</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833"/>
        <w:gridCol w:w="1759"/>
        <w:gridCol w:w="1624"/>
        <w:gridCol w:w="2004"/>
      </w:tblGrid>
      <w:tr w14:paraId="553614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pct"/>
            <w:noWrap w:val="0"/>
            <w:vAlign w:val="center"/>
          </w:tcPr>
          <w:p w14:paraId="1AE1F0B3">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时间</w:t>
            </w:r>
          </w:p>
        </w:tc>
        <w:tc>
          <w:tcPr>
            <w:tcW w:w="1070" w:type="pct"/>
            <w:noWrap w:val="0"/>
            <w:vAlign w:val="center"/>
          </w:tcPr>
          <w:p w14:paraId="5B056A51">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左汊实测</w:t>
            </w:r>
          </w:p>
        </w:tc>
        <w:tc>
          <w:tcPr>
            <w:tcW w:w="988" w:type="pct"/>
            <w:noWrap w:val="0"/>
            <w:vAlign w:val="center"/>
          </w:tcPr>
          <w:p w14:paraId="789E2647">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左汊计算</w:t>
            </w:r>
          </w:p>
        </w:tc>
        <w:tc>
          <w:tcPr>
            <w:tcW w:w="1219" w:type="pct"/>
            <w:noWrap w:val="0"/>
            <w:vAlign w:val="center"/>
          </w:tcPr>
          <w:p w14:paraId="3D4BB95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误差</w:t>
            </w:r>
          </w:p>
        </w:tc>
      </w:tr>
      <w:tr w14:paraId="6B7157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pct"/>
            <w:noWrap w:val="0"/>
            <w:vAlign w:val="center"/>
          </w:tcPr>
          <w:p w14:paraId="5D767964">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2017.06.04（7350m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/s）</w:t>
            </w:r>
          </w:p>
        </w:tc>
        <w:tc>
          <w:tcPr>
            <w:tcW w:w="1070" w:type="pct"/>
            <w:noWrap w:val="0"/>
            <w:vAlign w:val="center"/>
          </w:tcPr>
          <w:p w14:paraId="5F61E85C">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68.03</w:t>
            </w:r>
          </w:p>
        </w:tc>
        <w:tc>
          <w:tcPr>
            <w:tcW w:w="988" w:type="pct"/>
            <w:noWrap w:val="0"/>
            <w:vAlign w:val="center"/>
          </w:tcPr>
          <w:p w14:paraId="720F8806">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66.58</w:t>
            </w:r>
          </w:p>
        </w:tc>
        <w:tc>
          <w:tcPr>
            <w:tcW w:w="1219" w:type="pct"/>
            <w:noWrap w:val="0"/>
            <w:vAlign w:val="center"/>
          </w:tcPr>
          <w:p w14:paraId="5882CE72">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1.45</w:t>
            </w:r>
          </w:p>
        </w:tc>
      </w:tr>
      <w:tr w14:paraId="46FC43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pct"/>
            <w:noWrap w:val="0"/>
            <w:vAlign w:val="center"/>
          </w:tcPr>
          <w:p w14:paraId="59D048BE">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2017.11.20（2016m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/s）</w:t>
            </w:r>
          </w:p>
        </w:tc>
        <w:tc>
          <w:tcPr>
            <w:tcW w:w="1070" w:type="pct"/>
            <w:noWrap w:val="0"/>
            <w:vAlign w:val="center"/>
          </w:tcPr>
          <w:p w14:paraId="06CD7115">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68.30</w:t>
            </w:r>
          </w:p>
        </w:tc>
        <w:tc>
          <w:tcPr>
            <w:tcW w:w="988" w:type="pct"/>
            <w:noWrap w:val="0"/>
            <w:vAlign w:val="center"/>
          </w:tcPr>
          <w:p w14:paraId="20DCD68C">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67.64</w:t>
            </w:r>
          </w:p>
        </w:tc>
        <w:tc>
          <w:tcPr>
            <w:tcW w:w="1219" w:type="pct"/>
            <w:noWrap w:val="0"/>
            <w:vAlign w:val="center"/>
          </w:tcPr>
          <w:p w14:paraId="4AB8F450">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0.66</w:t>
            </w:r>
          </w:p>
        </w:tc>
      </w:tr>
    </w:tbl>
    <w:p w14:paraId="2BD16315">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4）数模率定验证计算小结</w:t>
      </w:r>
    </w:p>
    <w:p w14:paraId="494892BE">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数模率定验证结果表明，本报告采用的河道平面二维水流数学模型能较好模拟工程计算河段的水流运动，验证结果与实测情况符合较好，说明该数学模型计算方法可行，参系数取值合理，它可用于计算和分析拟建工程对河道水位及流场的影响。</w:t>
      </w:r>
    </w:p>
    <w:p w14:paraId="485D0973">
      <w:pPr>
        <w:pStyle w:val="38"/>
        <w:ind w:firstLine="480"/>
        <w:outlineLvl w:val="9"/>
        <w:rPr>
          <w:rFonts w:hint="default" w:ascii="Times New Roman" w:hAnsi="Times New Roman" w:eastAsia="宋体" w:cs="Times New Roman"/>
          <w:color w:val="auto"/>
          <w:u w:val="none"/>
          <w:lang w:val="en-US" w:eastAsia="zh-CN"/>
        </w:rPr>
      </w:pPr>
      <w:bookmarkStart w:id="694" w:name="_Toc31975"/>
      <w:r>
        <w:rPr>
          <w:rFonts w:hint="default" w:ascii="Times New Roman" w:hAnsi="Times New Roman" w:eastAsia="宋体" w:cs="Times New Roman"/>
          <w:color w:val="auto"/>
          <w:u w:val="none"/>
          <w:lang w:val="en-US" w:eastAsia="zh-CN"/>
        </w:rPr>
        <w:t>2、工程影响计算分析</w:t>
      </w:r>
      <w:bookmarkEnd w:id="694"/>
    </w:p>
    <w:p w14:paraId="25334EE6">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报告主要通过计算拟建工程兴建前、后河道水位、流场的变化，来评估工程对河道行洪及河势的影响。工程影响计算的范围为营田洲洲头上游至沉沙港附近，长约15km的河段。主要参、系数的取值与数学模型率定验证计算的取值相同。拟建</w:t>
      </w:r>
      <w:r>
        <w:rPr>
          <w:rFonts w:hint="default" w:ascii="Times New Roman" w:hAnsi="Times New Roman" w:eastAsia="宋体" w:cs="Times New Roman"/>
          <w:bCs/>
          <w:color w:val="auto"/>
          <w:u w:val="none"/>
          <w:lang w:val="en-US" w:eastAsia="zh-CN"/>
        </w:rPr>
        <w:t>工程</w:t>
      </w:r>
      <w:r>
        <w:rPr>
          <w:rFonts w:hint="default" w:ascii="Times New Roman" w:hAnsi="Times New Roman" w:eastAsia="宋体" w:cs="Times New Roman"/>
          <w:color w:val="auto"/>
          <w:u w:val="none"/>
          <w:lang w:val="en-US" w:eastAsia="zh-CN"/>
        </w:rPr>
        <w:t>实施后，主要通过改变工程局部河道地形来反映它对河道水位、流速的影响。</w:t>
      </w:r>
    </w:p>
    <w:p w14:paraId="37B2BBD2">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（1）工程计算条件</w:t>
      </w:r>
    </w:p>
    <w:p w14:paraId="382CF91B">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类比</w:t>
      </w:r>
      <w:r>
        <w:rPr>
          <w:rFonts w:hint="default" w:ascii="Times New Roman" w:hAnsi="Times New Roman" w:eastAsia="宋体" w:cs="Times New Roman"/>
          <w:color w:val="auto"/>
          <w:u w:val="none"/>
          <w:lang w:val="en-US"/>
        </w:rPr>
        <w:t>工程位于拟建码头位于位于湖南省汨罗市德科工业园，湘江右岸，上距营田码头约1.8km，距下游推山咀综合码头约1.2km。为评估拟建工程对河道行洪的最不利影响，采用洪水流量和多年平均流量两组计算条件，分别进行拟建工程对河道行洪水位及流速影响的计算分析。</w:t>
      </w:r>
      <w:r>
        <w:rPr>
          <w:rFonts w:hint="default" w:ascii="Times New Roman" w:hAnsi="Times New Roman" w:eastAsia="宋体" w:cs="Times New Roman"/>
          <w:color w:val="auto"/>
          <w:u w:val="none"/>
          <w:lang w:val="en-US" w:eastAsia="zh-CN"/>
        </w:rPr>
        <w:t>模型计算水文条件如表5.2-1</w:t>
      </w:r>
      <w:r>
        <w:rPr>
          <w:rFonts w:hint="eastAsia" w:cs="Times New Roman"/>
          <w:color w:val="auto"/>
          <w:u w:val="none"/>
          <w:lang w:val="en-US" w:eastAsia="zh-CN"/>
        </w:rPr>
        <w:t>7</w:t>
      </w:r>
      <w:r>
        <w:rPr>
          <w:rFonts w:hint="default" w:ascii="Times New Roman" w:hAnsi="Times New Roman" w:eastAsia="宋体" w:cs="Times New Roman"/>
          <w:color w:val="auto"/>
          <w:u w:val="none"/>
          <w:lang w:val="en-US" w:eastAsia="zh-CN"/>
        </w:rPr>
        <w:t>所示。</w:t>
      </w:r>
    </w:p>
    <w:p w14:paraId="6A16A947">
      <w:pPr>
        <w:pStyle w:val="57"/>
        <w:keepNext w:val="0"/>
        <w:keepLines w:val="0"/>
        <w:pageBreakBefore w:val="0"/>
        <w:widowControl w:val="0"/>
        <w:kinsoku/>
        <w:wordWrap/>
        <w:overflowPunct/>
        <w:topLinePunct w:val="0"/>
        <w:autoSpaceDE/>
        <w:autoSpaceDN/>
        <w:bidi w:val="0"/>
        <w:adjustRightInd/>
        <w:snapToGrid w:val="0"/>
        <w:spacing w:before="0" w:line="240" w:lineRule="auto"/>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表</w:t>
      </w:r>
      <w:r>
        <w:rPr>
          <w:rFonts w:hint="default" w:ascii="Times New Roman" w:hAnsi="Times New Roman" w:eastAsia="宋体"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rPr>
        <w:t>.2-1</w:t>
      </w:r>
      <w:r>
        <w:rPr>
          <w:rFonts w:hint="eastAsia" w:cs="Times New Roman"/>
          <w:b/>
          <w:color w:val="auto"/>
          <w:sz w:val="24"/>
          <w:szCs w:val="24"/>
          <w:u w:val="none"/>
          <w:lang w:val="en-US" w:eastAsia="zh-CN"/>
        </w:rPr>
        <w:t>7</w:t>
      </w:r>
      <w:r>
        <w:rPr>
          <w:rFonts w:hint="default" w:ascii="Times New Roman" w:hAnsi="Times New Roman" w:eastAsia="宋体" w:cs="Times New Roman"/>
          <w:b/>
          <w:color w:val="auto"/>
          <w:sz w:val="24"/>
          <w:szCs w:val="24"/>
          <w:u w:val="none"/>
        </w:rPr>
        <w:t xml:space="preserve">  工程计算水流条件表（现状地形条件）</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0"/>
        <w:gridCol w:w="2413"/>
        <w:gridCol w:w="2415"/>
        <w:gridCol w:w="2412"/>
      </w:tblGrid>
      <w:tr w14:paraId="0597E0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6" w:type="pct"/>
            <w:noWrap w:val="0"/>
            <w:vAlign w:val="center"/>
          </w:tcPr>
          <w:p w14:paraId="5E0C0B5F">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序号</w:t>
            </w:r>
          </w:p>
        </w:tc>
        <w:tc>
          <w:tcPr>
            <w:tcW w:w="1468" w:type="pct"/>
            <w:noWrap w:val="0"/>
            <w:vAlign w:val="center"/>
          </w:tcPr>
          <w:p w14:paraId="24FB1B9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水流条件</w:t>
            </w:r>
          </w:p>
        </w:tc>
        <w:tc>
          <w:tcPr>
            <w:tcW w:w="1469" w:type="pct"/>
            <w:noWrap w:val="0"/>
            <w:vAlign w:val="center"/>
          </w:tcPr>
          <w:p w14:paraId="40F22394">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进口总流量(m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/s)</w:t>
            </w:r>
          </w:p>
        </w:tc>
        <w:tc>
          <w:tcPr>
            <w:tcW w:w="1467" w:type="pct"/>
            <w:noWrap w:val="0"/>
            <w:vAlign w:val="center"/>
          </w:tcPr>
          <w:p w14:paraId="447DAC7A">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出口水位*(m，黄海基面)</w:t>
            </w:r>
          </w:p>
        </w:tc>
      </w:tr>
      <w:tr w14:paraId="33BB19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6" w:type="pct"/>
            <w:noWrap w:val="0"/>
            <w:vAlign w:val="center"/>
          </w:tcPr>
          <w:p w14:paraId="7FBC8ADE">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1</w:t>
            </w:r>
          </w:p>
        </w:tc>
        <w:tc>
          <w:tcPr>
            <w:tcW w:w="1468" w:type="pct"/>
            <w:noWrap w:val="0"/>
            <w:vAlign w:val="center"/>
          </w:tcPr>
          <w:p w14:paraId="62D9AE01">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洪水流量</w:t>
            </w:r>
          </w:p>
        </w:tc>
        <w:tc>
          <w:tcPr>
            <w:tcW w:w="1469" w:type="pct"/>
            <w:noWrap w:val="0"/>
            <w:vAlign w:val="center"/>
          </w:tcPr>
          <w:p w14:paraId="7F9E559B">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16600</w:t>
            </w:r>
          </w:p>
        </w:tc>
        <w:tc>
          <w:tcPr>
            <w:tcW w:w="1467" w:type="pct"/>
            <w:noWrap w:val="0"/>
            <w:vAlign w:val="center"/>
          </w:tcPr>
          <w:p w14:paraId="448A2BE6">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33.064</w:t>
            </w:r>
          </w:p>
        </w:tc>
      </w:tr>
      <w:tr w14:paraId="53AA04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6" w:type="pct"/>
            <w:noWrap w:val="0"/>
            <w:vAlign w:val="center"/>
          </w:tcPr>
          <w:p w14:paraId="2BD16703">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w:t>
            </w:r>
          </w:p>
        </w:tc>
        <w:tc>
          <w:tcPr>
            <w:tcW w:w="1468" w:type="pct"/>
            <w:noWrap w:val="0"/>
            <w:vAlign w:val="center"/>
          </w:tcPr>
          <w:p w14:paraId="446876DB">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多年平均流量</w:t>
            </w:r>
          </w:p>
        </w:tc>
        <w:tc>
          <w:tcPr>
            <w:tcW w:w="1469" w:type="pct"/>
            <w:noWrap w:val="0"/>
            <w:vAlign w:val="center"/>
          </w:tcPr>
          <w:p w14:paraId="63AAC587">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7300</w:t>
            </w:r>
          </w:p>
        </w:tc>
        <w:tc>
          <w:tcPr>
            <w:tcW w:w="1467" w:type="pct"/>
            <w:noWrap w:val="0"/>
            <w:vAlign w:val="center"/>
          </w:tcPr>
          <w:p w14:paraId="5678CC09">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24.310</w:t>
            </w:r>
          </w:p>
        </w:tc>
      </w:tr>
    </w:tbl>
    <w:p w14:paraId="3F5DE55D">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（2）工程概化</w:t>
      </w:r>
    </w:p>
    <w:p w14:paraId="7E7160B3">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拟建工程的主要阻水结构为趸船，为使数模计算能反映拟建工程对河道水流的影响，一方面在网格划分时尽可能对工程局部进行网格加密处理，另一方面由于码头平台平面尺寸相对网格尺度仍较小，因此需采用一些概化处理方法来反映工程对河道水流的影响。工程概化的基本原则是使计算结果偏于安全，主要方法为局部糙率修正。</w:t>
      </w:r>
    </w:p>
    <w:p w14:paraId="68E46EB7">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本报告数学模型采用混合网格剖分计算区域，网格大小与形状适应性能强。在布置阻水建筑物局部区域的计算网格时，根据阻水建筑物的位置和形状进行合理剖分，使该区域内网格单元与阻水建筑物在平面上重合；采用局部加密技术以提高阻水建筑物及其附近区域的模拟精度。</w:t>
      </w:r>
    </w:p>
    <w:p w14:paraId="1AEE1A0D">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2）由于阻水建筑物与其范围内的计算网格单元在平面上重合，可直接根据建筑物高度修改相应网格节点的河底高程以反映工程兴建的影响。</w:t>
      </w:r>
    </w:p>
    <w:p w14:paraId="66E81A5F">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（3）工程行洪影响分析</w:t>
      </w:r>
    </w:p>
    <w:p w14:paraId="3BDFD828">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1）水位影响分析</w:t>
      </w:r>
    </w:p>
    <w:p w14:paraId="70043E81">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表5.2-1</w:t>
      </w:r>
      <w:r>
        <w:rPr>
          <w:rFonts w:hint="eastAsia" w:cs="Times New Roman"/>
          <w:color w:val="auto"/>
          <w:u w:val="none"/>
          <w:lang w:val="en-US" w:eastAsia="zh-CN"/>
        </w:rPr>
        <w:t>8</w:t>
      </w:r>
      <w:r>
        <w:rPr>
          <w:rFonts w:hint="default" w:ascii="Times New Roman" w:hAnsi="Times New Roman" w:eastAsia="宋体" w:cs="Times New Roman"/>
          <w:color w:val="auto"/>
          <w:u w:val="none"/>
          <w:lang w:val="en-US" w:eastAsia="zh-CN"/>
        </w:rPr>
        <w:t>为工程后水位最大变化值及主要壅水影响范围统计表。从表中可知，工程对行洪水位的影响较小，壅水影响主要集中在主桥墩上游局部水域内。</w:t>
      </w:r>
    </w:p>
    <w:p w14:paraId="21263932">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在现状地形基础上，遭遇洪水流量条件，壅水最大值约1.1cm，壅水影响（大于0.3cm）主要集中在趸船上游100m，下游40m范围内；遭遇多年平均流量洪水条件，壅水最大值约0.9cm，壅水影响（大于0.3cm）主要集中在趸船上游90m，下游30m范围内。工程下游水位降低，遭遇洪水流量条件，最大降低值约4.1cm，降水影响范围（大于1cm）主要集中在趸船上游110m范围内；遭遇多年平均流量洪水条件，最大降低值约3.7cm，降水影响范围（大于1cm）主要集中在趸船上游100m范围内。</w:t>
      </w:r>
    </w:p>
    <w:p w14:paraId="4C3491E3">
      <w:pPr>
        <w:pStyle w:val="57"/>
        <w:keepNext w:val="0"/>
        <w:keepLines w:val="0"/>
        <w:pageBreakBefore w:val="0"/>
        <w:widowControl w:val="0"/>
        <w:kinsoku/>
        <w:wordWrap/>
        <w:overflowPunct/>
        <w:topLinePunct w:val="0"/>
        <w:autoSpaceDE/>
        <w:autoSpaceDN/>
        <w:bidi w:val="0"/>
        <w:adjustRightInd/>
        <w:snapToGrid w:val="0"/>
        <w:spacing w:before="0" w:line="240" w:lineRule="auto"/>
        <w:ind w:left="0" w:leftChars="0" w:firstLine="0" w:firstLineChars="0"/>
        <w:jc w:val="center"/>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表</w:t>
      </w:r>
      <w:r>
        <w:rPr>
          <w:rFonts w:hint="default" w:ascii="Times New Roman" w:hAnsi="Times New Roman" w:eastAsia="宋体"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rPr>
        <w:t>.2-</w:t>
      </w:r>
      <w:r>
        <w:rPr>
          <w:rFonts w:hint="default" w:ascii="Times New Roman" w:hAnsi="Times New Roman" w:eastAsia="宋体" w:cs="Times New Roman"/>
          <w:b/>
          <w:color w:val="auto"/>
          <w:sz w:val="24"/>
          <w:szCs w:val="24"/>
          <w:u w:val="none"/>
          <w:lang w:val="en-US" w:eastAsia="zh-CN"/>
        </w:rPr>
        <w:t>1</w:t>
      </w:r>
      <w:r>
        <w:rPr>
          <w:rFonts w:hint="eastAsia" w:cs="Times New Roman"/>
          <w:b/>
          <w:color w:val="auto"/>
          <w:sz w:val="24"/>
          <w:szCs w:val="24"/>
          <w:u w:val="none"/>
          <w:lang w:val="en-US" w:eastAsia="zh-CN"/>
        </w:rPr>
        <w:t>8</w:t>
      </w:r>
      <w:r>
        <w:rPr>
          <w:rFonts w:hint="default" w:ascii="Times New Roman" w:hAnsi="Times New Roman" w:eastAsia="宋体" w:cs="Times New Roman"/>
          <w:b/>
          <w:color w:val="auto"/>
          <w:sz w:val="24"/>
          <w:szCs w:val="24"/>
          <w:u w:val="none"/>
        </w:rPr>
        <w:t xml:space="preserve">  工程后水位最大壅高及壅水范围统计表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28"/>
        <w:gridCol w:w="1318"/>
        <w:gridCol w:w="2460"/>
        <w:gridCol w:w="1152"/>
        <w:gridCol w:w="1762"/>
      </w:tblGrid>
      <w:tr w14:paraId="1A789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noWrap w:val="0"/>
            <w:vAlign w:val="center"/>
          </w:tcPr>
          <w:p w14:paraId="11BA7B5B">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洪水条件</w:t>
            </w:r>
          </w:p>
        </w:tc>
        <w:tc>
          <w:tcPr>
            <w:tcW w:w="1318" w:type="dxa"/>
            <w:noWrap w:val="0"/>
            <w:vAlign w:val="center"/>
          </w:tcPr>
          <w:p w14:paraId="5E6FA742">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最大壅高值（cm）</w:t>
            </w:r>
          </w:p>
        </w:tc>
        <w:tc>
          <w:tcPr>
            <w:tcW w:w="2460" w:type="dxa"/>
            <w:noWrap w:val="0"/>
            <w:vAlign w:val="center"/>
          </w:tcPr>
          <w:p w14:paraId="7B2E40D8">
            <w:pPr>
              <w:pStyle w:val="58"/>
              <w:rPr>
                <w:rFonts w:hint="default" w:ascii="Times New Roman" w:hAnsi="Times New Roman" w:eastAsia="宋体" w:cs="Times New Roman"/>
                <w:snapToGrid w:val="0"/>
                <w:color w:val="auto"/>
                <w:sz w:val="21"/>
                <w:szCs w:val="21"/>
                <w:u w:val="none"/>
              </w:rPr>
            </w:pPr>
            <w:bookmarkStart w:id="695" w:name="_Hlk88760062"/>
            <w:r>
              <w:rPr>
                <w:rFonts w:hint="default" w:ascii="Times New Roman" w:hAnsi="Times New Roman" w:eastAsia="宋体" w:cs="Times New Roman"/>
                <w:snapToGrid w:val="0"/>
                <w:color w:val="auto"/>
                <w:sz w:val="21"/>
                <w:szCs w:val="21"/>
                <w:u w:val="none"/>
              </w:rPr>
              <w:t>壅水（大于0.3cm）影响范围</w:t>
            </w:r>
            <w:bookmarkEnd w:id="695"/>
            <w:r>
              <w:rPr>
                <w:rFonts w:hint="default" w:ascii="Times New Roman" w:hAnsi="Times New Roman" w:eastAsia="宋体" w:cs="Times New Roman"/>
                <w:snapToGrid w:val="0"/>
                <w:color w:val="auto"/>
                <w:sz w:val="21"/>
                <w:szCs w:val="21"/>
                <w:u w:val="none"/>
              </w:rPr>
              <w:t>（m）</w:t>
            </w:r>
          </w:p>
        </w:tc>
        <w:tc>
          <w:tcPr>
            <w:tcW w:w="1152" w:type="dxa"/>
            <w:noWrap w:val="0"/>
            <w:vAlign w:val="center"/>
          </w:tcPr>
          <w:p w14:paraId="4BF71890">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最大降低值（cm）</w:t>
            </w:r>
          </w:p>
        </w:tc>
        <w:tc>
          <w:tcPr>
            <w:tcW w:w="1762" w:type="dxa"/>
            <w:noWrap w:val="0"/>
            <w:vAlign w:val="center"/>
          </w:tcPr>
          <w:p w14:paraId="4F87AA63">
            <w:pPr>
              <w:pStyle w:val="58"/>
              <w:rPr>
                <w:rFonts w:hint="default" w:ascii="Times New Roman" w:hAnsi="Times New Roman" w:eastAsia="宋体" w:cs="Times New Roman"/>
                <w:snapToGrid w:val="0"/>
                <w:color w:val="auto"/>
                <w:sz w:val="21"/>
                <w:szCs w:val="21"/>
                <w:u w:val="none"/>
              </w:rPr>
            </w:pPr>
            <w:bookmarkStart w:id="696" w:name="_Hlk88760108"/>
            <w:r>
              <w:rPr>
                <w:rFonts w:hint="default" w:ascii="Times New Roman" w:hAnsi="Times New Roman" w:eastAsia="宋体" w:cs="Times New Roman"/>
                <w:snapToGrid w:val="0"/>
                <w:color w:val="auto"/>
                <w:sz w:val="21"/>
                <w:szCs w:val="21"/>
                <w:u w:val="none"/>
              </w:rPr>
              <w:t>降水（大于1cm）影响范围（m）</w:t>
            </w:r>
            <w:bookmarkEnd w:id="696"/>
          </w:p>
        </w:tc>
      </w:tr>
      <w:tr w14:paraId="248261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noWrap w:val="0"/>
            <w:vAlign w:val="center"/>
          </w:tcPr>
          <w:p w14:paraId="2009F483">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洪水流量</w:t>
            </w:r>
          </w:p>
        </w:tc>
        <w:tc>
          <w:tcPr>
            <w:tcW w:w="1318" w:type="dxa"/>
            <w:noWrap w:val="0"/>
            <w:vAlign w:val="center"/>
          </w:tcPr>
          <w:p w14:paraId="57D2539C">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1.1</w:t>
            </w:r>
          </w:p>
        </w:tc>
        <w:tc>
          <w:tcPr>
            <w:tcW w:w="2460" w:type="dxa"/>
            <w:noWrap w:val="0"/>
            <w:vAlign w:val="center"/>
          </w:tcPr>
          <w:p w14:paraId="6792D49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w:t>
            </w:r>
            <w:r>
              <w:rPr>
                <w:rFonts w:hint="default" w:ascii="Times New Roman" w:hAnsi="Times New Roman" w:eastAsia="宋体" w:cs="Times New Roman"/>
                <w:snapToGrid w:val="0"/>
                <w:color w:val="auto"/>
                <w:sz w:val="21"/>
                <w:szCs w:val="21"/>
                <w:u w:val="none"/>
              </w:rPr>
              <w:t>船上游100m，下游40m</w:t>
            </w:r>
          </w:p>
        </w:tc>
        <w:tc>
          <w:tcPr>
            <w:tcW w:w="1152" w:type="dxa"/>
            <w:noWrap w:val="0"/>
            <w:vAlign w:val="center"/>
          </w:tcPr>
          <w:p w14:paraId="5C9AFD49">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4.1</w:t>
            </w:r>
          </w:p>
        </w:tc>
        <w:tc>
          <w:tcPr>
            <w:tcW w:w="1762" w:type="dxa"/>
            <w:noWrap w:val="0"/>
            <w:vAlign w:val="center"/>
          </w:tcPr>
          <w:p w14:paraId="4E82D889">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w:t>
            </w:r>
            <w:r>
              <w:rPr>
                <w:rFonts w:hint="default" w:ascii="Times New Roman" w:hAnsi="Times New Roman" w:eastAsia="宋体" w:cs="Times New Roman"/>
                <w:snapToGrid w:val="0"/>
                <w:color w:val="auto"/>
                <w:sz w:val="21"/>
                <w:szCs w:val="21"/>
                <w:u w:val="none"/>
              </w:rPr>
              <w:t>船上游110m</w:t>
            </w:r>
          </w:p>
        </w:tc>
      </w:tr>
      <w:tr w14:paraId="15E5BE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noWrap w:val="0"/>
            <w:vAlign w:val="center"/>
          </w:tcPr>
          <w:p w14:paraId="3766C4DC">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多年平均流量</w:t>
            </w:r>
          </w:p>
        </w:tc>
        <w:tc>
          <w:tcPr>
            <w:tcW w:w="1318" w:type="dxa"/>
            <w:noWrap w:val="0"/>
            <w:vAlign w:val="center"/>
          </w:tcPr>
          <w:p w14:paraId="1C2BEA19">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0.9</w:t>
            </w:r>
          </w:p>
        </w:tc>
        <w:tc>
          <w:tcPr>
            <w:tcW w:w="2460" w:type="dxa"/>
            <w:noWrap w:val="0"/>
            <w:vAlign w:val="center"/>
          </w:tcPr>
          <w:p w14:paraId="5289495E">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w:t>
            </w:r>
            <w:r>
              <w:rPr>
                <w:rFonts w:hint="default" w:ascii="Times New Roman" w:hAnsi="Times New Roman" w:eastAsia="宋体" w:cs="Times New Roman"/>
                <w:snapToGrid w:val="0"/>
                <w:color w:val="auto"/>
                <w:sz w:val="21"/>
                <w:szCs w:val="21"/>
                <w:u w:val="none"/>
              </w:rPr>
              <w:t>船上游90m，下游30m</w:t>
            </w:r>
          </w:p>
        </w:tc>
        <w:tc>
          <w:tcPr>
            <w:tcW w:w="1152" w:type="dxa"/>
            <w:noWrap w:val="0"/>
            <w:vAlign w:val="center"/>
          </w:tcPr>
          <w:p w14:paraId="35AB07BA">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3.7</w:t>
            </w:r>
          </w:p>
        </w:tc>
        <w:tc>
          <w:tcPr>
            <w:tcW w:w="1762" w:type="dxa"/>
            <w:noWrap w:val="0"/>
            <w:vAlign w:val="center"/>
          </w:tcPr>
          <w:p w14:paraId="70D33BE4">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w:t>
            </w:r>
            <w:r>
              <w:rPr>
                <w:rFonts w:hint="default" w:ascii="Times New Roman" w:hAnsi="Times New Roman" w:eastAsia="宋体" w:cs="Times New Roman"/>
                <w:snapToGrid w:val="0"/>
                <w:color w:val="auto"/>
                <w:sz w:val="21"/>
                <w:szCs w:val="21"/>
                <w:u w:val="none"/>
              </w:rPr>
              <w:t>船上游100m</w:t>
            </w:r>
          </w:p>
        </w:tc>
      </w:tr>
    </w:tbl>
    <w:p w14:paraId="75DE87BE">
      <w:pPr>
        <w:pStyle w:val="38"/>
        <w:ind w:firstLine="480"/>
        <w:rPr>
          <w:rFonts w:hint="default" w:ascii="Times New Roman" w:hAnsi="Times New Roman" w:eastAsia="宋体" w:cs="Times New Roman"/>
          <w:bCs/>
          <w:color w:val="auto"/>
          <w:u w:val="none"/>
          <w:lang w:val="en-US"/>
        </w:rPr>
      </w:pPr>
      <w:r>
        <w:rPr>
          <w:rFonts w:hint="default" w:ascii="Times New Roman" w:hAnsi="Times New Roman" w:eastAsia="宋体" w:cs="Times New Roman"/>
          <w:bCs/>
          <w:color w:val="auto"/>
          <w:u w:val="none"/>
          <w:lang w:val="en-US"/>
        </w:rPr>
        <w:t>2）工程对流速影响分析</w:t>
      </w:r>
    </w:p>
    <w:p w14:paraId="4964F803">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表</w:t>
      </w:r>
      <w:r>
        <w:rPr>
          <w:rFonts w:hint="default" w:ascii="Times New Roman" w:hAnsi="Times New Roman" w:eastAsia="宋体" w:cs="Times New Roman"/>
          <w:color w:val="auto"/>
          <w:u w:val="none"/>
          <w:lang w:val="en-US" w:eastAsia="zh-CN"/>
        </w:rPr>
        <w:t>5.2-1</w:t>
      </w:r>
      <w:r>
        <w:rPr>
          <w:rFonts w:hint="eastAsia" w:cs="Times New Roman"/>
          <w:color w:val="auto"/>
          <w:u w:val="none"/>
          <w:lang w:val="en-US" w:eastAsia="zh-CN"/>
        </w:rPr>
        <w:t>9</w:t>
      </w:r>
      <w:r>
        <w:rPr>
          <w:rFonts w:hint="default" w:ascii="Times New Roman" w:hAnsi="Times New Roman" w:eastAsia="宋体" w:cs="Times New Roman"/>
          <w:color w:val="auto"/>
          <w:u w:val="none"/>
          <w:lang w:val="en-US"/>
        </w:rPr>
        <w:t>为工程后流速最大变化值及主要影响范围统计表。由表可知，</w:t>
      </w:r>
      <w:bookmarkStart w:id="697" w:name="_Hlk88752554"/>
      <w:r>
        <w:rPr>
          <w:rFonts w:hint="default" w:ascii="Times New Roman" w:hAnsi="Times New Roman" w:eastAsia="宋体" w:cs="Times New Roman"/>
          <w:color w:val="auto"/>
          <w:u w:val="none"/>
          <w:lang w:val="en-US"/>
        </w:rPr>
        <w:t>工程后趸船占用了部分河道过水面积，使得工程河段流速、流态发生了一定的变化，流速变化主要集中在工程所在局部水域，工程后的流向变化一般在±1°以内。</w:t>
      </w:r>
    </w:p>
    <w:bookmarkEnd w:id="697"/>
    <w:p w14:paraId="0DCE6CD5">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在现状地形基础上，遭遇洪水流量条件，工程后流速最大减小约0.1m/s，流速增大有限，最大增加值约0.02m/s，流速变化主要影响范围局限于趸船上游70m，下游40m范围内；多年平均流量条件时，工程后流速最大减小约0.08m/s，流速增大有限，最大增加值约0.005m/s，流速变化主要影响范围局限于趸船上游120m，下游60m范围内。</w:t>
      </w:r>
    </w:p>
    <w:p w14:paraId="6CF6E7DC">
      <w:pPr>
        <w:pStyle w:val="57"/>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表</w:t>
      </w:r>
      <w:r>
        <w:rPr>
          <w:rFonts w:hint="default" w:ascii="Times New Roman" w:hAnsi="Times New Roman" w:eastAsia="宋体" w:cs="Times New Roman"/>
          <w:b/>
          <w:color w:val="auto"/>
          <w:sz w:val="24"/>
          <w:szCs w:val="24"/>
          <w:u w:val="none"/>
          <w:lang w:val="en-US" w:eastAsia="zh-CN"/>
        </w:rPr>
        <w:t>5</w:t>
      </w:r>
      <w:r>
        <w:rPr>
          <w:rFonts w:hint="default" w:ascii="Times New Roman" w:hAnsi="Times New Roman" w:eastAsia="宋体" w:cs="Times New Roman"/>
          <w:b/>
          <w:color w:val="auto"/>
          <w:sz w:val="24"/>
          <w:szCs w:val="24"/>
          <w:u w:val="none"/>
          <w:lang w:eastAsia="zh-CN"/>
        </w:rPr>
        <w:t>.2-1</w:t>
      </w:r>
      <w:r>
        <w:rPr>
          <w:rFonts w:hint="eastAsia" w:cs="Times New Roman"/>
          <w:b/>
          <w:color w:val="auto"/>
          <w:sz w:val="24"/>
          <w:szCs w:val="24"/>
          <w:u w:val="none"/>
          <w:lang w:val="en-US" w:eastAsia="zh-CN"/>
        </w:rPr>
        <w:t>9</w:t>
      </w:r>
      <w:r>
        <w:rPr>
          <w:rFonts w:hint="default" w:ascii="Times New Roman" w:hAnsi="Times New Roman" w:eastAsia="宋体" w:cs="Times New Roman"/>
          <w:b/>
          <w:color w:val="auto"/>
          <w:sz w:val="24"/>
          <w:szCs w:val="24"/>
          <w:u w:val="none"/>
        </w:rPr>
        <w:t xml:space="preserve">  工程后流速最大变化值及影响范围统计表</w:t>
      </w:r>
    </w:p>
    <w:tbl>
      <w:tblPr>
        <w:tblStyle w:val="29"/>
        <w:tblW w:w="82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78"/>
        <w:gridCol w:w="2024"/>
        <w:gridCol w:w="2065"/>
        <w:gridCol w:w="2653"/>
      </w:tblGrid>
      <w:tr w14:paraId="1EB614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9" w:type="pct"/>
            <w:noWrap w:val="0"/>
            <w:vAlign w:val="center"/>
          </w:tcPr>
          <w:p w14:paraId="0C30DDA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洪水条件</w:t>
            </w:r>
          </w:p>
        </w:tc>
        <w:tc>
          <w:tcPr>
            <w:tcW w:w="1231" w:type="pct"/>
            <w:noWrap w:val="0"/>
            <w:vAlign w:val="center"/>
          </w:tcPr>
          <w:p w14:paraId="0B8662A3">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主河槽最大</w:t>
            </w:r>
          </w:p>
          <w:p w14:paraId="593249CC">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增加值(m/s)</w:t>
            </w:r>
          </w:p>
        </w:tc>
        <w:tc>
          <w:tcPr>
            <w:tcW w:w="1256" w:type="pct"/>
            <w:noWrap w:val="0"/>
            <w:vAlign w:val="center"/>
          </w:tcPr>
          <w:p w14:paraId="0E0E9550">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工程部位最大</w:t>
            </w:r>
          </w:p>
          <w:p w14:paraId="5309B8B0">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减小值(m/s)</w:t>
            </w:r>
          </w:p>
        </w:tc>
        <w:tc>
          <w:tcPr>
            <w:tcW w:w="1614" w:type="pct"/>
            <w:noWrap w:val="0"/>
            <w:vAlign w:val="center"/>
          </w:tcPr>
          <w:p w14:paraId="65419A25">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流速变化主要</w:t>
            </w:r>
          </w:p>
          <w:p w14:paraId="27086234">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影响范围(m)</w:t>
            </w:r>
          </w:p>
        </w:tc>
      </w:tr>
      <w:tr w14:paraId="631142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9" w:type="pct"/>
            <w:noWrap w:val="0"/>
            <w:vAlign w:val="center"/>
          </w:tcPr>
          <w:p w14:paraId="501F238F">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洪水流量</w:t>
            </w:r>
          </w:p>
        </w:tc>
        <w:tc>
          <w:tcPr>
            <w:tcW w:w="1231" w:type="pct"/>
            <w:noWrap w:val="0"/>
            <w:vAlign w:val="center"/>
          </w:tcPr>
          <w:p w14:paraId="1C4F7308">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0.02</w:t>
            </w:r>
          </w:p>
        </w:tc>
        <w:tc>
          <w:tcPr>
            <w:tcW w:w="1256" w:type="pct"/>
            <w:noWrap w:val="0"/>
            <w:vAlign w:val="center"/>
          </w:tcPr>
          <w:p w14:paraId="4651191E">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0.1</w:t>
            </w:r>
          </w:p>
        </w:tc>
        <w:tc>
          <w:tcPr>
            <w:tcW w:w="1614" w:type="pct"/>
            <w:noWrap w:val="0"/>
            <w:vAlign w:val="center"/>
          </w:tcPr>
          <w:p w14:paraId="4A8D8973">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趸船上游70m，下游40m</w:t>
            </w:r>
          </w:p>
        </w:tc>
      </w:tr>
      <w:tr w14:paraId="31F485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9" w:type="pct"/>
            <w:noWrap w:val="0"/>
            <w:vAlign w:val="center"/>
          </w:tcPr>
          <w:p w14:paraId="1023DD62">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多年平均流量</w:t>
            </w:r>
          </w:p>
        </w:tc>
        <w:tc>
          <w:tcPr>
            <w:tcW w:w="1231" w:type="pct"/>
            <w:noWrap w:val="0"/>
            <w:vAlign w:val="center"/>
          </w:tcPr>
          <w:p w14:paraId="1E83CF8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0.005</w:t>
            </w:r>
          </w:p>
        </w:tc>
        <w:tc>
          <w:tcPr>
            <w:tcW w:w="1256" w:type="pct"/>
            <w:noWrap w:val="0"/>
            <w:vAlign w:val="center"/>
          </w:tcPr>
          <w:p w14:paraId="2E856AAD">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0.08</w:t>
            </w:r>
          </w:p>
        </w:tc>
        <w:tc>
          <w:tcPr>
            <w:tcW w:w="1614" w:type="pct"/>
            <w:noWrap w:val="0"/>
            <w:vAlign w:val="center"/>
          </w:tcPr>
          <w:p w14:paraId="53015A86">
            <w:pPr>
              <w:pStyle w:val="58"/>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color w:val="auto"/>
                <w:sz w:val="21"/>
                <w:szCs w:val="21"/>
                <w:u w:val="none"/>
              </w:rPr>
              <w:t>趸船上游120m，下游60m</w:t>
            </w:r>
          </w:p>
        </w:tc>
      </w:tr>
    </w:tbl>
    <w:p w14:paraId="746ADDBF">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（4）洪水计算小结</w:t>
      </w:r>
    </w:p>
    <w:p w14:paraId="68B7C55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1）平面二维水流数学模型基于正交曲线坐标系，数值离散采用有限体积法，离散方程的求解基于SIMPLC算法。</w:t>
      </w:r>
    </w:p>
    <w:p w14:paraId="067A279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2）综合考虑河势、工程研究内容以及水文资料等因素，二维数模计算河段范围选取为：营田洲洲头上游至沉沙港附近，长约15km的河段。</w:t>
      </w:r>
    </w:p>
    <w:p w14:paraId="59B0DFF2">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3）验证计算结果表明，报告所采用的平面二维水流数学模型，较好地模拟了计算河段的水流运动状态，模型率定、验证较好，参、系数取值合理。</w:t>
      </w:r>
    </w:p>
    <w:p w14:paraId="5430E3B9">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4）模型选取了现状地形条件下洪水流量和多年平均流量2组流条件，计算分析了拟建工程对河道水位、流速场的影响。</w:t>
      </w:r>
    </w:p>
    <w:p w14:paraId="0DC3E1C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5）数学模型计算分析结果表明，遭遇洪水流量条件，壅水最大值约1.1cm，壅水影响（大于0.3cm）主要集中在趸船上游100m，下游40m范围内；遭遇多年平均流量洪水条件，壅水最大值约0.9cm，壅水影响（大于0.3cm）主要集中在趸船上游90m，下游30m范围内。工程下游水位降低，遭遇洪水流量条件，最大降低值约4.1cm，降水影响范围（大于1cm）主要集中在趸船上游110m范围内；遭遇多年平均流量洪水条件，最大降低值约3.7cm，降水影响范围（大于1cm）主要集中在趸船上游100m范围内。</w:t>
      </w:r>
    </w:p>
    <w:p w14:paraId="5B01BCC1">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在现状地形基础上，遭遇洪水流量条件，工程后流速最大减小约0.1m/s，流速增大有限，最大增加值约0.02m/s，流速变化主要影响范围局限于趸船上游70m，下游40m范围内；多年平均流量条件时，工程后流速最大减小约0.08m/s，流速增大有限，最大增加值约0.005m/s，流速变化主要影响范围局限于趸船上游120m，下游60m范围内。</w:t>
      </w:r>
    </w:p>
    <w:p w14:paraId="66589664">
      <w:pPr>
        <w:pStyle w:val="38"/>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6）由以上对工程前后水位、流速的变化分析可知，工程对河道水位流场的影响均不大、影响范围有限，对河道断面流速分布及河道主流线无影响。因为工程兴建后，不会对本河段行洪带来不利影响</w:t>
      </w:r>
    </w:p>
    <w:p w14:paraId="24800EDE">
      <w:pPr>
        <w:pStyle w:val="38"/>
        <w:ind w:firstLine="480"/>
        <w:outlineLvl w:val="9"/>
        <w:rPr>
          <w:rFonts w:hint="default" w:ascii="Times New Roman" w:hAnsi="Times New Roman" w:eastAsia="宋体" w:cs="Times New Roman"/>
          <w:color w:val="auto"/>
          <w:u w:val="none"/>
          <w:lang w:val="en-US" w:eastAsia="zh-CN"/>
        </w:rPr>
      </w:pPr>
      <w:bookmarkStart w:id="698" w:name="_Toc31237"/>
      <w:r>
        <w:rPr>
          <w:rFonts w:hint="default" w:ascii="Times New Roman" w:hAnsi="Times New Roman" w:eastAsia="宋体" w:cs="Times New Roman"/>
          <w:color w:val="auto"/>
          <w:u w:val="none"/>
          <w:lang w:val="en-US" w:eastAsia="zh-CN"/>
        </w:rPr>
        <w:t>3、结论</w:t>
      </w:r>
      <w:bookmarkEnd w:id="698"/>
    </w:p>
    <w:p w14:paraId="1F09F708">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1）平面二维水流数学模型基于正交曲线坐标系，数值离散采用有限体积法，离散方程的求解基于SIMPLC算法。综合考虑河势、工程研究内容以及水文资料等因素，二维数模计算河段范围选取为：营田洲洲头上游至沉沙港附近，长约15km的河段。验证计算结果表明，报告所采用的平面二维水流数学模型，较好地模拟了计算河段的水流运动状态，模型率定、验证较好，参、系数取值合理。</w:t>
      </w:r>
    </w:p>
    <w:p w14:paraId="73043A0E">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2）选取了现状地形条件下洪水流量和多年平均流量2组流条件，计算分析了拟建工程对河道水位、流速场的影响。数学模型计算分析结果表明，遭遇洪水流量条件，壅水最大值约1.1cm，壅水影响（大于0.3cm）主要集中在趸船上游100m，下游40m范围内；遭遇多年平均流量洪水条件，壅水最大值约0.9cm，壅水影响（大于0.3cm）主要集中在趸船上游90m，下游30m范围内。工程下游水位降低，遭遇洪水流量条件，最大降低值约4.1cm，降水影响范围（大于1cm）主要集中在趸船上游110m范围内；遭遇多年平均流量洪水条件，最大降低值约3.7cm，降水影响范围（大于1cm）主要集中在趸船上游100m范围内。</w:t>
      </w:r>
    </w:p>
    <w:p w14:paraId="2A61634D">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在现状地形基础上，遭遇洪水流量条件，工程后流速最大减小约0.1m/s，流速增大有限，最大增加值约0.02m/s，流速变化主要影响范围局限于趸船上游70m，下游40m范围内；多年平均流量条件时，工程后流速最大减小约0.08m/s，流速增大有限，最大增加值约0.005m/s，流速变化主要影响范围局限于趸船上游120m，下游60m范围内。</w:t>
      </w:r>
    </w:p>
    <w:p w14:paraId="3DE1D4A0">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（3）平面二维水流数学模型计算结果表明，工程对河道水位流场的影响均不大、影响范围有限，对河道断面流速分布及河道主流线无影响。因此，工程兴建后，不会对本河段行洪带来不利影响。</w:t>
      </w:r>
    </w:p>
    <w:p w14:paraId="7A13F755">
      <w:pPr>
        <w:pStyle w:val="38"/>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rPr>
        <w:t>（4）码头提质改造后，在不同工况下均能保持稳定，当考虑水位骤降的最不利工况时，岸坡安全系数仍满足规范要求，可根据工程实际情况，对岸坡进行加固处理。本报告计算的是码头提质后岸坡的渗流状态。施工过程中应采取可靠的措施，防止开挖面土体坍塌和渗透破坏，保障堤防工程的安全。</w:t>
      </w:r>
    </w:p>
    <w:p w14:paraId="656A1BC1">
      <w:pPr>
        <w:pStyle w:val="38"/>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u w:val="none"/>
          <w:lang w:val="en-US"/>
        </w:rPr>
        <w:t>（5）本次计算的模拟是基于假设条件，工程建设应保障土体与建筑物的良好接触，避免裂缝的存在，汛期应重点巡视建筑物与周边土体接触部位，一旦发</w:t>
      </w:r>
      <w:r>
        <w:rPr>
          <w:rFonts w:hint="default" w:ascii="Times New Roman" w:hAnsi="Times New Roman" w:eastAsia="宋体" w:cs="Times New Roman"/>
          <w:color w:val="auto"/>
          <w:sz w:val="24"/>
          <w:szCs w:val="24"/>
          <w:u w:val="none"/>
          <w:lang w:val="en-US"/>
        </w:rPr>
        <w:t>现裂缝或接触冲刷迹象，应立即处置，以确保岸坡安全。</w:t>
      </w:r>
    </w:p>
    <w:p w14:paraId="5F80C649">
      <w:pPr>
        <w:pStyle w:val="38"/>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（6）根据同类工程的分析可知，本项目的建设，</w:t>
      </w:r>
      <w:r>
        <w:rPr>
          <w:rFonts w:hint="default" w:ascii="Times New Roman" w:hAnsi="Times New Roman" w:eastAsia="宋体" w:cs="Times New Roman"/>
          <w:color w:val="auto"/>
          <w:u w:val="none"/>
          <w:lang w:val="en-US"/>
        </w:rPr>
        <w:t>不会对本河段行洪带来不利影响。</w:t>
      </w:r>
    </w:p>
    <w:p w14:paraId="680931FD">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699" w:name="_Toc116111715"/>
      <w:bookmarkStart w:id="700" w:name="_Toc19338"/>
      <w:bookmarkStart w:id="701" w:name="_Toc16568"/>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.3对东洞庭湖江豚自然保护区环境影响分析</w:t>
      </w:r>
      <w:bookmarkEnd w:id="699"/>
      <w:bookmarkEnd w:id="700"/>
      <w:bookmarkEnd w:id="701"/>
    </w:p>
    <w:p w14:paraId="4A40F295">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bookmarkStart w:id="702" w:name="_Toc19523"/>
      <w:bookmarkStart w:id="703" w:name="_Toc25570"/>
      <w:r>
        <w:rPr>
          <w:rFonts w:hint="default" w:ascii="Times New Roman" w:hAnsi="Times New Roman" w:eastAsia="宋体" w:cs="Times New Roman"/>
          <w:color w:val="auto"/>
          <w:sz w:val="24"/>
          <w:szCs w:val="24"/>
          <w:u w:val="none" w:color="auto"/>
          <w:lang w:val="en-US" w:eastAsia="zh-CN"/>
        </w:rPr>
        <w:t xml:space="preserve">5.3.1 </w:t>
      </w:r>
      <w:r>
        <w:rPr>
          <w:rFonts w:hint="default" w:ascii="Times New Roman" w:hAnsi="Times New Roman" w:eastAsia="宋体" w:cs="Times New Roman"/>
          <w:color w:val="auto"/>
          <w:sz w:val="24"/>
          <w:szCs w:val="24"/>
          <w:u w:val="none" w:color="auto"/>
        </w:rPr>
        <w:t>对生态系统的影响评价</w:t>
      </w:r>
      <w:bookmarkEnd w:id="702"/>
      <w:bookmarkEnd w:id="703"/>
    </w:p>
    <w:p w14:paraId="4546CBFD">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5.3.1.1</w:t>
      </w:r>
      <w:r>
        <w:rPr>
          <w:rFonts w:hint="default" w:ascii="Times New Roman" w:hAnsi="Times New Roman" w:eastAsia="宋体" w:cs="Times New Roman"/>
          <w:color w:val="auto"/>
          <w:sz w:val="24"/>
          <w:szCs w:val="24"/>
          <w:u w:val="none" w:color="auto"/>
        </w:rPr>
        <w:t>生态系统类型及特有程度</w:t>
      </w:r>
    </w:p>
    <w:p w14:paraId="1AAFA41E">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生态系统类型主要包括农田生态系统和湿地（湖泊）生态系统。其中农田生态系统包括水田和旱地，主要种植水稻、棉花、蔬菜等作物，生态系统结构简单。农田中穿插着大量民房、高速公路与国道，人类活动频繁，无重点保护物种在此区域活动。湿地生态系统主要为</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河岸区。但与湖南东洞庭湖主湖区相比，由于河岸区大规模的行船使得周边湿地植物种类较少，水生动物种类也较为单一。因此，评价区范围内的生态系统属于人类活动强烈干扰下的生态系统，且结构较为简单，在</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中下游沿岸具有普遍性。</w:t>
      </w:r>
    </w:p>
    <w:p w14:paraId="3DFADAC5">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5.3.1.2 </w:t>
      </w:r>
      <w:r>
        <w:rPr>
          <w:rFonts w:hint="default" w:ascii="Times New Roman" w:hAnsi="Times New Roman" w:eastAsia="宋体" w:cs="Times New Roman"/>
          <w:color w:val="auto"/>
          <w:sz w:val="24"/>
          <w:szCs w:val="24"/>
          <w:u w:val="none" w:color="auto"/>
        </w:rPr>
        <w:t>生态系统类型面积</w:t>
      </w:r>
    </w:p>
    <w:p w14:paraId="71C9028C">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鹿角交通渔政综合执法码头</w:t>
      </w:r>
      <w:r>
        <w:rPr>
          <w:rFonts w:hint="default" w:ascii="Times New Roman" w:hAnsi="Times New Roman" w:eastAsia="宋体" w:cs="Times New Roman"/>
          <w:color w:val="auto"/>
          <w:sz w:val="24"/>
          <w:szCs w:val="24"/>
          <w:u w:val="none" w:color="auto"/>
        </w:rPr>
        <w:t>在保护区不征地，但占用</w:t>
      </w:r>
      <w:r>
        <w:rPr>
          <w:rFonts w:hint="default" w:ascii="Times New Roman" w:hAnsi="Times New Roman" w:eastAsia="宋体" w:cs="Times New Roman"/>
          <w:color w:val="auto"/>
          <w:sz w:val="24"/>
          <w:szCs w:val="24"/>
          <w:u w:val="none" w:color="auto"/>
          <w:lang w:val="en-US" w:eastAsia="zh-CN"/>
        </w:rPr>
        <w:t>湘</w:t>
      </w:r>
      <w:r>
        <w:rPr>
          <w:rFonts w:hint="default" w:ascii="Times New Roman" w:hAnsi="Times New Roman" w:eastAsia="宋体" w:cs="Times New Roman"/>
          <w:color w:val="auto"/>
          <w:sz w:val="24"/>
          <w:szCs w:val="24"/>
          <w:u w:val="none" w:color="auto"/>
        </w:rPr>
        <w:t>江岸线，占用保护区总面积不到0.01%。周边人类活动频繁。该</w:t>
      </w:r>
      <w:r>
        <w:rPr>
          <w:rFonts w:hint="default" w:ascii="Times New Roman" w:hAnsi="Times New Roman" w:eastAsia="宋体" w:cs="Times New Roman"/>
          <w:color w:val="auto"/>
          <w:sz w:val="24"/>
          <w:szCs w:val="24"/>
          <w:u w:val="none" w:color="auto"/>
          <w:lang w:val="en-US" w:eastAsia="zh-CN"/>
        </w:rPr>
        <w:t>码头提质改造</w:t>
      </w:r>
      <w:r>
        <w:rPr>
          <w:rFonts w:hint="default" w:ascii="Times New Roman" w:hAnsi="Times New Roman" w:eastAsia="宋体" w:cs="Times New Roman"/>
          <w:color w:val="auto"/>
          <w:sz w:val="24"/>
          <w:szCs w:val="24"/>
          <w:u w:val="none" w:color="auto"/>
        </w:rPr>
        <w:t>占用水域占评价区水域面积的0.</w:t>
      </w:r>
      <w:r>
        <w:rPr>
          <w:rFonts w:hint="default" w:ascii="Times New Roman" w:hAnsi="Times New Roman" w:eastAsia="宋体" w:cs="Times New Roman"/>
          <w:color w:val="auto"/>
          <w:sz w:val="24"/>
          <w:szCs w:val="24"/>
          <w:u w:val="none" w:color="auto"/>
          <w:lang w:val="en-US" w:eastAsia="zh-CN"/>
        </w:rPr>
        <w:t>01</w:t>
      </w:r>
      <w:r>
        <w:rPr>
          <w:rFonts w:hint="default" w:ascii="Times New Roman" w:hAnsi="Times New Roman" w:eastAsia="宋体" w:cs="Times New Roman"/>
          <w:color w:val="auto"/>
          <w:sz w:val="24"/>
          <w:szCs w:val="24"/>
          <w:u w:val="none" w:color="auto"/>
        </w:rPr>
        <w:t>%，占保护区水域面积的0.005%。因此，</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占用保护区各类型生态系统面积比例很小，对其影响也较小。</w:t>
      </w:r>
    </w:p>
    <w:p w14:paraId="5522E3CC">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lang w:val="en-US" w:eastAsia="zh-CN"/>
        </w:rPr>
        <w:t xml:space="preserve">5.3.1.3 </w:t>
      </w:r>
      <w:r>
        <w:rPr>
          <w:rFonts w:hint="default" w:ascii="Times New Roman" w:hAnsi="Times New Roman" w:eastAsia="宋体" w:cs="Times New Roman"/>
          <w:b/>
          <w:bCs/>
          <w:color w:val="auto"/>
          <w:sz w:val="24"/>
          <w:szCs w:val="24"/>
          <w:u w:val="none" w:color="auto"/>
        </w:rPr>
        <w:t>生态系统斑块数量</w:t>
      </w:r>
    </w:p>
    <w:p w14:paraId="1E340A0B">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由于</w:t>
      </w:r>
      <w:r>
        <w:rPr>
          <w:rFonts w:hint="default" w:ascii="Times New Roman" w:hAnsi="Times New Roman" w:eastAsia="宋体" w:cs="Times New Roman"/>
          <w:color w:val="auto"/>
          <w:sz w:val="24"/>
          <w:szCs w:val="24"/>
          <w:u w:val="none" w:color="auto"/>
          <w:lang w:val="en-US" w:eastAsia="zh-CN"/>
        </w:rPr>
        <w:t>鹿角交通渔政综合执法码头</w:t>
      </w:r>
      <w:r>
        <w:rPr>
          <w:rFonts w:hint="default" w:ascii="Times New Roman" w:hAnsi="Times New Roman" w:eastAsia="宋体" w:cs="Times New Roman"/>
          <w:color w:val="auto"/>
          <w:sz w:val="24"/>
          <w:szCs w:val="24"/>
          <w:u w:val="none" w:color="auto"/>
        </w:rPr>
        <w:t>属于栈桥结构支撑的线性工程，离湖面常水位净高超过2m，工程并不直接切断评价区范围内的湿地</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水生</w:t>
      </w:r>
      <w:r>
        <w:rPr>
          <w:rFonts w:hint="default" w:ascii="Times New Roman" w:hAnsi="Times New Roman" w:eastAsia="宋体" w:cs="Times New Roman"/>
          <w:color w:val="auto"/>
          <w:sz w:val="24"/>
          <w:szCs w:val="24"/>
          <w:u w:val="none" w:color="auto"/>
        </w:rPr>
        <w:t>生态系统连通性，也就是</w:t>
      </w:r>
      <w:r>
        <w:rPr>
          <w:rFonts w:hint="default" w:ascii="Times New Roman" w:hAnsi="Times New Roman" w:eastAsia="宋体" w:cs="Times New Roman"/>
          <w:color w:val="auto"/>
          <w:sz w:val="24"/>
          <w:szCs w:val="24"/>
          <w:u w:val="none" w:color="auto"/>
          <w:lang w:val="en-US" w:eastAsia="zh-CN"/>
        </w:rPr>
        <w:t>码头提质改造</w:t>
      </w:r>
      <w:r>
        <w:rPr>
          <w:rFonts w:hint="default" w:ascii="Times New Roman" w:hAnsi="Times New Roman" w:eastAsia="宋体" w:cs="Times New Roman"/>
          <w:color w:val="auto"/>
          <w:sz w:val="24"/>
          <w:szCs w:val="24"/>
          <w:u w:val="none" w:color="auto"/>
        </w:rPr>
        <w:t>并不明显增加生态系统斑块。因此，</w:t>
      </w:r>
      <w:r>
        <w:rPr>
          <w:rFonts w:hint="default" w:ascii="Times New Roman" w:hAnsi="Times New Roman" w:eastAsia="宋体" w:cs="Times New Roman"/>
          <w:color w:val="auto"/>
          <w:sz w:val="24"/>
          <w:szCs w:val="24"/>
          <w:u w:val="none" w:color="auto"/>
          <w:lang w:val="en-US" w:eastAsia="zh-CN"/>
        </w:rPr>
        <w:t>码头提质改造项目</w:t>
      </w:r>
      <w:r>
        <w:rPr>
          <w:rFonts w:hint="default" w:ascii="Times New Roman" w:hAnsi="Times New Roman" w:eastAsia="宋体" w:cs="Times New Roman"/>
          <w:color w:val="auto"/>
          <w:sz w:val="24"/>
          <w:szCs w:val="24"/>
          <w:u w:val="none" w:color="auto"/>
        </w:rPr>
        <w:t>对生态系统斑块数量变化影响很小。</w:t>
      </w:r>
    </w:p>
    <w:p w14:paraId="7EE568E8">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val="en-US" w:eastAsia="zh-CN"/>
        </w:rPr>
        <w:t xml:space="preserve">5.3.1.4 </w:t>
      </w:r>
      <w:r>
        <w:rPr>
          <w:rFonts w:hint="default" w:ascii="Times New Roman" w:hAnsi="Times New Roman" w:eastAsia="宋体" w:cs="Times New Roman"/>
          <w:color w:val="auto"/>
          <w:sz w:val="24"/>
          <w:szCs w:val="24"/>
          <w:u w:val="none" w:color="auto"/>
          <w:lang w:eastAsia="zh-CN"/>
        </w:rPr>
        <w:t>对生态系统稳定性的影响</w:t>
      </w:r>
    </w:p>
    <w:p w14:paraId="041BFD07">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04" w:name="_Toc32087"/>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恢复稳定性</w:t>
      </w:r>
      <w:bookmarkEnd w:id="704"/>
    </w:p>
    <w:p w14:paraId="4B394A56">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自然生态系统的恢复稳定性，可根据植被净生产力的多少衡量，如果植被净生产力高，则其恢复稳定性强，反之则弱。</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建设过程中，不占用土地，不改变用地类型，因此</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对生态系统的恢复稳定性无明显的影响。</w:t>
      </w:r>
    </w:p>
    <w:p w14:paraId="0911109B">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05" w:name="_Toc13136"/>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阻抗稳定性</w:t>
      </w:r>
      <w:bookmarkEnd w:id="705"/>
    </w:p>
    <w:p w14:paraId="3F8F6874">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自然系统的阻抗稳定性是由系统中生物组分异质性的高低决定的。异质性是指一个区域里（景观或生态系统）对一个种或更高级的生物组织的存在起决定作用的资源（或某种性质）在空间或时间上的变异程度（或强度）。由于异质性的组分具有不同的生态位，给动物和植物的栖息、移动以及抵御内外干扰提供了复杂和微妙的相应利用关系。另一方面，异质化程度高的自然系统，当某一拼块形成干扰源时，相邻的异质性组分就成为了干扰的阻断，从而达到增强生态体系抗御内外干扰的作用，有利于体系生态稳定性的提高。</w:t>
      </w:r>
    </w:p>
    <w:p w14:paraId="5A4D7FC3">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评价区内用地类型为水域，工程建成和运营后，作为模地的水域未发生变化，因此，</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建设对区域自然体系的景观异质化程度和阻抗能力影响不大。</w:t>
      </w:r>
    </w:p>
    <w:p w14:paraId="00D147A8">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5.3.1.5 </w:t>
      </w:r>
      <w:r>
        <w:rPr>
          <w:rFonts w:hint="default" w:ascii="Times New Roman" w:hAnsi="Times New Roman" w:eastAsia="宋体" w:cs="Times New Roman"/>
          <w:color w:val="auto"/>
          <w:sz w:val="24"/>
          <w:szCs w:val="24"/>
          <w:u w:val="none" w:color="auto"/>
        </w:rPr>
        <w:t>对生物群落的影响评价</w:t>
      </w:r>
    </w:p>
    <w:p w14:paraId="436226BA">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由于</w:t>
      </w:r>
      <w:r>
        <w:rPr>
          <w:rFonts w:hint="default" w:ascii="Times New Roman" w:hAnsi="Times New Roman" w:eastAsia="宋体" w:cs="Times New Roman"/>
          <w:color w:val="auto"/>
          <w:sz w:val="24"/>
          <w:szCs w:val="24"/>
          <w:u w:val="none" w:color="auto"/>
          <w:lang w:eastAsia="zh-CN"/>
        </w:rPr>
        <w:t>鹿角交通渔政综合执法码头趸船</w:t>
      </w:r>
      <w:r>
        <w:rPr>
          <w:rFonts w:hint="default" w:ascii="Times New Roman" w:hAnsi="Times New Roman" w:eastAsia="宋体" w:cs="Times New Roman"/>
          <w:color w:val="auto"/>
          <w:sz w:val="24"/>
          <w:szCs w:val="24"/>
          <w:u w:val="none" w:color="auto"/>
        </w:rPr>
        <w:t>在保护区内占用</w:t>
      </w:r>
      <w:r>
        <w:rPr>
          <w:rFonts w:hint="default" w:ascii="Times New Roman" w:hAnsi="Times New Roman" w:eastAsia="宋体" w:cs="Times New Roman"/>
          <w:color w:val="auto"/>
          <w:sz w:val="24"/>
          <w:szCs w:val="24"/>
          <w:u w:val="none" w:color="auto"/>
          <w:lang w:val="en-US" w:eastAsia="zh-CN"/>
        </w:rPr>
        <w:t>水域</w:t>
      </w:r>
      <w:r>
        <w:rPr>
          <w:rFonts w:hint="default" w:ascii="Times New Roman" w:hAnsi="Times New Roman" w:eastAsia="宋体" w:cs="Times New Roman"/>
          <w:color w:val="auto"/>
          <w:sz w:val="24"/>
          <w:szCs w:val="24"/>
          <w:u w:val="none" w:color="auto"/>
        </w:rPr>
        <w:t>。因此，该区域生物群落本身受人类活动影响强烈，在此生存的主要为常见种或者广布种。通过调查与分析，本项目影响到评价区的生物群落可分为湿地生物群落。</w:t>
      </w:r>
    </w:p>
    <w:p w14:paraId="7EB934AB">
      <w:pPr>
        <w:pageBreakBefore w:val="0"/>
        <w:widowControl/>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u w:val="none" w:color="auto"/>
        </w:rPr>
      </w:pPr>
      <w:bookmarkStart w:id="706" w:name="_Toc457"/>
      <w:r>
        <w:rPr>
          <w:rFonts w:hint="default"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rPr>
        <w:t>、湿地生物群落</w:t>
      </w:r>
      <w:bookmarkEnd w:id="706"/>
    </w:p>
    <w:p w14:paraId="2F058F94">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评价区湿地主要为</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河岸，该区域有大量船只往来，生产经营活动频繁。由于</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通航的影响，整个湖区沉水植物、浮水植物和挺水植物群落均发育不良，只有一部分湿生植物分布在东边一些河岸滩涂，而且湿地植物种类少，分布面积有限。</w:t>
      </w:r>
    </w:p>
    <w:p w14:paraId="15AF3D78">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趸船平台</w:t>
      </w:r>
      <w:r>
        <w:rPr>
          <w:rFonts w:hint="default" w:ascii="Times New Roman" w:hAnsi="Times New Roman" w:eastAsia="宋体" w:cs="Times New Roman"/>
          <w:color w:val="auto"/>
          <w:sz w:val="24"/>
          <w:szCs w:val="24"/>
          <w:u w:val="none" w:color="auto"/>
        </w:rPr>
        <w:t>的支撑结构需要在</w:t>
      </w:r>
      <w:r>
        <w:rPr>
          <w:rFonts w:hint="default" w:ascii="Times New Roman" w:hAnsi="Times New Roman" w:eastAsia="宋体" w:cs="Times New Roman"/>
          <w:color w:val="auto"/>
          <w:sz w:val="24"/>
          <w:szCs w:val="24"/>
          <w:u w:val="none" w:color="auto"/>
          <w:lang w:val="en-US" w:eastAsia="zh-CN"/>
        </w:rPr>
        <w:t>湘江水体</w:t>
      </w:r>
      <w:r>
        <w:rPr>
          <w:rFonts w:hint="default" w:ascii="Times New Roman" w:hAnsi="Times New Roman" w:eastAsia="宋体" w:cs="Times New Roman"/>
          <w:color w:val="auto"/>
          <w:sz w:val="24"/>
          <w:szCs w:val="24"/>
          <w:u w:val="none" w:color="auto"/>
        </w:rPr>
        <w:t>范围建设，</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码头</w:t>
      </w:r>
      <w:r>
        <w:rPr>
          <w:rFonts w:hint="default" w:ascii="Times New Roman" w:hAnsi="Times New Roman" w:eastAsia="宋体" w:cs="Times New Roman"/>
          <w:color w:val="auto"/>
          <w:sz w:val="24"/>
          <w:szCs w:val="24"/>
          <w:u w:val="none" w:color="auto"/>
          <w:lang w:val="en-US" w:eastAsia="zh-CN"/>
        </w:rPr>
        <w:t>平台</w:t>
      </w:r>
      <w:r>
        <w:rPr>
          <w:rFonts w:hint="default" w:ascii="Times New Roman" w:hAnsi="Times New Roman" w:eastAsia="宋体" w:cs="Times New Roman"/>
          <w:color w:val="auto"/>
          <w:sz w:val="24"/>
          <w:szCs w:val="24"/>
          <w:u w:val="none" w:color="auto"/>
        </w:rPr>
        <w:t>施工造成的水体污染可能导致施工区藻类、浮游生物、底栖动物的减少，从而使得评价区湖泊生物群落结构发生改变。工程完工后，受施工影响区域生态环境逐步恢复，藻类、浮游生物、底栖动物将逐步恢复至干扰前水平，鱼类也恢复原有的活动范围。因此，</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建设对评价区湖泊生物群落结构影响是暂时的。湖面工程对水质的影响短期内可能导致生物群落比例发生改变，施工期结束后群落结构也将基本恢复其原有状态。</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废水</w:t>
      </w:r>
      <w:r>
        <w:rPr>
          <w:rFonts w:hint="default" w:ascii="Times New Roman" w:hAnsi="Times New Roman" w:eastAsia="宋体" w:cs="Times New Roman"/>
          <w:color w:val="auto"/>
          <w:sz w:val="24"/>
          <w:szCs w:val="24"/>
          <w:u w:val="none" w:color="auto"/>
          <w:lang w:val="en-US" w:eastAsia="zh-CN"/>
        </w:rPr>
        <w:t>不外排</w:t>
      </w:r>
      <w:r>
        <w:rPr>
          <w:rFonts w:hint="default" w:ascii="Times New Roman" w:hAnsi="Times New Roman" w:eastAsia="宋体" w:cs="Times New Roman"/>
          <w:color w:val="auto"/>
          <w:sz w:val="24"/>
          <w:szCs w:val="24"/>
          <w:u w:val="none" w:color="auto"/>
        </w:rPr>
        <w:t>。因此并不会导致</w:t>
      </w:r>
      <w:r>
        <w:rPr>
          <w:rFonts w:hint="default" w:ascii="Times New Roman" w:hAnsi="Times New Roman" w:eastAsia="宋体" w:cs="Times New Roman"/>
          <w:color w:val="auto"/>
          <w:sz w:val="24"/>
          <w:szCs w:val="24"/>
          <w:u w:val="none" w:color="auto"/>
          <w:lang w:val="en-US" w:eastAsia="zh-CN"/>
        </w:rPr>
        <w:t>湘</w:t>
      </w:r>
      <w:r>
        <w:rPr>
          <w:rFonts w:hint="default" w:ascii="Times New Roman" w:hAnsi="Times New Roman" w:eastAsia="宋体" w:cs="Times New Roman"/>
          <w:color w:val="auto"/>
          <w:sz w:val="24"/>
          <w:szCs w:val="24"/>
          <w:u w:val="none" w:color="auto"/>
        </w:rPr>
        <w:t>江水质下降。</w:t>
      </w:r>
    </w:p>
    <w:p w14:paraId="6A264F65">
      <w:pPr>
        <w:pageBreakBefore w:val="0"/>
        <w:widowControl/>
        <w:kinsoku/>
        <w:wordWrap/>
        <w:overflowPunct/>
        <w:topLinePunct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u w:val="none" w:color="auto"/>
        </w:rPr>
      </w:pPr>
      <w:bookmarkStart w:id="707" w:name="_Toc29854"/>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rPr>
        <w:t>、鸟类群落</w:t>
      </w:r>
      <w:bookmarkEnd w:id="707"/>
    </w:p>
    <w:p w14:paraId="443A27F2">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自然保护区是北方水鸟重要的越冬地，也是候鸟亚太迁徙路线的重要组成部分。湖南东洞庭湖是中国主要的鹤类越冬地之一，是白鹤、白头鹤、白枕鹤和灰鹤重要的越冬地之一，有“中国鹤湖”之称。但是据评价区现场调查以及居民访谈并没有发现以上特有重点保护湿地鸟类。湖南东洞庭湖国家级自然保护区有优良的环境和充足的食物，吸引了大量珍惜水禽来此觅食过冬。但珍稀濒危水禽的栖息地主要分布在保护区核心区与缓冲区，而</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地处保护区实验区边缘，不涉及保护区核心区与缓冲区，主要影响</w:t>
      </w:r>
      <w:r>
        <w:rPr>
          <w:rFonts w:hint="default" w:ascii="Times New Roman" w:hAnsi="Times New Roman" w:eastAsia="宋体" w:cs="Times New Roman"/>
          <w:color w:val="auto"/>
          <w:sz w:val="24"/>
          <w:szCs w:val="24"/>
          <w:u w:val="none" w:color="auto"/>
          <w:lang w:val="en-US" w:eastAsia="zh-CN"/>
        </w:rPr>
        <w:t>湘</w:t>
      </w:r>
      <w:r>
        <w:rPr>
          <w:rFonts w:hint="default" w:ascii="Times New Roman" w:hAnsi="Times New Roman" w:eastAsia="宋体" w:cs="Times New Roman"/>
          <w:color w:val="auto"/>
          <w:sz w:val="24"/>
          <w:szCs w:val="24"/>
          <w:u w:val="none" w:color="auto"/>
        </w:rPr>
        <w:t>江及其周边农田。</w:t>
      </w:r>
    </w:p>
    <w:p w14:paraId="70FC2E37">
      <w:pPr>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范围及其周边的环境大致可分为湖泊、林地和农田-居民点3种生态类型，每一种生态类型具有不同的鸟类群落组成。从评价区本底资源调查来看，林地鸟类生物多样性较高，农田-居民点次之，湖泊湿地最低。但是该区域鸟类较少，且</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通航船只较多，人为影响大，所以水鸟很少，只有麻雀等常见种在此觅食。农田也由于靠近村庄、公路，环境噪音比较大，人为活动较为频繁，也不适合大型的雁鸭类和鹤类觅食和停歇，只有麻雀等广布种。结合对评价区的调查，绝大部分常见种或者广布种仍会在此停歇觅食。因此，</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对此区域由常见鸟类组成的群落影响较小。</w:t>
      </w:r>
    </w:p>
    <w:p w14:paraId="3B95C5D7">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en-US" w:eastAsia="zh-CN"/>
        </w:rPr>
        <w:t xml:space="preserve">5.3.1.6 </w:t>
      </w:r>
      <w:r>
        <w:rPr>
          <w:rFonts w:hint="default" w:ascii="Times New Roman" w:hAnsi="Times New Roman" w:eastAsia="宋体" w:cs="Times New Roman"/>
          <w:color w:val="auto"/>
          <w:sz w:val="24"/>
          <w:szCs w:val="24"/>
          <w:u w:val="none" w:color="auto"/>
        </w:rPr>
        <w:t>对生物多样性的影响</w:t>
      </w:r>
    </w:p>
    <w:p w14:paraId="618F9F79">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lang w:val="en-US" w:eastAsia="zh-CN"/>
        </w:rPr>
        <w:t>施工</w:t>
      </w:r>
      <w:r>
        <w:rPr>
          <w:rFonts w:hint="default" w:ascii="Times New Roman" w:hAnsi="Times New Roman" w:eastAsia="宋体" w:cs="Times New Roman"/>
          <w:color w:val="auto"/>
          <w:sz w:val="24"/>
          <w:szCs w:val="24"/>
          <w:u w:val="none" w:color="auto"/>
        </w:rPr>
        <w:t>期间，</w:t>
      </w:r>
      <w:r>
        <w:rPr>
          <w:rFonts w:hint="default" w:ascii="Times New Roman" w:hAnsi="Times New Roman" w:eastAsia="宋体" w:cs="Times New Roman"/>
          <w:color w:val="auto"/>
          <w:sz w:val="24"/>
          <w:szCs w:val="24"/>
          <w:u w:val="none" w:color="auto"/>
          <w:lang w:val="en-US" w:eastAsia="zh-CN"/>
        </w:rPr>
        <w:t>码头建设</w:t>
      </w:r>
      <w:r>
        <w:rPr>
          <w:rFonts w:hint="default" w:ascii="Times New Roman" w:hAnsi="Times New Roman" w:eastAsia="宋体" w:cs="Times New Roman"/>
          <w:color w:val="auto"/>
          <w:sz w:val="24"/>
          <w:szCs w:val="24"/>
          <w:u w:val="none" w:color="auto"/>
        </w:rPr>
        <w:t>将损毁部分植被，从沿线植被分布现状调查结果看，受到</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损毁影响的自然植被主要为芦苇以及沿岸分布的苔草丛等，涉及的物种均为常见种，这些植被群落和物种在区域分布广泛，易于栽植和恢复；沿线无珍稀濒危的野生植物种类，</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不占用</w:t>
      </w:r>
      <w:r>
        <w:rPr>
          <w:rFonts w:hint="default" w:ascii="Times New Roman" w:hAnsi="Times New Roman" w:eastAsia="宋体" w:cs="Times New Roman"/>
          <w:color w:val="auto"/>
          <w:sz w:val="24"/>
          <w:szCs w:val="24"/>
          <w:u w:val="none" w:color="auto"/>
          <w:lang w:val="en-US" w:eastAsia="zh-CN"/>
        </w:rPr>
        <w:t>水域、</w:t>
      </w:r>
      <w:r>
        <w:rPr>
          <w:rFonts w:hint="default" w:ascii="Times New Roman" w:hAnsi="Times New Roman" w:eastAsia="宋体" w:cs="Times New Roman"/>
          <w:color w:val="auto"/>
          <w:sz w:val="24"/>
          <w:szCs w:val="24"/>
          <w:u w:val="none" w:color="auto"/>
        </w:rPr>
        <w:t>湖泊、滩地，无水生植被的损毁；</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对区域植被类型赋存和生物多样性无影响，对自然植被影响很小。本评价区人类活动较</w:t>
      </w:r>
      <w:r>
        <w:rPr>
          <w:rFonts w:hint="default" w:ascii="Times New Roman" w:hAnsi="Times New Roman" w:eastAsia="宋体" w:cs="Times New Roman"/>
          <w:color w:val="auto"/>
          <w:sz w:val="24"/>
          <w:szCs w:val="24"/>
          <w:u w:val="none" w:color="auto"/>
          <w:lang w:val="en-US" w:eastAsia="zh-CN"/>
        </w:rPr>
        <w:t>多</w:t>
      </w:r>
      <w:r>
        <w:rPr>
          <w:rFonts w:hint="default" w:ascii="Times New Roman" w:hAnsi="Times New Roman" w:eastAsia="宋体" w:cs="Times New Roman"/>
          <w:color w:val="auto"/>
          <w:sz w:val="24"/>
          <w:szCs w:val="24"/>
          <w:u w:val="none" w:color="auto"/>
        </w:rPr>
        <w:t>，少有洞庭湖水禽活动与出入，且远离洞庭湖珍稀水禽、鱼类栖息地，区域地域连通性和工程活动行为变化不大，对区域鱼类、鸟类等野生生物多样性和国家保护种无明显影响。</w:t>
      </w:r>
    </w:p>
    <w:p w14:paraId="4731D9AF">
      <w:pPr>
        <w:pStyle w:val="9"/>
        <w:pageBreakBefore w:val="0"/>
        <w:numPr>
          <w:ilvl w:val="0"/>
          <w:numId w:val="0"/>
        </w:numPr>
        <w:kinsoku/>
        <w:wordWrap/>
        <w:overflowPunct/>
        <w:topLinePunct w:val="0"/>
        <w:bidi w:val="0"/>
        <w:spacing w:before="0" w:after="0" w:line="360" w:lineRule="auto"/>
        <w:ind w:left="480" w:leftChars="0" w:right="0" w:rightChars="0"/>
        <w:jc w:val="left"/>
        <w:textAlignment w:val="auto"/>
        <w:rPr>
          <w:rFonts w:hint="default" w:ascii="Times New Roman" w:hAnsi="Times New Roman" w:eastAsia="宋体" w:cs="Times New Roman"/>
          <w:color w:val="auto"/>
          <w:sz w:val="24"/>
          <w:szCs w:val="24"/>
          <w:u w:val="none" w:color="auto"/>
        </w:rPr>
      </w:pPr>
      <w:bookmarkStart w:id="708" w:name="_Toc31460"/>
      <w:r>
        <w:rPr>
          <w:rFonts w:hint="default" w:ascii="Times New Roman" w:hAnsi="Times New Roman" w:eastAsia="宋体" w:cs="Times New Roman"/>
          <w:color w:val="auto"/>
          <w:sz w:val="24"/>
          <w:szCs w:val="24"/>
          <w:u w:val="none" w:color="auto"/>
          <w:lang w:val="en-US" w:eastAsia="zh-CN"/>
        </w:rPr>
        <w:t xml:space="preserve">5.3.2 </w:t>
      </w:r>
      <w:r>
        <w:rPr>
          <w:rFonts w:hint="default" w:ascii="Times New Roman" w:hAnsi="Times New Roman" w:eastAsia="宋体" w:cs="Times New Roman"/>
          <w:color w:val="auto"/>
          <w:sz w:val="24"/>
          <w:szCs w:val="24"/>
          <w:u w:val="none" w:color="auto"/>
        </w:rPr>
        <w:t>对鱼类的影响</w:t>
      </w:r>
      <w:bookmarkEnd w:id="708"/>
    </w:p>
    <w:p w14:paraId="2812DFE5">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所在水域一带无主要经济鱼类的产卵场、索饵场和越冬场分布，项目在水中所占范围有限，基本不会阻隔鱼类等水生动物的洄游或江湖交流，因此本项目营运期对鱼类的影响较小。另外，根据现行的农业部2011年第1号令《水产种质资源保护区管理暂行办法》相关条例，本项目的建设不属于该暂行办法禁止的建设内容，故本项目的选址可行。</w:t>
      </w:r>
    </w:p>
    <w:p w14:paraId="43AF91AC">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5.3.2.1 </w:t>
      </w:r>
      <w:r>
        <w:rPr>
          <w:rFonts w:hint="default" w:ascii="Times New Roman" w:hAnsi="Times New Roman" w:eastAsia="宋体" w:cs="Times New Roman"/>
          <w:color w:val="auto"/>
          <w:sz w:val="24"/>
          <w:szCs w:val="24"/>
        </w:rPr>
        <w:t>对渔业资源的影响</w:t>
      </w:r>
    </w:p>
    <w:p w14:paraId="43D4182D">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3949AD9D">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扬尘、施工废水短期内造成河段水质恶化，破坏鱼类原有的栖息条件，将影响鱼类仔幼鱼的正常生长和生存，也会影响水生维管植物，浮游植物、浮游动物、底栖动物等饵料生物的密度下降。同时施工噪声，会使邻近水域鱼类受到惊吓而逃离作业水域，将对周边水域的水生生物资源造成损害。</w:t>
      </w:r>
    </w:p>
    <w:p w14:paraId="528BBE9B">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临近水域虽无鱼类等水生生物的重要产卵场、索饵场，却是鲤、鲫、黄颡鱼、短颌鲚等水产种质资源的重要洄游通道。鱼类繁殖洄游、索饵洄游在一定程度上将受到施工活动影响，但不影响上下游鱼类正常的基因交流。</w:t>
      </w:r>
    </w:p>
    <w:p w14:paraId="3407C24A">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（2）营运期</w:t>
      </w:r>
    </w:p>
    <w:p w14:paraId="3DA5E723">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内，施工阶段产生的不利因素将逐渐消失。码头提质改造工程进一步侵占河道边滩，或永久性地改变沿河局部生态环境，压缩鱼类及其饵料生物的栖息空间，减少资源补充量，对渔业资源产生一定的负面影响，需采取有效的保护措施最大限度地降低其影响程度。</w:t>
      </w:r>
    </w:p>
    <w:p w14:paraId="611707C0">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5.3.2.2 </w:t>
      </w:r>
      <w:r>
        <w:rPr>
          <w:rFonts w:hint="default" w:ascii="Times New Roman" w:hAnsi="Times New Roman" w:eastAsia="宋体" w:cs="Times New Roman"/>
          <w:color w:val="auto"/>
          <w:sz w:val="24"/>
          <w:szCs w:val="24"/>
        </w:rPr>
        <w:t>对饵料生物的影响</w:t>
      </w:r>
    </w:p>
    <w:p w14:paraId="7A513EC6">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652106C4">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作业会使水体产生大量的悬浮颗粒，导致周围的水质浑浊，使水体光照透射率下降，影响了浮游生物的光合作用，溶氧降低，抑制了浮游生物的生长和繁殖，造成其密度和生物量的下降，从而导致初级生产力降低。此外有些悬浮颗粒会被滤食性的浮游生物吞下，对其消化系统产生不利的影响。</w:t>
      </w:r>
    </w:p>
    <w:p w14:paraId="02B9AD8E">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施工作业虽然会对浮游生物造成一定的损失，但施工结束后，悬浮泥砂会很快消失，而且江水的流动会带来其它水域的浮游生物来进行补充，因此施工阶段仅对本江段的浮游生物产生短期的不利影响。</w:t>
      </w:r>
    </w:p>
    <w:p w14:paraId="71834FAB">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次，涉水作业也会对底栖动物产生一定的损害，挖泥区的底栖动物会被彻底的损伤破坏，造成底栖动物的死亡；同时挖泥所产生的悬浮泥沙在沉淀之后会掩埋挖泥区两侧的底栖动物，导致这部分区域的底栖动物呼吸、生长和繁殖受到影响。挖泥机的搅动会使河底的淤泥和细砂悬混上浮产生浑浊带，会对底栖动物造成很大的影响，特别是会导致贝类的外套腔堵塞而死亡。</w:t>
      </w:r>
    </w:p>
    <w:p w14:paraId="2751335F">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但根据A.M.NonvicimipagLiai等人的研究表明：在6个月以后挖泥区的底栖动物主要结构参数与挖泥前和未挖泥对照区无显著性差异。因此施工作业对底栖动物造成的损害在短时间内是可以得到恢复的，不会对底栖动物造成较大的影响，在施工作业结束后，除构筑物永久占领的水域外，其他水域受影响的底栖动物群落会逐渐恢复或者被新的底栖动物群落所代替。</w:t>
      </w:r>
    </w:p>
    <w:p w14:paraId="12870475">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（2）营运期</w:t>
      </w:r>
    </w:p>
    <w:p w14:paraId="4AC884AF">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码头运行期间船舶频繁的运行会产生噪音和造成水体的搅动，这些因素对浮游生物和底栖动物而言影响很小。码头平台会遮挡部分阳光，影响浮游植物光合作用，但面积不大，因此对浮游植物而言几乎无影响。但船舶运行过程中可能会产生部分石油的泄漏，若石油进入水体，将会发生一系列复杂变化，包括扩散，蒸发，溶解，微生物氧化，形成沥青球以及沿着食物链传递等等。石油的扩散会在水面形成油膜，阻碍大气和水体的气体交换，同时还会减弱太阳辐射到水里的能量，影响浮游植物的光合作用。此外石油还会破坏浮游植物细胞，损坏叶绿素。浮游植物石油急性中毒致死浓度为0.1～10.0mg/L，一般为1.0～3.6mg/L，对于更敏感的种类，油浓度低于0.1mg/L时，也会妨碍细胞的分裂和生长的速率。浮游动物石油急性中毒致死浓度范围一般为0.1～15mg/L。永久性（终生性）浮游动物幼体的敏感性大于阶段性（临时性）的底栖生物幼体，而它们各自的幼体的敏感性又大于成体。</w:t>
      </w:r>
    </w:p>
    <w:p w14:paraId="2431F61C">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由于底栖生物的耐油污性通常很差，即使水体中石油类含量只有0.0lppm，也会导致其死亡。当水体中石油类浓度在 0.1~0.01ppm 时，对某些底栖甲壳类动物幼体(如：无节幼虫、藤壶幼体和蟹幼体 ) 有明显的毒效。</w:t>
      </w:r>
    </w:p>
    <w:p w14:paraId="168A83B7">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5.3.2.3 </w:t>
      </w:r>
      <w:r>
        <w:rPr>
          <w:rFonts w:hint="default" w:ascii="Times New Roman" w:hAnsi="Times New Roman" w:eastAsia="宋体" w:cs="Times New Roman"/>
          <w:color w:val="auto"/>
          <w:sz w:val="24"/>
          <w:szCs w:val="24"/>
        </w:rPr>
        <w:t>对鱼类“三场”的影响</w:t>
      </w:r>
    </w:p>
    <w:p w14:paraId="1FB63178">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评价水域（保护区范围内）无鱼类大型产卵场、索饵场。</w:t>
      </w:r>
      <w:r>
        <w:rPr>
          <w:rFonts w:hint="default" w:ascii="Times New Roman" w:hAnsi="Times New Roman" w:eastAsia="宋体" w:cs="Times New Roman"/>
          <w:color w:val="auto"/>
          <w:sz w:val="24"/>
          <w:szCs w:val="24"/>
          <w:lang w:bidi="en-US"/>
        </w:rPr>
        <w:t>码头提质改造工程</w:t>
      </w:r>
      <w:r>
        <w:rPr>
          <w:rFonts w:hint="default" w:ascii="Times New Roman" w:hAnsi="Times New Roman" w:eastAsia="宋体" w:cs="Times New Roman"/>
          <w:color w:val="auto"/>
          <w:sz w:val="24"/>
          <w:szCs w:val="24"/>
        </w:rPr>
        <w:t>对面的</w:t>
      </w:r>
      <w:r>
        <w:rPr>
          <w:rFonts w:hint="default" w:ascii="Times New Roman" w:hAnsi="Times New Roman" w:eastAsia="宋体" w:cs="Times New Roman"/>
          <w:color w:val="auto"/>
          <w:sz w:val="24"/>
          <w:szCs w:val="24"/>
          <w:lang w:bidi="en-US"/>
        </w:rPr>
        <w:t>距码头1.3km漫滩为湖区鱼类的小型产卵场所，约0.5km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bidi="en-US"/>
        </w:rPr>
        <w:t>。</w:t>
      </w:r>
      <w:r>
        <w:rPr>
          <w:rFonts w:hint="default" w:ascii="Times New Roman" w:hAnsi="Times New Roman" w:eastAsia="宋体" w:cs="Times New Roman"/>
          <w:color w:val="auto"/>
          <w:sz w:val="24"/>
          <w:szCs w:val="24"/>
        </w:rPr>
        <w:t>施工期评价区域受污染水体向下游扩散蔓延，影响至码头下游500m左右水域，但不会对鱼类栖息环境造成威胁。</w:t>
      </w:r>
    </w:p>
    <w:p w14:paraId="57386A75">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5.3.2.4 </w:t>
      </w:r>
      <w:r>
        <w:rPr>
          <w:rFonts w:hint="default" w:ascii="Times New Roman" w:hAnsi="Times New Roman" w:eastAsia="宋体" w:cs="Times New Roman"/>
          <w:color w:val="auto"/>
          <w:sz w:val="24"/>
          <w:szCs w:val="24"/>
        </w:rPr>
        <w:t>对鱼类洄游习性的影响</w:t>
      </w:r>
    </w:p>
    <w:p w14:paraId="4F7A8597">
      <w:pPr>
        <w:pageBreakBefore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区域是鱼类栖息地之一，鱼类可以在</w:t>
      </w:r>
      <w:r>
        <w:rPr>
          <w:rFonts w:hint="default" w:ascii="Times New Roman" w:hAnsi="Times New Roman" w:eastAsia="宋体" w:cs="Times New Roman"/>
          <w:color w:val="auto"/>
          <w:sz w:val="24"/>
          <w:szCs w:val="24"/>
          <w:u w:val="none" w:color="auto"/>
          <w:lang w:val="en-US" w:eastAsia="zh-CN"/>
        </w:rPr>
        <w:t>鹿角交通渔政综合执法码头船</w:t>
      </w:r>
      <w:r>
        <w:rPr>
          <w:rFonts w:hint="default" w:ascii="Times New Roman" w:hAnsi="Times New Roman" w:eastAsia="宋体" w:cs="Times New Roman"/>
          <w:color w:val="auto"/>
          <w:sz w:val="24"/>
          <w:szCs w:val="24"/>
          <w:u w:val="none" w:color="auto"/>
        </w:rPr>
        <w:t>周围觅食、产卵和栖息。</w:t>
      </w:r>
      <w:r>
        <w:rPr>
          <w:rFonts w:hint="default" w:ascii="Times New Roman" w:hAnsi="Times New Roman" w:eastAsia="宋体" w:cs="Times New Roman"/>
          <w:color w:val="auto"/>
          <w:sz w:val="24"/>
          <w:szCs w:val="24"/>
        </w:rPr>
        <w:t>工程区是一些洄游性鱼类的重要通道。工程涉水设施占保护区面积（171m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）较小，对鱼类洄游通道不构成阻隔，不会导致鱼类生殖隔离。</w:t>
      </w:r>
      <w:r>
        <w:rPr>
          <w:rFonts w:hint="default" w:ascii="Times New Roman" w:hAnsi="Times New Roman" w:eastAsia="宋体" w:cs="Times New Roman"/>
          <w:color w:val="auto"/>
          <w:sz w:val="24"/>
          <w:szCs w:val="24"/>
          <w:u w:val="none" w:color="auto"/>
        </w:rPr>
        <w:t>鱼类仍可</w:t>
      </w:r>
      <w:r>
        <w:rPr>
          <w:rFonts w:hint="default" w:ascii="Times New Roman" w:hAnsi="Times New Roman" w:eastAsia="宋体" w:cs="Times New Roman"/>
          <w:color w:val="auto"/>
          <w:sz w:val="24"/>
          <w:szCs w:val="24"/>
          <w:u w:val="none" w:color="auto"/>
          <w:lang w:eastAsia="zh-CN"/>
        </w:rPr>
        <w:t>趸船</w:t>
      </w:r>
      <w:r>
        <w:rPr>
          <w:rFonts w:hint="default" w:ascii="Times New Roman" w:hAnsi="Times New Roman" w:eastAsia="宋体" w:cs="Times New Roman"/>
          <w:color w:val="auto"/>
          <w:sz w:val="24"/>
          <w:szCs w:val="24"/>
          <w:u w:val="none" w:color="auto"/>
        </w:rPr>
        <w:t>下面游动。随着</w:t>
      </w:r>
      <w:r>
        <w:rPr>
          <w:rFonts w:hint="default" w:ascii="Times New Roman" w:hAnsi="Times New Roman" w:eastAsia="宋体" w:cs="Times New Roman"/>
          <w:color w:val="auto"/>
          <w:sz w:val="24"/>
          <w:szCs w:val="24"/>
          <w:u w:val="none" w:color="auto"/>
          <w:lang w:val="en-US" w:eastAsia="zh-CN"/>
        </w:rPr>
        <w:t>来往趸船</w:t>
      </w:r>
      <w:r>
        <w:rPr>
          <w:rFonts w:hint="default" w:ascii="Times New Roman" w:hAnsi="Times New Roman" w:eastAsia="宋体" w:cs="Times New Roman"/>
          <w:color w:val="auto"/>
          <w:sz w:val="24"/>
          <w:szCs w:val="24"/>
          <w:u w:val="none" w:color="auto"/>
        </w:rPr>
        <w:t>舶数量的大幅增加，压缩了鱼类的生存空间，强大的噪声污染干扰了它们的正常生活，将会对鱼类产生一定影响。</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不改变河道总体的生态现状，对河段内鱼类生活习性和活动规律等长期行为基本不造成影响，但是局部区域产卵生境会受到影响。且</w:t>
      </w:r>
      <w:r>
        <w:rPr>
          <w:rFonts w:hint="default" w:ascii="Times New Roman" w:hAnsi="Times New Roman" w:eastAsia="宋体" w:cs="Times New Roman"/>
          <w:color w:val="auto"/>
          <w:sz w:val="24"/>
          <w:szCs w:val="24"/>
          <w:u w:val="none" w:color="auto"/>
          <w:lang w:val="en-US" w:eastAsia="zh-CN"/>
        </w:rPr>
        <w:t>鹿角交通渔政综合执法码头</w:t>
      </w:r>
      <w:r>
        <w:rPr>
          <w:rFonts w:hint="default" w:ascii="Times New Roman" w:hAnsi="Times New Roman" w:eastAsia="宋体" w:cs="Times New Roman"/>
          <w:color w:val="auto"/>
          <w:sz w:val="24"/>
          <w:szCs w:val="24"/>
          <w:u w:val="none" w:color="auto"/>
        </w:rPr>
        <w:t>水下基础结构很少，</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将对鱼类和珍稀濒危物种洄游阻隔影响很小</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且为浮</w:t>
      </w:r>
      <w:r>
        <w:rPr>
          <w:rFonts w:hint="default" w:ascii="Times New Roman" w:hAnsi="Times New Roman" w:eastAsia="宋体" w:cs="Times New Roman"/>
          <w:color w:val="auto"/>
          <w:sz w:val="24"/>
          <w:szCs w:val="24"/>
          <w:u w:val="none" w:color="auto"/>
          <w:lang w:val="en-US" w:eastAsia="zh-CN"/>
        </w:rPr>
        <w:t>船</w:t>
      </w:r>
      <w:r>
        <w:rPr>
          <w:rFonts w:hint="default" w:ascii="Times New Roman" w:hAnsi="Times New Roman" w:eastAsia="宋体" w:cs="Times New Roman"/>
          <w:color w:val="auto"/>
          <w:sz w:val="24"/>
          <w:szCs w:val="24"/>
          <w:u w:val="none" w:color="auto"/>
        </w:rPr>
        <w:t>不改变工程区域水文情势和江段营养状况，工程营运对保护区鱼类影响较小。项目往来船舶会对鱼类造成惊扰，但鱼类都具有遇船只逃避的本能，即使偶然与船相遇，也能及时避让，改道前行。因此，本工程来往船舶对鱼类的上下游动等的影响程度有限。</w:t>
      </w:r>
    </w:p>
    <w:p w14:paraId="46261F6E">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随着近年来</w:t>
      </w:r>
      <w:r>
        <w:rPr>
          <w:rFonts w:hint="default" w:ascii="Times New Roman" w:hAnsi="Times New Roman" w:eastAsia="宋体" w:cs="Times New Roman"/>
          <w:color w:val="auto"/>
          <w:sz w:val="24"/>
          <w:szCs w:val="24"/>
          <w:u w:val="none" w:color="auto"/>
          <w:lang w:val="en-US" w:eastAsia="zh-CN"/>
        </w:rPr>
        <w:t>湘江</w:t>
      </w:r>
      <w:r>
        <w:rPr>
          <w:rFonts w:hint="default" w:ascii="Times New Roman" w:hAnsi="Times New Roman" w:eastAsia="宋体" w:cs="Times New Roman"/>
          <w:color w:val="auto"/>
          <w:sz w:val="24"/>
          <w:szCs w:val="24"/>
          <w:u w:val="none" w:color="auto"/>
        </w:rPr>
        <w:t>航道条件的逐步改善，航运业得到迅速发展，航行船舶数量和船舶规模均大大增加。</w:t>
      </w:r>
      <w:r>
        <w:rPr>
          <w:rFonts w:hint="default" w:ascii="Times New Roman" w:hAnsi="Times New Roman" w:eastAsia="宋体" w:cs="Times New Roman"/>
          <w:color w:val="auto"/>
          <w:sz w:val="24"/>
          <w:szCs w:val="24"/>
          <w:u w:val="none" w:color="auto"/>
          <w:lang w:val="en-US" w:eastAsia="zh-CN"/>
        </w:rPr>
        <w:t>鹿角交通渔政综合执法码头营运后该</w:t>
      </w:r>
      <w:r>
        <w:rPr>
          <w:rFonts w:hint="default" w:ascii="Times New Roman" w:hAnsi="Times New Roman" w:eastAsia="宋体" w:cs="Times New Roman"/>
          <w:color w:val="auto"/>
          <w:sz w:val="24"/>
          <w:szCs w:val="24"/>
          <w:u w:val="none" w:color="auto"/>
        </w:rPr>
        <w:t>区域内船舶数量和船运次数必然会显著增加。因此，营运期间航运量增加对保护区鱼类的潜在影响主要表现为以下几个方面：</w:t>
      </w:r>
    </w:p>
    <w:p w14:paraId="05EB5798">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①噪音污染对鱼类的影响将增加。</w:t>
      </w:r>
    </w:p>
    <w:p w14:paraId="7036428B">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②鱼类被机械损伤的几率也将增加。航运繁忙增加了保护区鱼类尤其大型鱼类如中华鲟、</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等被机械损伤的几率。</w:t>
      </w:r>
    </w:p>
    <w:p w14:paraId="227B48D4">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船舶废水排放的影响。河道营运期由于船舶舱底含油污水，船舶工人生活污水和船舶洗舱污水若直接排江，则会污染该江段；同时船上工作人员生活污水、冲洗废水若直接排放，也会对该江段产生影响，从而对保护区的水质造成破坏。</w:t>
      </w:r>
    </w:p>
    <w:p w14:paraId="718B2F50">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④营运期间由于货运量的急剧增加，由此产生的生活污水及其它生活垃圾也大量增加。这些污染物特别是生活污水如果直接排放将可能导致保护区水质的恶化，鱼类等水生生物的生活环境将发生改变。</w:t>
      </w:r>
    </w:p>
    <w:p w14:paraId="2BB62BC0">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⑤块石、碎石、水泥散落事故和船舶舱底油污水事故等风险增加对保护区鱼类的危害将会增加。本码头货种以块石、碎石、水泥、普通件杂为主。工程完工投入运营之后，航运量增加对保护区鱼类的影响是不可避免的。</w:t>
      </w:r>
    </w:p>
    <w:p w14:paraId="720ACDC7">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⑥运营期夜间船舶的光照，会在一定程度上影响码头附近水域中的鱼类正常栖息环境，对其有驱赶作用。光照节律的变化也可能会影响到亲鱼内分泌、性成熟度和产卵活动，突然的光照改变也会导致鱼类一定程度的应激反应。此外，孵化出的仔鱼对光照具有一定的选择性，项目运营期的夜间照明会改变临近水域的光强度和光节律，进而对仔鱼和繁殖期的鱼类产生一定影响。</w:t>
      </w:r>
    </w:p>
    <w:p w14:paraId="6C981DA5">
      <w:pPr>
        <w:pStyle w:val="10"/>
        <w:pageBreakBefore w:val="0"/>
        <w:tabs>
          <w:tab w:val="left" w:pos="864"/>
        </w:tabs>
        <w:kinsoku/>
        <w:wordWrap/>
        <w:overflowPunct/>
        <w:topLinePunct w:val="0"/>
        <w:bidi w:val="0"/>
        <w:spacing w:beforeLines="0" w:afterLines="0" w:line="360" w:lineRule="auto"/>
        <w:ind w:left="0" w:leftChars="0" w:firstLine="0" w:firstLine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5.3.2.5 </w:t>
      </w:r>
      <w:r>
        <w:rPr>
          <w:rFonts w:hint="default" w:ascii="Times New Roman" w:hAnsi="Times New Roman" w:eastAsia="宋体" w:cs="Times New Roman"/>
          <w:color w:val="auto"/>
          <w:sz w:val="24"/>
          <w:szCs w:val="24"/>
        </w:rPr>
        <w:t>东洞庭湖鲤、鲫、黄颡国家级水产种质资源</w:t>
      </w:r>
      <w:r>
        <w:rPr>
          <w:rFonts w:hint="default" w:ascii="Times New Roman" w:hAnsi="Times New Roman" w:eastAsia="宋体" w:cs="Times New Roman"/>
          <w:color w:val="auto"/>
          <w:sz w:val="24"/>
          <w:szCs w:val="24"/>
          <w:lang w:val="en-US" w:eastAsia="zh-CN"/>
        </w:rPr>
        <w:t>影响</w:t>
      </w:r>
    </w:p>
    <w:p w14:paraId="5DCFC3BD">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本保护区主要保护对象为铜鱼、短颌鲚、鲤、鲫和黄颡鱼等，铜鱼为产飘浮性卵鱼类，短颌鲚、鲤、鲫和黄颡鱼为产粘性卵鱼类，所以，本项目重点分析施工和运营对铜鱼和鲤的影响。</w:t>
      </w:r>
    </w:p>
    <w:p w14:paraId="1575A00C">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lang w:val="en-US" w:eastAsia="zh-CN"/>
        </w:rPr>
      </w:pPr>
      <w:bookmarkStart w:id="709" w:name="_Toc13070"/>
      <w:r>
        <w:rPr>
          <w:rFonts w:hint="default" w:ascii="Times New Roman" w:hAnsi="Times New Roman" w:eastAsia="宋体" w:cs="Times New Roman"/>
          <w:color w:val="auto"/>
          <w:sz w:val="24"/>
          <w:szCs w:val="24"/>
          <w:lang w:val="en-US" w:eastAsia="zh-CN"/>
        </w:rPr>
        <w:t>1、施工期</w:t>
      </w:r>
      <w:bookmarkEnd w:id="709"/>
    </w:p>
    <w:p w14:paraId="6E62E852">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河底固定钢锚桩打桩作业噪声、振动，同时施工作业过程造成钢锚桩固定区域河底水体悬浮物浓度的增加，会对铜鱼、短颌鲚等保护区鱼类受精卵附着、孵化和仔稚鱼的存活率有一定的影响。本项目水底固桩过程施工周期较短，对鱼类产卵场影响范围和时限都较为有限。同时施工水体中打桩等高强度噪声则对鱼类直接造成组织、器官损伤，可能导致死亡；还可以引起其他的非听觉效应，如噪声暴露可以导致鱼类应激水平升高，引起鱼类的行为变化，甚至致使鱼类繁殖失败。根据工程施工所采用的打桩机噪声特点，施工期船舶航行、打桩等过程机械噪声对水下鱼类具有一定的影响。施工期水生生物资源量补偿评估测算，鱼类早期资源密度28.32ind/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(2019年版《长江流域渔业生态公报》)，鱼苗损失率按20%统计，结合施工期对水域影响面积计算造成鱼卵仔鱼损失量为4.65万粒/年。</w:t>
      </w:r>
    </w:p>
    <w:p w14:paraId="103621A0">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铜鱼和鲤受到噪声容易产生较强的应激反应，拟建工程在施工期产生的噪声和振动将使工程附近活动的铜鱼和鲤受到惊吓，但不会受到伤害。鲤为底栖鱼类，主要摄食底栖生物和小型鱼虾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铜鱼为杂食性鱼类。岸线硬化施工等活动将导致底栖生物的减少，影响鲤的摄食活动，由于施工的扰动导致该区域鱼类资源的降低导致铜鱼的摄食活动受阻。但由于施工范围小，施工周期短，施工结束后这种影响将逐渐消失。鲤产粘性卵，常在洲滩岸边有砂卵石的浅水区产卵，该区域不是鲤的产卵场，施工对鲤的繁殖影响有限。铜鱼产漂流性卵，产出的卵随水漂流孵化，在经过码头附近时，污染物对其发育产生一定影响。因此，在鱼类繁殖季节应降低施工强度，减少对主要保护对象的影响。</w:t>
      </w:r>
    </w:p>
    <w:p w14:paraId="3759CC4F">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lang w:val="en-US" w:eastAsia="zh-CN"/>
        </w:rPr>
      </w:pPr>
      <w:bookmarkStart w:id="710" w:name="_Toc24035"/>
      <w:r>
        <w:rPr>
          <w:rFonts w:hint="default" w:ascii="Times New Roman" w:hAnsi="Times New Roman" w:eastAsia="宋体" w:cs="Times New Roman"/>
          <w:color w:val="auto"/>
          <w:sz w:val="24"/>
          <w:szCs w:val="24"/>
          <w:lang w:val="en-US" w:eastAsia="zh-CN"/>
        </w:rPr>
        <w:t>2、运营期</w:t>
      </w:r>
      <w:bookmarkEnd w:id="710"/>
    </w:p>
    <w:p w14:paraId="08EEA0CB">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运营期主要在作业平台过驳作业产生的噪声、振动和夜间光照等对短颌鲚等趋光性较强、鲤形目和鲇形目等对听觉较敏感的鱼类有一定的影响。</w:t>
      </w:r>
    </w:p>
    <w:p w14:paraId="276B5F1A">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夜间在浮吊工作船连续过驳作业时，会使用远光探照灯进行照明，当光线落在水面会穿透水体，进入河流水体中部甚至底部环境。运营期夜间使用光源改变了水生生物对光周期的节律，光照时间增长造成局部水域浮游植物生物量增加，鱼类等游泳生物具有趋光性，增加了鱼类或濒危水生生物的风险。由于光线在水中折射、透射能力很强，水体的光强度可明显受到探照光源的影响。因此，连续</w:t>
      </w:r>
    </w:p>
    <w:p w14:paraId="4F29B932">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过驳作业使用探照光源附近水域的光照昼夜节律会明显改变，对水生生物捕食、繁殖、迁徙等行为产生影响。</w:t>
      </w:r>
    </w:p>
    <w:p w14:paraId="1859A838">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鲤形目和鲇形目鱼类具有韦伯氏器，当外界声音到达鱼体时，鳔可以加强声音的振幅，再通过韦伯氏器(与球囊相连)放大，使声音可以有效的传导至内耳，大大提高了鱼类对声音的敏感性。水下噪声不仅可以导致鱼类的听觉损伤，造成暂时性听觉阈移甚至是永久性的听觉阈移。还可以引起其他的非听觉效应，如噪声暴露可以导致鱼类应激水平升高，引起鱼类的行为变化，甚至致使鱼类繁殖失败。运营期过驳作业和船舶航行产生的噪声可传播至项目所在水域水面以下，如遇高强度噪声则可以对鱼类直接造成组织、器官损伤，甚至直接导致死亡。根据运行期实地监测噪声情况和过驳作业产生噪声的特点，夜间连续过驳作业随在边界噪声达标但水下噪声传播过程对河流中听觉敏感鱼类仍具有一定的影响。</w:t>
      </w:r>
    </w:p>
    <w:p w14:paraId="5E665E2D">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水域属于保护区内铜鱼、鲤、鲫、黄颡鱼的索饵场，运营期对其索饵行为将产生一定的影响，使其不会靠近项目所在水体上层水域进行索饵行为，丰水期可在水体中下层进行索饵，枯水期可能造成鱼类在项目临时占用水域索饵场丧失。但考虑到项目所在水域河道宽阔，工程水面设置顺延水流方向“一”字形布设，运营期鱼类可往河道断面中心线附近进行索饵，不会造成所在江段鱼类索饵困难导致物种死亡的影响。</w:t>
      </w:r>
    </w:p>
    <w:p w14:paraId="31D7A3D6">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营运期船舶航行过程中螺旋桨及船舶噪声可能对水中的鱼类等游泳动物产生不利影响，但游泳动物活动力强，具有遇船只逃避的本能，且本项目所在的航道区域范围内的水生动物已基本适应现有航道水域环境，能够规避船舶活动频繁的水域，运营期船舶航行不会对鱼类等游泳动物产生大的影响。</w:t>
      </w:r>
    </w:p>
    <w:p w14:paraId="38A66C2D">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bookmarkStart w:id="711" w:name="_Toc5105"/>
      <w:bookmarkStart w:id="712" w:name="_Toc3920"/>
      <w:r>
        <w:rPr>
          <w:rFonts w:hint="default" w:ascii="Times New Roman" w:hAnsi="Times New Roman" w:eastAsia="宋体" w:cs="Times New Roman"/>
          <w:color w:val="auto"/>
          <w:sz w:val="24"/>
          <w:szCs w:val="24"/>
          <w:u w:val="none" w:color="auto"/>
          <w:lang w:val="en-US" w:eastAsia="zh-CN"/>
        </w:rPr>
        <w:t>5.3.3</w:t>
      </w:r>
      <w:r>
        <w:rPr>
          <w:rFonts w:hint="default" w:ascii="Times New Roman" w:hAnsi="Times New Roman" w:eastAsia="宋体" w:cs="Times New Roman"/>
          <w:color w:val="auto"/>
          <w:sz w:val="24"/>
          <w:szCs w:val="24"/>
          <w:u w:val="none" w:color="auto"/>
        </w:rPr>
        <w:t>对江豚</w:t>
      </w:r>
      <w:r>
        <w:rPr>
          <w:rFonts w:hint="eastAsia" w:cs="Times New Roman"/>
          <w:color w:val="auto"/>
          <w:sz w:val="24"/>
          <w:szCs w:val="24"/>
          <w:u w:val="none" w:color="auto"/>
          <w:lang w:val="en-US" w:eastAsia="zh-CN"/>
        </w:rPr>
        <w:t>保护区</w:t>
      </w:r>
      <w:r>
        <w:rPr>
          <w:rFonts w:hint="default" w:ascii="Times New Roman" w:hAnsi="Times New Roman" w:eastAsia="宋体" w:cs="Times New Roman"/>
          <w:color w:val="auto"/>
          <w:sz w:val="24"/>
          <w:szCs w:val="24"/>
          <w:u w:val="none" w:color="auto"/>
        </w:rPr>
        <w:t>的</w:t>
      </w:r>
      <w:r>
        <w:rPr>
          <w:rFonts w:hint="eastAsia" w:cs="Times New Roman"/>
          <w:color w:val="auto"/>
          <w:sz w:val="24"/>
          <w:szCs w:val="24"/>
          <w:u w:val="none" w:color="auto"/>
          <w:lang w:val="en-US" w:eastAsia="zh-CN"/>
        </w:rPr>
        <w:t>环境</w:t>
      </w:r>
      <w:r>
        <w:rPr>
          <w:rFonts w:hint="default" w:ascii="Times New Roman" w:hAnsi="Times New Roman" w:eastAsia="宋体" w:cs="Times New Roman"/>
          <w:color w:val="auto"/>
          <w:sz w:val="24"/>
          <w:szCs w:val="24"/>
          <w:u w:val="none" w:color="auto"/>
        </w:rPr>
        <w:t>影响</w:t>
      </w:r>
      <w:bookmarkEnd w:id="711"/>
      <w:bookmarkEnd w:id="712"/>
    </w:p>
    <w:p w14:paraId="00A4978E">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工程区非保护区鱼类、长江江豚等水生生物的重要栖息地，不涉及鱼类大型的产卵场、索饵场、越冬场及主要洄游通道。工程建设对江豚的觅食、迁徙行为影响较小，对保护区功能的稳定性基本不构成威胁。</w:t>
      </w:r>
      <w:r>
        <w:rPr>
          <w:rFonts w:hint="default" w:ascii="Times New Roman" w:hAnsi="Times New Roman" w:eastAsia="宋体" w:cs="Times New Roman"/>
          <w:color w:val="auto"/>
          <w:sz w:val="24"/>
          <w:szCs w:val="24"/>
          <w:u w:val="none" w:color="auto"/>
          <w:lang w:val="en-US" w:eastAsia="zh-CN"/>
        </w:rPr>
        <w:t>对江</w:t>
      </w:r>
      <w:r>
        <w:rPr>
          <w:rFonts w:hint="default" w:ascii="Times New Roman" w:hAnsi="Times New Roman" w:eastAsia="宋体" w:cs="Times New Roman"/>
          <w:color w:val="auto"/>
          <w:sz w:val="24"/>
          <w:szCs w:val="24"/>
          <w:u w:val="none" w:color="auto"/>
        </w:rPr>
        <w:t>豚</w:t>
      </w:r>
      <w:r>
        <w:rPr>
          <w:rFonts w:hint="default" w:ascii="Times New Roman" w:hAnsi="Times New Roman" w:eastAsia="宋体" w:cs="Times New Roman"/>
          <w:color w:val="auto"/>
          <w:sz w:val="24"/>
          <w:szCs w:val="24"/>
          <w:u w:val="none" w:color="auto"/>
          <w:lang w:val="en-US" w:eastAsia="zh-CN"/>
        </w:rPr>
        <w:t>的影响主要是以下几点。</w:t>
      </w:r>
    </w:p>
    <w:p w14:paraId="0543FF1A">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①水下噪声</w:t>
      </w:r>
    </w:p>
    <w:p w14:paraId="148C6CEA">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江豚在水下最主要的感觉系统是声纳系统，因此水下噪声将对它们产生不利影响，例如对豚类声纳系统造成干扰，影响其在水中探测和识别物体的能力，受到水下噪声惊吓后急速游动，容易撞上船只螺旋桨而受到伤害，此外较大强度的噪声将对豚类的听力产生破坏。</w:t>
      </w:r>
    </w:p>
    <w:p w14:paraId="57271D0B">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江豚发出的回声定位信号的频率都超过100kHz；在听觉方面，</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对45-139kHz的声音极其敏感，</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对10kHz以下的声音，其听阈值为80~100dB re 1</w:t>
      </w:r>
      <w:r>
        <w:rPr>
          <w:rFonts w:hint="default" w:ascii="Times New Roman" w:hAnsi="Times New Roman" w:eastAsia="宋体" w:cs="Times New Roman"/>
          <w:color w:val="auto"/>
          <w:sz w:val="24"/>
          <w:szCs w:val="24"/>
          <w:u w:val="none" w:color="auto"/>
        </w:rPr>
        <w:sym w:font="Symbol" w:char="F06D"/>
      </w:r>
      <w:r>
        <w:rPr>
          <w:rFonts w:hint="default" w:ascii="Times New Roman" w:hAnsi="Times New Roman" w:eastAsia="宋体" w:cs="Times New Roman"/>
          <w:color w:val="auto"/>
          <w:sz w:val="24"/>
          <w:szCs w:val="24"/>
          <w:u w:val="none" w:color="auto"/>
        </w:rPr>
        <w:t>Pa，而在其各自敏感频率范围内，其听阈值为50~60dB。因此，相对来讲，</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对低频噪声（水流和波浪噪声，10kHz以下）相对不敏感，而对高频噪声（10~100kHz）相对更敏感。由于声传播特性，频率低于10kHz的声音较超声来说能够在衰减之前传播更远的距离，这些频率较低的声音将可能对豚类的听力产生严重的破坏。在施工期，该项目的主要水下噪声源有打桩和施工船舶噪声。运营期，主要为航行船舶噪声。</w:t>
      </w:r>
    </w:p>
    <w:p w14:paraId="0B7382F0">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②船舶噪声</w:t>
      </w:r>
    </w:p>
    <w:p w14:paraId="5958F294">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研究表明，大型船舶的航行噪声能量分布频率范围较广（&gt;100kHz），主要集中于中低频（&lt;10kHz）部分，各频率（20-144kHz）处的均方根声压级（SPLrms）对环境背景噪声在该频率处的噪声增量范围为3.7~66.5dB。接收到的1/3倍频程声压级（TOL）在各频率处都&gt;70dB，在80~140kHz频段内都高于</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的听觉阈值。而江豚是主要依赖于声信号进行捕食和个体交流的物种，说明大型船舶的航行噪声可能会对</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个体间的声通讯及听觉带来不利影响，如听觉掩盖（张天赐等，2017年）。根据交通运输部2016、2017年交通运输行业发展统计公报，保护区所在的长江中游航道年平均日船舶流量290.8艘和295.1艘，同比增长7.1%和1.5%，长江航道内现有船舶数量较多，且在逐年增加，本项目提质改造后2#泊位船舶约1艘次/天，但相应减少了到1#泊位船舶数量，船舶噪声对江豚存在一定的不利影响，但新增船舶数量占总的船舶数量比例较小，新增噪声对江豚的影响有限。</w:t>
      </w:r>
    </w:p>
    <w:p w14:paraId="7FCF3532">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③机械伤害</w:t>
      </w:r>
    </w:p>
    <w:p w14:paraId="60A985FD">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江豚是主要依赖于声信号进行捕食和个体交流的物种，其声呐系统极易受到船舶机械噪声干扰，造成被船舶螺旋桨打伤击毙的机会增多。1998年4月18日，在长江界碑江段发现一头被螺旋桨打死的江豚。据统计，1998-2002年在长江新螺段内发现的死亡江豚中，被螺旋桨打死的占33.33%。多数情况下，</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选择水深3~6m分离区觅食与抚幼活动，江豚在上行船舶之间避让的空间不足3m水深。江豚受干扰后，可以短暂逃避到干流深水中，但未能觅食必须返回分离区，特别是饥饿状态下，江豚会选择在穿梭不息上行船之间觅食。在江西鄱阳湖湖口水域船舶通行对</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发声行为的影响研究中，船舶和江豚出现存在弱的负相关关系，船舶经过时狭窄水域中的江豚躲避船舶干扰可能采取一种“临时性”策略（董首悦等，2012年）。</w:t>
      </w:r>
      <w:r>
        <w:rPr>
          <w:rFonts w:hint="default" w:ascii="Times New Roman" w:hAnsi="Times New Roman" w:eastAsia="宋体" w:cs="Times New Roman"/>
          <w:color w:val="auto"/>
          <w:sz w:val="24"/>
          <w:szCs w:val="24"/>
          <w:u w:val="none" w:color="auto"/>
          <w:lang w:val="en-US" w:eastAsia="zh-CN"/>
        </w:rPr>
        <w:t>鹿角交通渔政综合执法码头</w:t>
      </w:r>
      <w:r>
        <w:rPr>
          <w:rFonts w:hint="default" w:ascii="Times New Roman" w:hAnsi="Times New Roman" w:eastAsia="宋体" w:cs="Times New Roman"/>
          <w:color w:val="auto"/>
          <w:sz w:val="24"/>
          <w:szCs w:val="24"/>
          <w:u w:val="none" w:color="auto"/>
        </w:rPr>
        <w:t>营运后，来往船舶数量增加，船舶机械伤害江豚概率有所上升，但现阶段长江航段船舶数量约为295艘，新增船舶数量占现阶段总的船舶数量比例较小，新增船舶机械伤害对江豚的影响有限。</w:t>
      </w:r>
    </w:p>
    <w:p w14:paraId="2ACA628E">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已有研究表明，</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对船舶噪声有主动躲避行为，比如，船舶出现与江豚出现存在负相关关系，在船舶航行轨迹的0~50m垂直距离范围内，通常难以观察到江豚，而在 50~100m 范围内却能观察到江豚。尽管</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能主动避船，但在某些特殊情形下，仍容易被航行船舶伤害，比如在捕食时，江豚容易不理会船舶靠近；在相对狭窄的水道内，高速船舶突然接近时，江豚无处躲避或难以在短时间内逃离到安全距离之外。如果运行期内船舶航运量密度过高，船舶之间的距离在 200m 以内，会对江豚产生一定的影响。因此，需控制</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进出量。</w:t>
      </w:r>
    </w:p>
    <w:p w14:paraId="6FC7C975">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④饵料资源</w:t>
      </w:r>
    </w:p>
    <w:p w14:paraId="07B4FEB0">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主要以小型鱼类为食，如鲤、黄尾鲴、鲫、短颌鲚、鲇、餐、鲢、鳊、草鱼等在江豚的胃中都有发现。工程施工产生的悬浮泥沙会对鱼卵、仔稚鱼和幼体会造成伤害，影响鱼类资源一定程度减少，从而也影响了江豚的食物来源，导致其食物来源获得性降低。饵料的减少会增加江豚的捕食难度，从而降低抵御危险的能力，另外饵料的短缺还会影响江豚的正常繁殖。工程施工改变了施工影响江段鱼类的暂时空间分布，但由于工程影响范围较小，且不占用产粘沉性鱼类产卵场，因此对</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饵料资源的影响很小。</w:t>
      </w:r>
    </w:p>
    <w:p w14:paraId="4DC002B5">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该</w:t>
      </w:r>
      <w:r>
        <w:rPr>
          <w:rFonts w:hint="default" w:ascii="Times New Roman" w:hAnsi="Times New Roman" w:eastAsia="宋体" w:cs="Times New Roman"/>
          <w:color w:val="auto"/>
          <w:sz w:val="24"/>
          <w:szCs w:val="24"/>
          <w:u w:val="none" w:color="auto"/>
        </w:rPr>
        <w:t>水域水位较深，是湘江航道，是江豚的重要分布区之一</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来往</w:t>
      </w:r>
      <w:r>
        <w:rPr>
          <w:rFonts w:hint="default" w:ascii="Times New Roman" w:hAnsi="Times New Roman" w:eastAsia="宋体" w:cs="Times New Roman"/>
          <w:color w:val="auto"/>
          <w:sz w:val="24"/>
          <w:szCs w:val="24"/>
          <w:u w:val="none" w:color="auto"/>
          <w:lang w:eastAsia="zh-CN"/>
        </w:rPr>
        <w:t>航行船</w:t>
      </w:r>
      <w:r>
        <w:rPr>
          <w:rFonts w:hint="default" w:ascii="Times New Roman" w:hAnsi="Times New Roman" w:eastAsia="宋体" w:cs="Times New Roman"/>
          <w:color w:val="auto"/>
          <w:sz w:val="24"/>
          <w:szCs w:val="24"/>
          <w:u w:val="none" w:color="auto"/>
          <w:lang w:val="en-US" w:eastAsia="zh-CN"/>
        </w:rPr>
        <w:t>只对</w:t>
      </w:r>
      <w:r>
        <w:rPr>
          <w:rFonts w:hint="default" w:ascii="Times New Roman" w:hAnsi="Times New Roman" w:eastAsia="宋体" w:cs="Times New Roman"/>
          <w:color w:val="auto"/>
          <w:sz w:val="24"/>
          <w:szCs w:val="24"/>
          <w:u w:val="none" w:color="auto"/>
        </w:rPr>
        <w:t>水体扰动、机械噪声与振运，特别是持续噪声将干扰江豚回声定位，使江豚迷失方向，对路过的江豚造成较大影响；</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lang w:val="en-US" w:eastAsia="zh-CN"/>
        </w:rPr>
        <w:t>营运</w:t>
      </w:r>
      <w:r>
        <w:rPr>
          <w:rFonts w:hint="default" w:ascii="Times New Roman" w:hAnsi="Times New Roman" w:eastAsia="宋体" w:cs="Times New Roman"/>
          <w:color w:val="auto"/>
          <w:sz w:val="24"/>
          <w:szCs w:val="24"/>
          <w:u w:val="none" w:color="auto"/>
        </w:rPr>
        <w:t>将造成该区域附近区域鱼类资源减少。项目往来船舶会对江豚造成惊扰，但江豚都具有遇船只逃避的本能，即使偶然与船相遇，也能及时避让，改道前行。因此，本工程来往船舶对江豚的上下游动等的影响程度有限。</w:t>
      </w:r>
    </w:p>
    <w:p w14:paraId="4F545B5C">
      <w:pPr>
        <w:pStyle w:val="15"/>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13" w:name="_Toc27170"/>
      <w:r>
        <w:rPr>
          <w:rFonts w:hint="default" w:ascii="Times New Roman" w:hAnsi="Times New Roman" w:eastAsia="宋体" w:cs="Times New Roman"/>
          <w:color w:val="auto"/>
          <w:sz w:val="24"/>
          <w:szCs w:val="24"/>
          <w:u w:val="none" w:color="auto"/>
        </w:rPr>
        <w:t>1、对长江江豚流态分布的影响</w:t>
      </w:r>
      <w:bookmarkEnd w:id="713"/>
    </w:p>
    <w:p w14:paraId="230DBC23">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长江江豚对栖息地有较强的选择性，喜好在江河、江湖交汇处和沙洲附近等水域活动，原因是这些水域河床坡度平缓，底质为淤泥，大型回水区多，水流缓慢，水生生物资源丰富，人类活动少。</w:t>
      </w:r>
    </w:p>
    <w:p w14:paraId="5087398B">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码头位于湘江下游</w:t>
      </w:r>
      <w:r>
        <w:rPr>
          <w:rFonts w:hint="default" w:ascii="Times New Roman" w:hAnsi="Times New Roman" w:eastAsia="宋体" w:cs="Times New Roman"/>
          <w:color w:val="auto"/>
          <w:sz w:val="24"/>
          <w:szCs w:val="24"/>
          <w:u w:val="none" w:color="auto"/>
          <w:lang w:val="en-US" w:eastAsia="zh-CN"/>
        </w:rPr>
        <w:t>岳阳县</w:t>
      </w:r>
      <w:r>
        <w:rPr>
          <w:rFonts w:hint="default" w:ascii="Times New Roman" w:hAnsi="Times New Roman" w:eastAsia="宋体" w:cs="Times New Roman"/>
          <w:color w:val="auto"/>
          <w:sz w:val="24"/>
          <w:szCs w:val="24"/>
          <w:u w:val="none" w:color="auto"/>
        </w:rPr>
        <w:t>江段。参考东洞庭湖长江江豚历年考察结果，评价江段罕有长江江豚集群分布记录，非长江江豚重点活动区域。码头提质改造工程整体规模较小，涉水作业面狭窄，基本不改变评价区域河道形态，生境类别，对保护区长江江豚流态分布影响极小。</w:t>
      </w:r>
    </w:p>
    <w:p w14:paraId="1D46869A">
      <w:pPr>
        <w:pStyle w:val="15"/>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14" w:name="_Toc8604"/>
      <w:r>
        <w:rPr>
          <w:rFonts w:hint="default" w:ascii="Times New Roman" w:hAnsi="Times New Roman" w:eastAsia="宋体" w:cs="Times New Roman"/>
          <w:color w:val="auto"/>
          <w:sz w:val="24"/>
          <w:szCs w:val="24"/>
          <w:u w:val="none" w:color="auto"/>
        </w:rPr>
        <w:t>2、对长江江豚觅食的影响分析</w:t>
      </w:r>
      <w:bookmarkEnd w:id="714"/>
    </w:p>
    <w:p w14:paraId="72F3FAA0">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长江江豚喜欢栖息活动的水区，通常在长江边滩、江心洲附近以及分汊河道交汇处觅食，洪水期通常喜欢洲滩滩头活动、觅食，由于水位上升，淹没的洲滩为鱼类提供了丰富的饵料资源和适宜的栖息场所，鱼类群聚的同时也为江豚带来了很好的觅食良机。枯水期则常在洲滩尾部觅食。江豚觅食地点主要分布于近岸300m内缓水滩地，水草茂盛的水域。本工程附近区域的玉带洲、清洁洲洲缘区域，水草丰茂，为江豚提供了良好的觅食场所。本工程施工对江豚觅食影响较小，项目运营期，船舶航运活动会对附近区域江豚的觅食活动产生一定影响。</w:t>
      </w:r>
    </w:p>
    <w:p w14:paraId="03BDCE39">
      <w:pPr>
        <w:pStyle w:val="15"/>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15" w:name="_Toc7995"/>
      <w:r>
        <w:rPr>
          <w:rFonts w:hint="default" w:ascii="Times New Roman" w:hAnsi="Times New Roman" w:eastAsia="宋体" w:cs="Times New Roman"/>
          <w:color w:val="auto"/>
          <w:sz w:val="24"/>
          <w:szCs w:val="24"/>
          <w:u w:val="none" w:color="auto"/>
        </w:rPr>
        <w:t>3、对长江江豚繁殖能力的影响分析</w:t>
      </w:r>
      <w:bookmarkEnd w:id="715"/>
    </w:p>
    <w:p w14:paraId="0DA91941">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长江江豚交配水生态环境要求安静，水速相对静止或缓慢，因此江豚夏季早晚，通常在洲尾的滞留区或分离区交配。由于刚出生的幼豚运动能力与声呐系统发育不完善，因此江豚通常选择洲头的分流区进行抚幼活动。枯水期正是新生江豚发育关键时期。工程实施后，项目区域船舶来往频次增加，由于幼年江豚声呐系统尚未发育完善，易受船舶尾浪冲击搁浅受伤。根据观测，本项目附近区域未发现江豚重要繁育场所，项目施工和运行对江豚繁殖能力影响较小。</w:t>
      </w:r>
    </w:p>
    <w:p w14:paraId="1F6FDC0A">
      <w:pPr>
        <w:pStyle w:val="15"/>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16" w:name="_Toc20519"/>
      <w:r>
        <w:rPr>
          <w:rFonts w:hint="default" w:ascii="Times New Roman" w:hAnsi="Times New Roman" w:eastAsia="宋体" w:cs="Times New Roman"/>
          <w:color w:val="auto"/>
          <w:sz w:val="24"/>
          <w:szCs w:val="24"/>
          <w:u w:val="none" w:color="auto"/>
        </w:rPr>
        <w:t>4、对长江江豚迁移行为的影响</w:t>
      </w:r>
      <w:bookmarkEnd w:id="716"/>
    </w:p>
    <w:p w14:paraId="1DEB381C">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东洞庭湖长江江豚迁徙规律与湖区鱼类洄游习性密切关系。东洞庭湖鱼类繁殖期和越冬期，水位发生急剧变化，长江江豚向下游扁山水域（鱼类产卵场）迁移；东洞庭湖鱼类育肥期，水位相对稳定，长江江豚多集中分布于鲇鱼口（鱼类索饵场）水域或呈随机分布状态。</w:t>
      </w:r>
    </w:p>
    <w:p w14:paraId="4EB3405C">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评价区域长江江豚向下前往洞庭湖扁山水域觅食迁徙路线位于青山岛右汊（非主航道），</w:t>
      </w:r>
      <w:r>
        <w:rPr>
          <w:rFonts w:hint="default" w:ascii="Times New Roman" w:hAnsi="Times New Roman" w:eastAsia="宋体" w:cs="Times New Roman"/>
          <w:color w:val="auto"/>
          <w:sz w:val="24"/>
          <w:szCs w:val="24"/>
          <w:u w:val="none" w:color="auto"/>
          <w:lang w:val="en-US" w:eastAsia="zh-CN"/>
        </w:rPr>
        <w:t>项目</w:t>
      </w:r>
      <w:r>
        <w:rPr>
          <w:rFonts w:hint="default" w:ascii="Times New Roman" w:hAnsi="Times New Roman" w:eastAsia="宋体" w:cs="Times New Roman"/>
          <w:color w:val="auto"/>
          <w:sz w:val="24"/>
          <w:szCs w:val="24"/>
          <w:u w:val="none" w:color="auto"/>
        </w:rPr>
        <w:t>码头提质改造工程非长江江豚关键迁徙线路。工程建设对长江江豚迁移行为的影响较小。</w:t>
      </w:r>
    </w:p>
    <w:p w14:paraId="5EBBDF1C">
      <w:pPr>
        <w:pStyle w:val="15"/>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u w:val="none" w:color="auto"/>
        </w:rPr>
      </w:pPr>
      <w:bookmarkStart w:id="717" w:name="_Toc15927"/>
      <w:r>
        <w:rPr>
          <w:rFonts w:hint="default" w:ascii="Times New Roman" w:hAnsi="Times New Roman" w:eastAsia="宋体" w:cs="Times New Roman"/>
          <w:color w:val="auto"/>
          <w:sz w:val="24"/>
          <w:szCs w:val="24"/>
          <w:u w:val="none" w:color="auto"/>
        </w:rPr>
        <w:t>5、撞击风险对长江江豚的影响</w:t>
      </w:r>
      <w:bookmarkEnd w:id="717"/>
    </w:p>
    <w:p w14:paraId="58E5F0B3">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长江江豚寻找食物、巡游或者与同伴交流，更多地是依靠发声系统和听觉功能，视力所起到的作用很小。江豚的发声和听觉系统相当于一个雷达或声纳系统，江豚平均每5s就会发出一个脉冲串，这是江豚探测周围环境的主要工具，而环境噪音的增加会对江豚的探测能力产生严重影响，从而降低其生活能力。长江江豚对45-139kHz的声音极其敏感（Supin 等，2005）。</w:t>
      </w:r>
    </w:p>
    <w:p w14:paraId="77FD2C94">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船舶噪音和振动干扰豚类的声纳系统，大量船舶运行同样挤占了长江江豚的生存空间，机船螺旋桨会对江豚造成直接伤害。根据统计数据，约有32%非正常死亡的豚类来自船舶撞死（Zhou and Wang，1994a）。2008年至2015年期间共发生171起长江江豚死亡事件。</w:t>
      </w:r>
    </w:p>
    <w:p w14:paraId="6B1C3801">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码头提质改造后，随着评价区域通航量的增加，通航的频次提升，货轮螺旋桨对长江江豚的误伤机率也将增大。其次，长期的船舶噪声可对长江江豚的声学定位系统产生损伤，影响其正常的生长和发育。此外，货轮产生的含油污染物，对长江江豚的栖息生境也会产生负面影响。</w:t>
      </w:r>
    </w:p>
    <w:p w14:paraId="7B411D34">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rPr>
      </w:pPr>
      <w:bookmarkStart w:id="718" w:name="_Toc5511"/>
      <w:bookmarkStart w:id="719" w:name="_Toc29697"/>
      <w:r>
        <w:rPr>
          <w:rFonts w:hint="default" w:ascii="Times New Roman" w:hAnsi="Times New Roman" w:eastAsia="宋体" w:cs="Times New Roman"/>
          <w:color w:val="auto"/>
          <w:sz w:val="24"/>
          <w:szCs w:val="24"/>
          <w:u w:val="none" w:color="auto"/>
          <w:lang w:val="en-US" w:eastAsia="zh-CN"/>
        </w:rPr>
        <w:t xml:space="preserve">5.3.4 </w:t>
      </w:r>
      <w:r>
        <w:rPr>
          <w:rFonts w:hint="default" w:ascii="Times New Roman" w:hAnsi="Times New Roman" w:eastAsia="宋体" w:cs="Times New Roman"/>
          <w:color w:val="auto"/>
          <w:sz w:val="24"/>
          <w:szCs w:val="24"/>
          <w:u w:val="none" w:color="auto"/>
        </w:rPr>
        <w:t>对</w:t>
      </w:r>
      <w:r>
        <w:rPr>
          <w:rFonts w:hint="default" w:ascii="Times New Roman" w:hAnsi="Times New Roman" w:eastAsia="宋体" w:cs="Times New Roman"/>
          <w:color w:val="auto"/>
          <w:sz w:val="24"/>
          <w:szCs w:val="24"/>
          <w:u w:val="none" w:color="auto"/>
          <w:lang w:val="en-US" w:eastAsia="zh-CN"/>
        </w:rPr>
        <w:t>其他</w:t>
      </w:r>
      <w:r>
        <w:rPr>
          <w:rFonts w:hint="default" w:ascii="Times New Roman" w:hAnsi="Times New Roman" w:eastAsia="宋体" w:cs="Times New Roman"/>
          <w:color w:val="auto"/>
          <w:sz w:val="24"/>
          <w:szCs w:val="24"/>
          <w:u w:val="none" w:color="auto"/>
        </w:rPr>
        <w:t>水生生态影响</w:t>
      </w:r>
      <w:bookmarkEnd w:id="718"/>
      <w:bookmarkEnd w:id="719"/>
    </w:p>
    <w:p w14:paraId="5D4CDDF9">
      <w:pPr>
        <w:pStyle w:val="10"/>
        <w:pageBreakBefore w:val="0"/>
        <w:numPr>
          <w:ilvl w:val="0"/>
          <w:numId w:val="0"/>
        </w:numPr>
        <w:tabs>
          <w:tab w:val="left" w:pos="864"/>
        </w:tabs>
        <w:kinsoku/>
        <w:wordWrap/>
        <w:overflowPunct/>
        <w:topLinePunct w:val="0"/>
        <w:bidi w:val="0"/>
        <w:spacing w:beforeLines="0" w:afterLines="0"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5.3.4.1 </w:t>
      </w:r>
      <w:r>
        <w:rPr>
          <w:rFonts w:hint="default" w:ascii="Times New Roman" w:hAnsi="Times New Roman" w:eastAsia="宋体" w:cs="Times New Roman"/>
          <w:color w:val="auto"/>
          <w:sz w:val="24"/>
          <w:szCs w:val="24"/>
          <w:u w:val="none" w:color="auto"/>
        </w:rPr>
        <w:t>对浮游</w:t>
      </w:r>
      <w:r>
        <w:rPr>
          <w:rFonts w:hint="default" w:ascii="Times New Roman" w:hAnsi="Times New Roman" w:eastAsia="宋体" w:cs="Times New Roman"/>
          <w:color w:val="auto"/>
          <w:sz w:val="24"/>
          <w:szCs w:val="24"/>
          <w:u w:val="none" w:color="auto"/>
          <w:lang w:val="en-US" w:eastAsia="zh-CN"/>
        </w:rPr>
        <w:t>动、</w:t>
      </w:r>
      <w:r>
        <w:rPr>
          <w:rFonts w:hint="default" w:ascii="Times New Roman" w:hAnsi="Times New Roman" w:eastAsia="宋体" w:cs="Times New Roman"/>
          <w:color w:val="auto"/>
          <w:sz w:val="24"/>
          <w:szCs w:val="24"/>
          <w:u w:val="none" w:color="auto"/>
        </w:rPr>
        <w:t>植物的影响</w:t>
      </w:r>
    </w:p>
    <w:p w14:paraId="22A73579">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藻类是具有叶绿素和其他光合色素，能进行光合作用的原始、低等的植物。多数藻类是鱼类和其他经济动物的直接或间接的饵料。</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lang w:val="en-US" w:eastAsia="zh-CN"/>
        </w:rPr>
        <w:t>停靠的船舶航行</w:t>
      </w:r>
      <w:r>
        <w:rPr>
          <w:rFonts w:hint="default" w:ascii="Times New Roman" w:hAnsi="Times New Roman" w:eastAsia="宋体" w:cs="Times New Roman"/>
          <w:color w:val="auto"/>
          <w:sz w:val="24"/>
          <w:szCs w:val="24"/>
          <w:u w:val="none" w:color="auto"/>
        </w:rPr>
        <w:t>会引起局部水域中悬浮颗粒增加，水中悬浮物浓度升高降低了水体的透光率，不利于藻类生长繁殖，导致其数量阶段性减少。虽然工程施工会使浮游动物的生物量有一定的减少，但由于浮游动物个体小，繁殖速度快，待水质恢复后，浮游生物的数量将会逐步恢复，因此，工程施工对该江段的浮游生物的影响只是局部的、暂时性的。</w:t>
      </w:r>
    </w:p>
    <w:p w14:paraId="74FE7ED6">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导致的局部水域水质浑浊，一方面会直接造成浮游动物的死亡，另一方面这些施工作业会造成作为饵料的浮游植物减少，同样也会加速浮游动物数量和种类的减少。同时，桩基施工导致沉积在江底的有害物质释放，从而导致施工江段及其下游局部水域的水质改变，对浮游动物有一定的致毒作用。施工江段平均水深8m，以泊位岸线长和施工区域外延200m为工程影响区计算影响水域体积，经计算，在施工期间，浮游动物的损失量16.8kg。</w:t>
      </w:r>
    </w:p>
    <w:p w14:paraId="4A1E63E3">
      <w:pPr>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同浮游植物一样，工程施工虽然会使浮游动物的生物量有一定的减少，但这种影响只是局部的、暂时性的，因此工程施工对评价区的浮游生物的影响有限。</w:t>
      </w:r>
    </w:p>
    <w:p w14:paraId="26168860">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船舶航行会对周围水体产生扰动，这些扰动会对水域水生生物的生物量、种类及栖息环境产生一定影响。但由于船舶是在水体上层航行，主要影响也集中在上层水域，水生生物除浮游生物（主要是浮游植物）在水体表层活动强度较大外，其它生物多在中层：及底层活动，且水生生物的浮（游）动性较强，会自动规避船舶带来的扰动。因此，船舶航行对水体扰动影响范围较小，对水生生物的影响较小，不会根本改变水生生物的栖息环境，也不会使生物种类、数量明显减少。</w:t>
      </w:r>
    </w:p>
    <w:p w14:paraId="0F383498">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工程运营后，</w:t>
      </w:r>
      <w:r>
        <w:rPr>
          <w:rFonts w:hint="default" w:ascii="Times New Roman" w:hAnsi="Times New Roman" w:eastAsia="宋体" w:cs="Times New Roman"/>
          <w:color w:val="auto"/>
          <w:sz w:val="24"/>
          <w:szCs w:val="24"/>
          <w:u w:val="none" w:color="auto"/>
          <w:lang w:val="en-US" w:eastAsia="zh-CN"/>
        </w:rPr>
        <w:t>趸船</w:t>
      </w:r>
      <w:r>
        <w:rPr>
          <w:rFonts w:hint="default" w:ascii="Times New Roman" w:hAnsi="Times New Roman" w:eastAsia="宋体" w:cs="Times New Roman"/>
          <w:color w:val="auto"/>
          <w:sz w:val="24"/>
          <w:szCs w:val="24"/>
          <w:u w:val="none" w:color="auto"/>
        </w:rPr>
        <w:t>永久性占用水域、进出船舶数量增多，但项目过驳作业平台和供电趸船等水面设施占用水域表面阻挡了此区域光照，从而导致水体中底栖/浮游生物、水生植物无光照区域的生物量损失，这部分影响是长期存在</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关于营运期水生生物资源量补偿评估测算，项目所在江段浮游植物生物量平均28.86mg/L、浮游动物生物量平均为0.116mg/L、底栖软体动物平均生物量为121.63g/m</w:t>
      </w:r>
      <w:r>
        <w:rPr>
          <w:rFonts w:hint="default" w:ascii="Times New Roman" w:hAnsi="Times New Roman" w:eastAsia="宋体" w:cs="Times New Roman"/>
          <w:color w:val="auto"/>
          <w:sz w:val="24"/>
          <w:szCs w:val="24"/>
          <w:u w:val="none" w:color="auto"/>
          <w:vertAlign w:val="superscript"/>
        </w:rPr>
        <w:t>2</w:t>
      </w:r>
      <w:r>
        <w:rPr>
          <w:rFonts w:hint="default" w:ascii="Times New Roman" w:hAnsi="Times New Roman" w:eastAsia="宋体" w:cs="Times New Roman"/>
          <w:color w:val="auto"/>
          <w:sz w:val="24"/>
          <w:szCs w:val="24"/>
          <w:u w:val="none" w:color="auto"/>
        </w:rPr>
        <w:t>。营运期测算出影响所在水域范围内浮游植物/动物、底栖动物损失量949.4kg/年。但由于</w:t>
      </w:r>
      <w:r>
        <w:rPr>
          <w:rFonts w:hint="default" w:ascii="Times New Roman" w:hAnsi="Times New Roman" w:eastAsia="宋体" w:cs="Times New Roman"/>
          <w:color w:val="auto"/>
          <w:sz w:val="24"/>
          <w:szCs w:val="24"/>
          <w:u w:val="none" w:color="auto"/>
          <w:lang w:val="en-US" w:eastAsia="zh-CN"/>
        </w:rPr>
        <w:t>趸船</w:t>
      </w:r>
      <w:r>
        <w:rPr>
          <w:rFonts w:hint="default" w:ascii="Times New Roman" w:hAnsi="Times New Roman" w:eastAsia="宋体" w:cs="Times New Roman"/>
          <w:color w:val="auto"/>
          <w:sz w:val="24"/>
          <w:szCs w:val="24"/>
          <w:u w:val="none" w:color="auto"/>
        </w:rPr>
        <w:t>占用水域面积较少，对浮游动、植物的影响非常有限，不会影响到水生生态系统食物链。</w:t>
      </w:r>
    </w:p>
    <w:p w14:paraId="020D9172">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船舶舱底含油污水的排放在水体表明形成油膜，会影响浮游植物的光合作用，并对浮游动、植物产生一定的毒害作用，运营期应严格控制船舶含油污水的排放，以降低对浮游动、植物的影响。另外，由于进出港船舶增多，出现碰撞事故的概率提高，浮游动物石油急性中毒致死浓度范围一般为0.1~15mg/L，而且通过不同浓度的石油类环境对桡足类幼体的影响实验表明，永久性（终生性）浮游动物幼体的敏感性大于阶段性（临时性）的底栖生物幼体，而它们各自的幼体的敏感性又大于成体。因此，务必做好防护措施，减少风险事故的发生。</w:t>
      </w:r>
    </w:p>
    <w:p w14:paraId="654FC667">
      <w:pPr>
        <w:pStyle w:val="10"/>
        <w:pageBreakBefore w:val="0"/>
        <w:numPr>
          <w:ilvl w:val="0"/>
          <w:numId w:val="0"/>
        </w:numPr>
        <w:tabs>
          <w:tab w:val="left" w:pos="864"/>
        </w:tabs>
        <w:kinsoku/>
        <w:wordWrap/>
        <w:overflowPunct/>
        <w:topLinePunct w:val="0"/>
        <w:bidi w:val="0"/>
        <w:spacing w:beforeLines="0" w:afterLines="0"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5.3.4.2 </w:t>
      </w:r>
      <w:r>
        <w:rPr>
          <w:rFonts w:hint="default" w:ascii="Times New Roman" w:hAnsi="Times New Roman" w:eastAsia="宋体" w:cs="Times New Roman"/>
          <w:color w:val="auto"/>
          <w:sz w:val="24"/>
          <w:szCs w:val="24"/>
          <w:u w:val="none" w:color="auto"/>
        </w:rPr>
        <w:t>对底栖动物的影响</w:t>
      </w:r>
    </w:p>
    <w:p w14:paraId="768D3993">
      <w:pPr>
        <w:pStyle w:val="28"/>
        <w:pageBreakBefore w:val="0"/>
        <w:kinsoku/>
        <w:wordWrap/>
        <w:overflowPunct/>
        <w:topLinePunct w:val="0"/>
        <w:bidi w:val="0"/>
        <w:spacing w:after="0"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工程施工如趸船</w:t>
      </w:r>
      <w:r>
        <w:rPr>
          <w:rFonts w:hint="default" w:ascii="Times New Roman" w:hAnsi="Times New Roman" w:eastAsia="宋体" w:cs="Times New Roman"/>
          <w:color w:val="auto"/>
          <w:sz w:val="24"/>
          <w:szCs w:val="24"/>
          <w:u w:val="none" w:color="auto"/>
          <w:lang w:eastAsia="zh-CN"/>
        </w:rPr>
        <w:t>、抛锚定位</w:t>
      </w:r>
      <w:r>
        <w:rPr>
          <w:rFonts w:hint="default" w:ascii="Times New Roman" w:hAnsi="Times New Roman" w:eastAsia="宋体" w:cs="Times New Roman"/>
          <w:color w:val="auto"/>
          <w:sz w:val="24"/>
          <w:szCs w:val="24"/>
          <w:u w:val="none" w:color="auto"/>
        </w:rPr>
        <w:t>破坏了底栖生物的栖息地，使底栖生物失去了部分栖息地，栖息环境受到了影响。施工结束后，底栖生物将逐渐恢复，但底栖群落与原来相比将有很大的差别。底栖种类多样性会有所减少，群落结构简单化，群落的稳定性会下降。在抛锚定位时，挖掘区的局部水域悬浮物会增加，从而降低水体透明度，会使底栖生物的生理受到影响，一些敏感种会受损，甚至消失。本项目不涉及护岸抛石。同时施工所产生的悬浮物也会影响到附近水域底栖动物的呼吸、摄食等生命活动，也直接改变了其栖息环境。经计算，在施工期间，底栖动物的损失量83.5kg。由于施工影响范围有限，一段时间之后，施工区域生态效应作用将会逐渐形成新的平衡。由于施工量较小，施工期短暂，当施工停止后可恢复到原有水平。</w:t>
      </w:r>
    </w:p>
    <w:p w14:paraId="05205A86">
      <w:pPr>
        <w:pStyle w:val="10"/>
        <w:pageBreakBefore w:val="0"/>
        <w:tabs>
          <w:tab w:val="left" w:pos="864"/>
        </w:tabs>
        <w:kinsoku/>
        <w:wordWrap/>
        <w:overflowPunct/>
        <w:topLinePunct w:val="0"/>
        <w:bidi w:val="0"/>
        <w:spacing w:beforeLines="0" w:afterLines="0" w:line="360" w:lineRule="auto"/>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5.3.4.3 对水生维管束植物的影响</w:t>
      </w:r>
    </w:p>
    <w:p w14:paraId="7EC2B568">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对水生植被的影响主要是码头施工过程中，码头和引桥等的桩基永久占地和施工临时占地对沿岸湿生植被的直接破坏，此外，施工过程中所产生的悬浮物等会附着在水生植被上，对水生植被产生一定影响。由于施工区江段常水位以下水生植物稀少，常水位以上以陆生、湿生植物为主。工程区常水位以下水草较少，工程对水生维管束植物的影响很小。</w:t>
      </w:r>
    </w:p>
    <w:p w14:paraId="7AFF8EDE">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rPr>
      </w:pPr>
      <w:bookmarkStart w:id="720" w:name="_Toc16855"/>
      <w:bookmarkStart w:id="721" w:name="_Toc2860"/>
      <w:r>
        <w:rPr>
          <w:rFonts w:hint="default" w:ascii="Times New Roman" w:hAnsi="Times New Roman" w:eastAsia="宋体" w:cs="Times New Roman"/>
          <w:color w:val="auto"/>
          <w:sz w:val="24"/>
          <w:szCs w:val="24"/>
          <w:lang w:val="en-US" w:eastAsia="zh-CN"/>
        </w:rPr>
        <w:t xml:space="preserve">5.3.5 </w:t>
      </w:r>
      <w:r>
        <w:rPr>
          <w:rFonts w:hint="default" w:ascii="Times New Roman" w:hAnsi="Times New Roman" w:eastAsia="宋体" w:cs="Times New Roman"/>
          <w:color w:val="auto"/>
          <w:sz w:val="24"/>
          <w:szCs w:val="24"/>
        </w:rPr>
        <w:t>对陆域生态的影响</w:t>
      </w:r>
      <w:bookmarkEnd w:id="720"/>
      <w:bookmarkEnd w:id="721"/>
    </w:p>
    <w:p w14:paraId="1E2122C7">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本项目施工永久占地、临时占地对土地资源和陆域动植物会造成一定影响。</w:t>
      </w:r>
    </w:p>
    <w:p w14:paraId="36B7AA50">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rPr>
      </w:pPr>
      <w:bookmarkStart w:id="722" w:name="_Toc14079"/>
      <w:r>
        <w:rPr>
          <w:rFonts w:hint="default" w:ascii="Times New Roman" w:hAnsi="Times New Roman" w:eastAsia="宋体" w:cs="Times New Roman"/>
          <w:color w:val="auto"/>
          <w:sz w:val="24"/>
          <w:szCs w:val="24"/>
        </w:rPr>
        <w:t>1、对陆域植被的影响分析</w:t>
      </w:r>
      <w:bookmarkEnd w:id="722"/>
    </w:p>
    <w:p w14:paraId="4DAA708C">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码头滩地植被类型单一，主要以灌草丛为主，码头引桥桩基施工将对占地范围内的植被造成破坏。本项目对植物的不利影响主要表现为码头施工期对地表植物物种及植被造成的直接破坏，主要是导致评价区内植被面积减少，生物量降低，主要影响灌草丛植被</w:t>
      </w:r>
      <w:r>
        <w:rPr>
          <w:rFonts w:hint="default" w:ascii="Times New Roman" w:hAnsi="Times New Roman" w:eastAsia="宋体" w:cs="Times New Roman"/>
          <w:color w:val="auto"/>
          <w:sz w:val="24"/>
          <w:szCs w:val="24"/>
          <w:lang w:eastAsia="zh-CN"/>
        </w:rPr>
        <w:t>。</w:t>
      </w:r>
    </w:p>
    <w:p w14:paraId="680ED8DB">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临时场地设置在后方陆域堆场区域，占地类型为灌草地。施工临建设施占压及施工活动扰动区表层土壤结构、肥力、物理性质将被临时性破坏。施工活动会造成一定生物量损失，但受影响植物基本为地区常见种类，其生长范围广，适应性强，不会因工程占地导致植物种群消失或灭绝。并且施工临时占地在施工结束后，通过采取一定的整治恢复措施，地表植被可以逐步得到恢复。</w:t>
      </w:r>
    </w:p>
    <w:p w14:paraId="39B8CE10">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永久占地主要以耕地、林地为主，现有植被主要为少量农作物植被，如水稻、蔬菜、瓜果等，多为当地常见农作物种，林地植被以灌草地为主。受工程永久占地影响的植被种类均为常见种，个体及植被生物量减少较小，工程永久占地对评价区内植物及植被影响较小。本项目办理了国土和林业用地手续。因此，本工程永久占地对占地区植物种类、植被类型及生物量的影响较小。</w:t>
      </w:r>
    </w:p>
    <w:p w14:paraId="00702C7D">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发现有国家Ⅱ级重点保护植物樟树1株，树龄150年，位于火车散货装卸场东侧80m，不在本工程范围内。本报告要求划定施工范围，严禁越界施工，设置警示牌，就地保护。本工程建设不会破坏保护植物的生境，施工活动对其生长基本无影响。</w:t>
      </w:r>
    </w:p>
    <w:p w14:paraId="2738D094">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rPr>
      </w:pPr>
      <w:bookmarkStart w:id="723" w:name="_Toc29551"/>
      <w:r>
        <w:rPr>
          <w:rFonts w:hint="default" w:ascii="Times New Roman" w:hAnsi="Times New Roman" w:eastAsia="宋体" w:cs="Times New Roman"/>
          <w:color w:val="auto"/>
          <w:sz w:val="24"/>
          <w:szCs w:val="24"/>
        </w:rPr>
        <w:t>2、对陆域动物的影响分析</w:t>
      </w:r>
      <w:bookmarkEnd w:id="723"/>
    </w:p>
    <w:p w14:paraId="40004DB5">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长期受到人为活动的影响，评价区域内的野生动物种类和数量较少，多为鸟类、蛇类、青蛙、鼠类等常见物种，无珍稀濒危物种。工程施工会占用评价区陆生动物的小部分生境，但它们会自动迁移到附近相似的生境中去，工程建设对不会对陆域动物生境造成显著影响。</w:t>
      </w:r>
    </w:p>
    <w:p w14:paraId="678B6259">
      <w:pPr>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rPr>
      </w:pPr>
      <w:bookmarkStart w:id="724" w:name="_Toc15032"/>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对外来入侵植物的影响</w:t>
      </w:r>
      <w:bookmarkEnd w:id="724"/>
    </w:p>
    <w:p w14:paraId="396811D3">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分布的外来入侵物种共6种，分别为垂序商陆、野燕麦、一年蓬、小蓬草、喜旱莲子草、凤眼莲。上述6种入侵物种由于缺少天敌而大量繁殖会对当地生态造成很大的危害。而且随着工程车辆的进入，人们将会有意无意的将新的外来物种带进该区域，或者将入侵物种带出该区域，从而在新的地点形成新的分布区域。外来物种适应性、耐性强、繁殖力强，易占据本地物种生态位，对土著物种产生一定的排斥，改变区域种群、群落或生态系统的结构和功能，导致生态系统的单一或退化，破坏当地生态。</w:t>
      </w:r>
    </w:p>
    <w:p w14:paraId="39AF92EA">
      <w:pPr>
        <w:pStyle w:val="9"/>
        <w:pageBreakBefore w:val="0"/>
        <w:numPr>
          <w:ilvl w:val="0"/>
          <w:numId w:val="0"/>
        </w:numPr>
        <w:kinsoku/>
        <w:wordWrap/>
        <w:overflowPunct/>
        <w:topLinePunct w:val="0"/>
        <w:bidi w:val="0"/>
        <w:spacing w:before="0" w:after="0" w:line="360" w:lineRule="auto"/>
        <w:ind w:right="0" w:rightChars="0"/>
        <w:jc w:val="left"/>
        <w:textAlignment w:val="auto"/>
        <w:rPr>
          <w:rFonts w:hint="default" w:ascii="Times New Roman" w:hAnsi="Times New Roman" w:eastAsia="宋体" w:cs="Times New Roman"/>
          <w:color w:val="auto"/>
          <w:sz w:val="24"/>
          <w:szCs w:val="24"/>
          <w:u w:val="none" w:color="auto"/>
        </w:rPr>
      </w:pPr>
      <w:bookmarkStart w:id="725" w:name="_Toc7958"/>
      <w:bookmarkStart w:id="726" w:name="_Toc32559"/>
      <w:r>
        <w:rPr>
          <w:rFonts w:hint="default" w:ascii="Times New Roman" w:hAnsi="Times New Roman" w:eastAsia="宋体" w:cs="Times New Roman"/>
          <w:color w:val="auto"/>
          <w:sz w:val="24"/>
          <w:szCs w:val="24"/>
          <w:u w:val="none" w:color="auto"/>
          <w:lang w:val="en-US" w:eastAsia="zh-CN"/>
        </w:rPr>
        <w:t xml:space="preserve">5.3.6 </w:t>
      </w:r>
      <w:r>
        <w:rPr>
          <w:rFonts w:hint="default" w:ascii="Times New Roman" w:hAnsi="Times New Roman" w:eastAsia="宋体" w:cs="Times New Roman"/>
          <w:color w:val="auto"/>
          <w:sz w:val="24"/>
          <w:szCs w:val="24"/>
          <w:u w:val="none" w:color="auto"/>
        </w:rPr>
        <w:t>对鸟类的影响</w:t>
      </w:r>
      <w:bookmarkEnd w:id="725"/>
      <w:bookmarkEnd w:id="726"/>
    </w:p>
    <w:p w14:paraId="0E132149">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湖南东洞庭湖国家级自然保护区内常年栖息着251余种鸟类。根据野生动物分布图，鸟类主要集中于湖南东洞庭湖国家级自然保护区的核心区和缓冲区。</w:t>
      </w:r>
      <w:r>
        <w:rPr>
          <w:rFonts w:hint="default" w:ascii="Times New Roman" w:hAnsi="Times New Roman" w:eastAsia="宋体" w:cs="Times New Roman"/>
          <w:bCs/>
          <w:color w:val="auto"/>
          <w:sz w:val="24"/>
          <w:szCs w:val="24"/>
          <w:u w:val="none" w:color="auto"/>
        </w:rPr>
        <w:t>根据现有的调查和监测发现，项目评价范围内鸟类群落结构较湖南东洞庭湖国家级自然保护区核心区内鸟类群落相对简单，由于距离核心区较</w:t>
      </w:r>
      <w:r>
        <w:rPr>
          <w:rFonts w:hint="default" w:ascii="Times New Roman" w:hAnsi="Times New Roman" w:eastAsia="宋体" w:cs="Times New Roman"/>
          <w:bCs/>
          <w:color w:val="auto"/>
          <w:sz w:val="24"/>
          <w:szCs w:val="24"/>
          <w:u w:val="none" w:color="auto"/>
          <w:lang w:val="en-US" w:eastAsia="zh-CN"/>
        </w:rPr>
        <w:t>远</w:t>
      </w:r>
      <w:r>
        <w:rPr>
          <w:rFonts w:hint="default" w:ascii="Times New Roman" w:hAnsi="Times New Roman" w:eastAsia="宋体" w:cs="Times New Roman"/>
          <w:bCs/>
          <w:color w:val="auto"/>
          <w:sz w:val="24"/>
          <w:szCs w:val="24"/>
          <w:u w:val="none" w:color="auto"/>
        </w:rPr>
        <w:t>，鸟类重叠率较</w:t>
      </w:r>
      <w:r>
        <w:rPr>
          <w:rFonts w:hint="default" w:ascii="Times New Roman" w:hAnsi="Times New Roman" w:eastAsia="宋体" w:cs="Times New Roman"/>
          <w:bCs/>
          <w:color w:val="auto"/>
          <w:sz w:val="24"/>
          <w:szCs w:val="24"/>
          <w:u w:val="none" w:color="auto"/>
          <w:lang w:val="en-US" w:eastAsia="zh-CN"/>
        </w:rPr>
        <w:t>低</w:t>
      </w:r>
      <w:r>
        <w:rPr>
          <w:rFonts w:hint="default" w:ascii="Times New Roman" w:hAnsi="Times New Roman" w:eastAsia="宋体" w:cs="Times New Roman"/>
          <w:bCs/>
          <w:color w:val="auto"/>
          <w:sz w:val="24"/>
          <w:szCs w:val="24"/>
          <w:u w:val="none" w:color="auto"/>
        </w:rPr>
        <w:t>。本项目和湖南东洞庭湖国家级自然保护区的鸟类群落结构上的差异，主要是由鸟类活动结构的差异造成的。本项目不涉及高空建筑和设备，项目不在候鸟迁徙季节。</w:t>
      </w:r>
      <w:r>
        <w:rPr>
          <w:rFonts w:hint="default" w:ascii="Times New Roman" w:hAnsi="Times New Roman" w:eastAsia="宋体" w:cs="Times New Roman"/>
          <w:color w:val="auto"/>
          <w:sz w:val="24"/>
          <w:szCs w:val="24"/>
          <w:u w:val="none" w:color="auto"/>
        </w:rPr>
        <w:t>根据走访调查和查阅相关资料，评价区内鸟类共计61种，隶属12目32科，发现有国家二级保护鸟类白鹭5只。</w:t>
      </w:r>
    </w:p>
    <w:p w14:paraId="554B5E25">
      <w:pPr>
        <w:pageBreakBefore w:val="0"/>
        <w:kinsoku/>
        <w:wordWrap/>
        <w:overflowPunct/>
        <w:topLinePunct w:val="0"/>
        <w:bidi w:val="0"/>
        <w:snapToGrid w:val="0"/>
        <w:spacing w:line="360" w:lineRule="auto"/>
        <w:ind w:firstLine="560"/>
        <w:contextualSpacing/>
        <w:jc w:val="left"/>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由于</w:t>
      </w:r>
      <w:r>
        <w:rPr>
          <w:rFonts w:hint="default" w:ascii="Times New Roman" w:hAnsi="Times New Roman" w:eastAsia="宋体" w:cs="Times New Roman"/>
          <w:bCs/>
          <w:color w:val="auto"/>
          <w:sz w:val="24"/>
          <w:szCs w:val="24"/>
          <w:u w:val="none" w:color="auto"/>
          <w:lang w:eastAsia="zh-CN"/>
        </w:rPr>
        <w:t>码头提质改造</w:t>
      </w:r>
      <w:r>
        <w:rPr>
          <w:rFonts w:hint="default" w:ascii="Times New Roman" w:hAnsi="Times New Roman" w:eastAsia="宋体" w:cs="Times New Roman"/>
          <w:bCs/>
          <w:color w:val="auto"/>
          <w:sz w:val="24"/>
          <w:szCs w:val="24"/>
          <w:u w:val="none" w:color="auto"/>
        </w:rPr>
        <w:t>作业相应产生的噪声等可能对留鸟、候鸟的觅食、迁徙、停歇会产生一定的影响。同时也有研究表明鸟类对人类活动也具有一定的适应能力，其中一些常见鸟类一定程度已经习惯了目前的人为活动不会对其栖息和繁衍造成明显影响。一些敏感性较强的鸟类由于环境的变化影响了它们的生活和取食环境，将被迫离开它们原来的领域，邻近领域的鸟类也由于受到</w:t>
      </w:r>
      <w:r>
        <w:rPr>
          <w:rFonts w:hint="default" w:ascii="Times New Roman" w:hAnsi="Times New Roman" w:eastAsia="宋体" w:cs="Times New Roman"/>
          <w:bCs/>
          <w:color w:val="auto"/>
          <w:sz w:val="24"/>
          <w:szCs w:val="24"/>
          <w:u w:val="none" w:color="auto"/>
          <w:lang w:eastAsia="zh-CN"/>
        </w:rPr>
        <w:t>码头提质改造</w:t>
      </w:r>
      <w:r>
        <w:rPr>
          <w:rFonts w:hint="default" w:ascii="Times New Roman" w:hAnsi="Times New Roman" w:eastAsia="宋体" w:cs="Times New Roman"/>
          <w:bCs/>
          <w:color w:val="auto"/>
          <w:sz w:val="24"/>
          <w:szCs w:val="24"/>
          <w:u w:val="none" w:color="auto"/>
        </w:rPr>
        <w:t>作业噪声的惊吓，也将远离原来的栖息地。但是这些鸟类在非噪声影响区可以找到相同或相似生境，可迁移到合适生境中生活，对其生存不会造成威胁。因此，原有栖息地面积和质量下降和</w:t>
      </w:r>
      <w:r>
        <w:rPr>
          <w:rFonts w:hint="default" w:ascii="Times New Roman" w:hAnsi="Times New Roman" w:eastAsia="宋体" w:cs="Times New Roman"/>
          <w:bCs/>
          <w:color w:val="auto"/>
          <w:sz w:val="24"/>
          <w:szCs w:val="24"/>
          <w:u w:val="none" w:color="auto"/>
          <w:lang w:eastAsia="zh-CN"/>
        </w:rPr>
        <w:t>码头提质改造</w:t>
      </w:r>
      <w:r>
        <w:rPr>
          <w:rFonts w:hint="default" w:ascii="Times New Roman" w:hAnsi="Times New Roman" w:eastAsia="宋体" w:cs="Times New Roman"/>
          <w:bCs/>
          <w:color w:val="auto"/>
          <w:sz w:val="24"/>
          <w:szCs w:val="24"/>
          <w:u w:val="none" w:color="auto"/>
        </w:rPr>
        <w:t>作业噪声造成的惊吓，这些因素将导致鸟类隐蔽空间、觅食空间，迫使鸟类等向周边适宜生境迁移，使</w:t>
      </w:r>
      <w:r>
        <w:rPr>
          <w:rFonts w:hint="default" w:ascii="Times New Roman" w:hAnsi="Times New Roman" w:eastAsia="宋体" w:cs="Times New Roman"/>
          <w:bCs/>
          <w:color w:val="auto"/>
          <w:sz w:val="24"/>
          <w:szCs w:val="24"/>
          <w:u w:val="none" w:color="auto"/>
          <w:lang w:eastAsia="zh-CN"/>
        </w:rPr>
        <w:t>评价区域</w:t>
      </w:r>
      <w:r>
        <w:rPr>
          <w:rFonts w:hint="default" w:ascii="Times New Roman" w:hAnsi="Times New Roman" w:eastAsia="宋体" w:cs="Times New Roman"/>
          <w:bCs/>
          <w:color w:val="auto"/>
          <w:sz w:val="24"/>
          <w:szCs w:val="24"/>
          <w:u w:val="none" w:color="auto"/>
        </w:rPr>
        <w:t>及周边区域中分布的鸟类数量减少、多样性降低可能造成该区域的鸟类在种类、数量及群落结构上发生一定变化，但评价区为主要为</w:t>
      </w:r>
      <w:r>
        <w:rPr>
          <w:rFonts w:hint="default" w:ascii="Times New Roman" w:hAnsi="Times New Roman" w:eastAsia="宋体" w:cs="Times New Roman"/>
          <w:bCs/>
          <w:color w:val="auto"/>
          <w:sz w:val="24"/>
          <w:szCs w:val="24"/>
          <w:u w:val="none" w:color="auto"/>
          <w:lang w:val="en-US" w:eastAsia="zh-CN"/>
        </w:rPr>
        <w:t>湘江航道</w:t>
      </w:r>
      <w:r>
        <w:rPr>
          <w:rFonts w:hint="default" w:ascii="Times New Roman" w:hAnsi="Times New Roman" w:eastAsia="宋体" w:cs="Times New Roman"/>
          <w:bCs/>
          <w:color w:val="auto"/>
          <w:sz w:val="24"/>
          <w:szCs w:val="24"/>
          <w:u w:val="none" w:color="auto"/>
        </w:rPr>
        <w:t>，此</w:t>
      </w:r>
      <w:r>
        <w:rPr>
          <w:rFonts w:hint="default" w:ascii="Times New Roman" w:hAnsi="Times New Roman" w:eastAsia="宋体" w:cs="Times New Roman"/>
          <w:bCs/>
          <w:color w:val="auto"/>
          <w:sz w:val="24"/>
          <w:szCs w:val="24"/>
          <w:u w:val="none" w:color="auto"/>
          <w:lang w:val="en-US" w:eastAsia="zh-CN"/>
        </w:rPr>
        <w:t>地</w:t>
      </w:r>
      <w:r>
        <w:rPr>
          <w:rFonts w:hint="default" w:ascii="Times New Roman" w:hAnsi="Times New Roman" w:eastAsia="宋体" w:cs="Times New Roman"/>
          <w:bCs/>
          <w:color w:val="auto"/>
          <w:sz w:val="24"/>
          <w:szCs w:val="24"/>
          <w:u w:val="none" w:color="auto"/>
        </w:rPr>
        <w:t>鸟类种群</w:t>
      </w:r>
      <w:r>
        <w:rPr>
          <w:rFonts w:hint="default" w:ascii="Times New Roman" w:hAnsi="Times New Roman" w:eastAsia="宋体" w:cs="Times New Roman"/>
          <w:bCs/>
          <w:color w:val="auto"/>
          <w:sz w:val="24"/>
          <w:szCs w:val="24"/>
          <w:u w:val="none" w:color="auto"/>
          <w:lang w:val="en-US" w:eastAsia="zh-CN"/>
        </w:rPr>
        <w:t>本就</w:t>
      </w:r>
      <w:r>
        <w:rPr>
          <w:rFonts w:hint="default" w:ascii="Times New Roman" w:hAnsi="Times New Roman" w:eastAsia="宋体" w:cs="Times New Roman"/>
          <w:bCs/>
          <w:color w:val="auto"/>
          <w:sz w:val="24"/>
          <w:szCs w:val="24"/>
          <w:u w:val="none" w:color="auto"/>
        </w:rPr>
        <w:t>数量较少，多为与人类伴居的鸟类，影响是局部的、短期的。</w:t>
      </w:r>
    </w:p>
    <w:p w14:paraId="3B4D1483">
      <w:pPr>
        <w:pStyle w:val="9"/>
        <w:pageBreakBefore w:val="0"/>
        <w:kinsoku/>
        <w:wordWrap/>
        <w:overflowPunct/>
        <w:topLinePunct w:val="0"/>
        <w:bidi w:val="0"/>
        <w:spacing w:before="0" w:after="0" w:line="360" w:lineRule="auto"/>
        <w:jc w:val="left"/>
        <w:textAlignment w:val="auto"/>
        <w:outlineLvl w:val="2"/>
        <w:rPr>
          <w:rFonts w:hint="default" w:ascii="Times New Roman" w:hAnsi="Times New Roman" w:eastAsia="宋体" w:cs="Times New Roman"/>
          <w:color w:val="auto"/>
          <w:sz w:val="24"/>
          <w:szCs w:val="24"/>
          <w:u w:val="none" w:color="auto"/>
        </w:rPr>
      </w:pPr>
      <w:bookmarkStart w:id="727" w:name="_Toc16331"/>
      <w:bookmarkStart w:id="728" w:name="_Toc7247"/>
      <w:bookmarkStart w:id="729" w:name="_Toc13490"/>
      <w:bookmarkStart w:id="730" w:name="_Toc7101"/>
      <w:bookmarkStart w:id="731" w:name="_Toc521971295"/>
      <w:bookmarkStart w:id="732" w:name="_Toc521943214"/>
      <w:r>
        <w:rPr>
          <w:rFonts w:hint="default" w:ascii="Times New Roman" w:hAnsi="Times New Roman" w:eastAsia="宋体" w:cs="Times New Roman"/>
          <w:color w:val="auto"/>
          <w:sz w:val="24"/>
          <w:szCs w:val="24"/>
          <w:u w:val="none" w:color="auto"/>
          <w:lang w:val="en-US" w:eastAsia="zh-CN"/>
        </w:rPr>
        <w:t xml:space="preserve">5.3.7 </w:t>
      </w:r>
      <w:r>
        <w:rPr>
          <w:rFonts w:hint="default" w:ascii="Times New Roman" w:hAnsi="Times New Roman" w:eastAsia="宋体" w:cs="Times New Roman"/>
          <w:color w:val="auto"/>
          <w:sz w:val="24"/>
          <w:szCs w:val="24"/>
          <w:u w:val="none" w:color="auto"/>
        </w:rPr>
        <w:t>自然景观影响分析</w:t>
      </w:r>
      <w:bookmarkEnd w:id="727"/>
      <w:bookmarkEnd w:id="728"/>
      <w:bookmarkEnd w:id="729"/>
      <w:bookmarkEnd w:id="730"/>
      <w:bookmarkEnd w:id="731"/>
      <w:bookmarkEnd w:id="732"/>
    </w:p>
    <w:p w14:paraId="413FC4C5">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评价区内无风景名胜区或文物保护地，也没有发现风景优美且具有观赏价值的自然景观。由于</w:t>
      </w:r>
      <w:r>
        <w:rPr>
          <w:rFonts w:hint="default" w:ascii="Times New Roman" w:hAnsi="Times New Roman" w:eastAsia="宋体" w:cs="Times New Roman"/>
          <w:color w:val="auto"/>
          <w:sz w:val="24"/>
          <w:szCs w:val="24"/>
          <w:u w:val="none" w:color="auto"/>
          <w:lang w:eastAsia="zh-CN"/>
        </w:rPr>
        <w:t>鹿角交通渔政综合执法码头</w:t>
      </w:r>
      <w:r>
        <w:rPr>
          <w:rFonts w:hint="default" w:ascii="Times New Roman" w:hAnsi="Times New Roman" w:eastAsia="宋体" w:cs="Times New Roman"/>
          <w:color w:val="auto"/>
          <w:sz w:val="24"/>
          <w:szCs w:val="24"/>
          <w:u w:val="none" w:color="auto"/>
        </w:rPr>
        <w:t>位于自然保护区实验区，破坏了空间连续性和自然性，造成工程与原有生态系统景观的不协调。然而项目位于湘江航道来往的船只重新使项目与周围环境融为一体。因此，项目对评价区生态系统的美学、经济、文化价值影响较小。项目评价区景观以自然景观为主，人文景观为辅。</w:t>
      </w:r>
    </w:p>
    <w:p w14:paraId="2B0233B0">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本项目在</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作业期的工程对自然景观的影响主要来自</w:t>
      </w:r>
      <w:r>
        <w:rPr>
          <w:rFonts w:hint="default" w:ascii="Times New Roman" w:hAnsi="Times New Roman" w:eastAsia="宋体" w:cs="Times New Roman"/>
          <w:color w:val="auto"/>
          <w:sz w:val="24"/>
          <w:szCs w:val="24"/>
          <w:u w:val="none" w:color="auto"/>
          <w:lang w:eastAsia="zh-CN"/>
        </w:rPr>
        <w:t>鹿角交通渔政综合执法码头趸船</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eastAsia="zh-CN"/>
        </w:rPr>
        <w:t>岳阳县鹿角交通渔政综合执法码头鹿角交通渔政综合执法码头趸船</w:t>
      </w:r>
      <w:r>
        <w:rPr>
          <w:rFonts w:hint="default" w:ascii="Times New Roman" w:hAnsi="Times New Roman" w:eastAsia="宋体" w:cs="Times New Roman"/>
          <w:color w:val="auto"/>
          <w:sz w:val="24"/>
          <w:szCs w:val="24"/>
          <w:u w:val="none" w:color="auto"/>
        </w:rPr>
        <w:t>对沿线自然景观形切割，使其空间连续性被破坏，但</w:t>
      </w:r>
      <w:r>
        <w:rPr>
          <w:rFonts w:hint="default" w:ascii="Times New Roman" w:hAnsi="Times New Roman" w:eastAsia="宋体" w:cs="Times New Roman"/>
          <w:color w:val="auto"/>
          <w:sz w:val="24"/>
          <w:szCs w:val="24"/>
          <w:u w:val="none" w:color="auto"/>
          <w:lang w:val="en-US" w:eastAsia="zh-CN"/>
        </w:rPr>
        <w:t>项目区域本是湘江航道，来往的船只重新使项目与周围环境融为一体。</w:t>
      </w:r>
    </w:p>
    <w:p w14:paraId="195092FF">
      <w:pPr>
        <w:pStyle w:val="9"/>
        <w:pageBreakBefore w:val="0"/>
        <w:kinsoku/>
        <w:wordWrap/>
        <w:overflowPunct/>
        <w:topLinePunct w:val="0"/>
        <w:bidi w:val="0"/>
        <w:spacing w:before="0" w:after="0" w:line="360" w:lineRule="auto"/>
        <w:jc w:val="left"/>
        <w:textAlignment w:val="auto"/>
        <w:outlineLvl w:val="2"/>
        <w:rPr>
          <w:rFonts w:hint="default" w:ascii="Times New Roman" w:hAnsi="Times New Roman" w:eastAsia="宋体" w:cs="Times New Roman"/>
          <w:color w:val="auto"/>
          <w:sz w:val="24"/>
          <w:szCs w:val="24"/>
          <w:u w:val="none" w:color="auto"/>
        </w:rPr>
      </w:pPr>
      <w:bookmarkStart w:id="733" w:name="_Toc11872"/>
      <w:bookmarkStart w:id="734" w:name="_Toc21732"/>
      <w:bookmarkStart w:id="735" w:name="_Toc3197"/>
      <w:bookmarkStart w:id="736" w:name="_Toc30664"/>
      <w:bookmarkStart w:id="737" w:name="_Toc521943216"/>
      <w:bookmarkStart w:id="738" w:name="_Toc521971297"/>
      <w:bookmarkStart w:id="739" w:name="_Toc4668"/>
      <w:r>
        <w:rPr>
          <w:rFonts w:hint="default" w:ascii="Times New Roman" w:hAnsi="Times New Roman" w:eastAsia="宋体" w:cs="Times New Roman"/>
          <w:color w:val="auto"/>
          <w:sz w:val="24"/>
          <w:szCs w:val="24"/>
          <w:u w:val="none" w:color="auto"/>
          <w:lang w:val="en-US" w:eastAsia="zh-CN"/>
        </w:rPr>
        <w:t xml:space="preserve">5.3.8 </w:t>
      </w:r>
      <w:r>
        <w:rPr>
          <w:rFonts w:hint="default" w:ascii="Times New Roman" w:hAnsi="Times New Roman" w:eastAsia="宋体" w:cs="Times New Roman"/>
          <w:color w:val="auto"/>
          <w:sz w:val="24"/>
          <w:szCs w:val="24"/>
          <w:u w:val="none" w:color="auto"/>
        </w:rPr>
        <w:t>累积生态影响分析</w:t>
      </w:r>
      <w:bookmarkEnd w:id="733"/>
      <w:bookmarkEnd w:id="734"/>
      <w:bookmarkEnd w:id="735"/>
      <w:bookmarkEnd w:id="736"/>
      <w:bookmarkEnd w:id="737"/>
      <w:bookmarkEnd w:id="738"/>
    </w:p>
    <w:p w14:paraId="798A1DED">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累积生态影响是指经济社会活动各个组成部分之间或者该活动与其他相关活动（包括过去、现在和未来）之间造成生态影响的相互叠加。根据这个定义，我们可以把建设项目对湖南东洞庭湖国家级自然保护区的累积生态影响理解为不同时间、不同类型的建设项目在施工期及砂石</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完后对湖南东洞庭湖国家级自然保护区主要保护对象、功能区划、生态系统结构与服务功能、自然景观、珍稀濒危物种等生态影响的相互叠加。</w:t>
      </w:r>
    </w:p>
    <w:p w14:paraId="73B5516F">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项目植被类型涉及的物种均为常见种，易于栽植和恢复；</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沿线无珍稀濒危的野生植物种类，杨树亦为常见种，在沿线多混生于林地种，沿路种植少；沿线没有国家级珍稀野生动物分布，其影响数量有限。项目</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作业期不会使保护区某一生境或物种消失，且影响的种类在保护区范围内分布较多，不会对保护区原有生态系统结构和功能产生较大影响。项目因</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作业期污染主要为噪声、尾气</w:t>
      </w:r>
      <w:r>
        <w:rPr>
          <w:rFonts w:hint="default" w:ascii="Times New Roman" w:hAnsi="Times New Roman" w:eastAsia="宋体" w:cs="Times New Roman"/>
          <w:color w:val="auto"/>
          <w:sz w:val="24"/>
          <w:szCs w:val="24"/>
          <w:u w:val="none" w:color="auto"/>
          <w:lang w:val="en-US" w:eastAsia="zh-CN"/>
        </w:rPr>
        <w:t>及</w:t>
      </w:r>
      <w:r>
        <w:rPr>
          <w:rFonts w:hint="default" w:ascii="Times New Roman" w:hAnsi="Times New Roman" w:eastAsia="宋体" w:cs="Times New Roman"/>
          <w:color w:val="auto"/>
          <w:sz w:val="24"/>
          <w:szCs w:val="24"/>
          <w:u w:val="none" w:color="auto"/>
        </w:rPr>
        <w:t>固废垃圾，采取生态专题报告提出措施后，不会对湖南东洞庭湖国家级自然保护区造成明显的不利影响。</w:t>
      </w:r>
    </w:p>
    <w:p w14:paraId="7FC27871">
      <w:pPr>
        <w:pStyle w:val="9"/>
        <w:pageBreakBefore w:val="0"/>
        <w:kinsoku/>
        <w:wordWrap/>
        <w:overflowPunct/>
        <w:topLinePunct w:val="0"/>
        <w:bidi w:val="0"/>
        <w:spacing w:before="0" w:after="0" w:line="360" w:lineRule="auto"/>
        <w:jc w:val="left"/>
        <w:textAlignment w:val="auto"/>
        <w:outlineLvl w:val="2"/>
        <w:rPr>
          <w:rFonts w:hint="default" w:ascii="Times New Roman" w:hAnsi="Times New Roman" w:eastAsia="宋体" w:cs="Times New Roman"/>
          <w:color w:val="auto"/>
          <w:sz w:val="24"/>
          <w:szCs w:val="24"/>
          <w:u w:val="none" w:color="auto"/>
          <w:lang w:val="en-US" w:eastAsia="zh-CN"/>
        </w:rPr>
      </w:pPr>
      <w:bookmarkStart w:id="740" w:name="_Toc31258"/>
      <w:bookmarkStart w:id="741" w:name="_Toc20871"/>
      <w:bookmarkStart w:id="742" w:name="_Toc14995"/>
      <w:r>
        <w:rPr>
          <w:rFonts w:hint="default" w:ascii="Times New Roman" w:hAnsi="Times New Roman" w:eastAsia="宋体" w:cs="Times New Roman"/>
          <w:color w:val="auto"/>
          <w:sz w:val="24"/>
          <w:szCs w:val="24"/>
          <w:u w:val="none" w:color="auto"/>
          <w:lang w:val="en-US" w:eastAsia="zh-CN"/>
        </w:rPr>
        <w:t>5.3.9 生物多样性影响分析</w:t>
      </w:r>
      <w:bookmarkEnd w:id="740"/>
      <w:bookmarkEnd w:id="741"/>
      <w:bookmarkEnd w:id="742"/>
    </w:p>
    <w:bookmarkEnd w:id="739"/>
    <w:p w14:paraId="5F3F28ED">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项目建设涉及湖南东洞庭湖国家级自然保护区，本建设项目用地总面积3205m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，是在原有码头基础上提质改造修复，共占用湖南东洞庭湖国家级自然保护区实验区面积0.3205hm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，占自然保护区实验区面积（91972hm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的0.0003%。建设区内主要为在原有码头用地基础上提质改造修复，故项目建设对自然保护区生物多样性的影响较小。工程建成和运行后，在平水期影响评价区自然生态系统中作为模地的水域面积发生了变化，平水期占用水面360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，主要是趸船占水面。因此，工程建设对影响评价区自然体系的景观异质化程度和阻抗能力的影响较小。</w:t>
      </w:r>
    </w:p>
    <w:p w14:paraId="2A86CA67">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评价区景观、生态系统在自然保护区周边林区及我国其他地区较为常见。项目建设不占用林地，对景观、生态系统特有性、景观斑块数量等二级指标均影响较小；评价区生物群落主要以草地、灌丛为主，非自然保护区特有，项目建设对栖息地连通性，对自然保护区生物群落类型、重要种类、群落结构等级指标均影响较小；影响评价区内特有物种、保护物种分布较少，无国家重点保护植物，但并非上述物种的主要分布区、栖息地和繁衍地，且在自然保护区其他林区及国内其他林区均较为常见，对影响评价区内特有物种和主要保护对象影响均较低；项目建设的可行性研究报告中对项目施工期和运营期生态环境保护、社会环境保护、水土保持等均提出了较详细的保障措施，在加强落实管理的情况下，项目建设对自然保护区生物安全和社会因素各级指标影响均较低；项目建设得到了各级政府和当地群众的支持，不会对当地生产生活环境产生危害，故项目建设的社会条件成熟。</w:t>
      </w:r>
    </w:p>
    <w:p w14:paraId="695FAED4">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工程建设使影响评价区内土地利用格局发生了变化，各土地类型优势度值也随之发生了变化。作为模地的水域及水利设施用地，平水期趸船及少部分浮趸、连接引桥占用水面约360m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lang w:val="en-US" w:eastAsia="zh-CN"/>
        </w:rPr>
        <w:t>，草地其优势度从11.90%微升到12.13%前后变化不大，仍然维持在很高的水平，可见，工程实施和运行对其景观结构影响小，对影响评价区自然体系质量影响小，通过区域内自然生态系统的自我调节及恢复，可使工程建设影响得到缓解，区域自然体系的性质和功能得到有效恢复。</w:t>
      </w:r>
    </w:p>
    <w:p w14:paraId="64361BD7">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3、岳阳县鹿角交通渔政综合执法码头提质改造工程项目对湖南东洞庭湖国家级自然保护区生物多样性影响指数(BI)为12.38，属基本无影响。</w:t>
      </w:r>
    </w:p>
    <w:p w14:paraId="1F9A2C79">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评价结果：经调查，岳阳县鹿角交通渔政综合执法码头提质改造工程项目对湖南东洞庭湖国家级自然保护区生物多样性影响不涉及无条件否决项，计算得出岳阳县鹿角交通渔政综合执法码头提质改造工程项目对湖南东洞庭湖国家级自然保护区生物多样性影响指数(BI)为12.38，评价结论为基本无影响，项目可以建设。</w:t>
      </w:r>
    </w:p>
    <w:p w14:paraId="08847259">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岳阳县鹿角交通渔政综合执法码头提质改造工程项目可以实施。</w:t>
      </w:r>
    </w:p>
    <w:p w14:paraId="1F2E0040">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因此，评价认为本项目建设后对保护区内鱼类、重点保护野生物种(长江江豚、中华鲟、胭脂鱼)等水生生物的种类组成、种群结构、资源时空分布不会造成明显改变，不会造成项目所在水域范围内现有生态系统结构和功能、生物多样性降低。</w:t>
      </w:r>
    </w:p>
    <w:p w14:paraId="4FAE7182">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eastAsia" w:cs="Times New Roman"/>
          <w:color w:val="auto"/>
          <w:sz w:val="28"/>
          <w:szCs w:val="28"/>
          <w:lang w:val="en-US" w:eastAsia="zh-CN"/>
        </w:rPr>
      </w:pPr>
      <w:bookmarkStart w:id="743" w:name="_Toc15614"/>
      <w:bookmarkStart w:id="744" w:name="_Toc11644"/>
      <w:r>
        <w:rPr>
          <w:rFonts w:hint="default"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w:t>
      </w:r>
      <w:r>
        <w:rPr>
          <w:rFonts w:hint="eastAsia" w:cs="Times New Roman"/>
          <w:color w:val="auto"/>
          <w:sz w:val="28"/>
          <w:szCs w:val="28"/>
          <w:lang w:val="en-US" w:eastAsia="zh-CN"/>
        </w:rPr>
        <w:t>4</w:t>
      </w:r>
      <w:bookmarkEnd w:id="743"/>
      <w:r>
        <w:rPr>
          <w:rFonts w:hint="eastAsia" w:cs="Times New Roman"/>
          <w:color w:val="auto"/>
          <w:sz w:val="28"/>
          <w:szCs w:val="28"/>
          <w:lang w:val="en-US" w:eastAsia="zh-CN"/>
        </w:rPr>
        <w:t>环境风险分析</w:t>
      </w:r>
      <w:bookmarkEnd w:id="744"/>
    </w:p>
    <w:p w14:paraId="395AB1D8">
      <w:pPr>
        <w:pStyle w:val="38"/>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14:paraId="0FE270F1">
      <w:pPr>
        <w:pStyle w:val="38"/>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（1）根据项目特点，对项目装置和储运设施在生产过程中存在的各种事故风险因素及隐患进行识别，提出技术防范措施；</w:t>
      </w:r>
    </w:p>
    <w:p w14:paraId="1A65634C">
      <w:pPr>
        <w:pStyle w:val="38"/>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（2）分析和预测建设项目可能发生的突发性事件或事故，引起有毒、有害、易燃和易爆等物质泄漏到环境中所导致的后果（包括自然环境和社会环境），预测其对人身安全与环境的影响和损害程度；</w:t>
      </w:r>
    </w:p>
    <w:p w14:paraId="5ADE8E4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color w:val="auto"/>
          <w:lang w:val="en-US"/>
        </w:rPr>
      </w:pPr>
      <w:r>
        <w:rPr>
          <w:rFonts w:hint="eastAsia" w:ascii="Times New Roman" w:hAnsi="Times New Roman" w:eastAsia="宋体" w:cs="Times New Roman"/>
          <w:color w:val="auto"/>
          <w:sz w:val="24"/>
          <w:szCs w:val="24"/>
          <w:lang w:val="en-US" w:eastAsia="zh-CN"/>
        </w:rPr>
        <w:t>（3）根据风险事件的预测结果，有针对性地提出合理、切实可行的防范减缓措施、应急处理计划和应急预案，以及现场监控报警系统，使得建设项目事故率、损失情况和环境影响达到可接受水平。</w:t>
      </w:r>
    </w:p>
    <w:p w14:paraId="3DA6FB30">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bookmarkStart w:id="745" w:name="_Toc22281"/>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bookmarkEnd w:id="745"/>
      <w:r>
        <w:rPr>
          <w:rFonts w:hint="eastAsia" w:cs="Times New Roman"/>
          <w:color w:val="auto"/>
          <w:sz w:val="24"/>
          <w:szCs w:val="24"/>
          <w:u w:val="none" w:color="auto"/>
          <w:lang w:val="en-US" w:eastAsia="zh-CN"/>
        </w:rPr>
        <w:t>评价等级、内容和重点</w:t>
      </w:r>
    </w:p>
    <w:p w14:paraId="2F6FEA67">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 xml:space="preserve"> </w:t>
      </w:r>
      <w:r>
        <w:rPr>
          <w:rFonts w:hint="eastAsia" w:cs="Times New Roman"/>
          <w:color w:val="auto"/>
          <w:sz w:val="24"/>
          <w:szCs w:val="24"/>
          <w:u w:val="none" w:color="auto"/>
          <w:lang w:val="en-US" w:eastAsia="zh-CN"/>
        </w:rPr>
        <w:t>评价等级确定</w:t>
      </w:r>
    </w:p>
    <w:p w14:paraId="5B26162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依据《建设项目环境风险评价技术导则》（HJ169-2018）中规定的易燃易爆和有毒物质的临界量限值。</w:t>
      </w:r>
    </w:p>
    <w:p w14:paraId="2E30D52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本项目</w:t>
      </w:r>
      <w:r>
        <w:rPr>
          <w:rFonts w:hint="default" w:ascii="Times New Roman" w:hAnsi="Times New Roman" w:eastAsia="宋体" w:cs="Times New Roman"/>
          <w:color w:val="auto"/>
          <w:u w:val="none"/>
          <w:lang w:eastAsia="zh-CN"/>
        </w:rPr>
        <w:t>到港</w:t>
      </w:r>
      <w:r>
        <w:rPr>
          <w:rFonts w:hint="default" w:ascii="Times New Roman" w:hAnsi="Times New Roman" w:eastAsia="宋体" w:cs="Times New Roman"/>
          <w:color w:val="auto"/>
          <w:u w:val="none"/>
          <w:lang w:val="en-US" w:eastAsia="zh-CN"/>
        </w:rPr>
        <w:t>船只为公务用船</w:t>
      </w:r>
      <w:r>
        <w:rPr>
          <w:rFonts w:hint="default" w:ascii="Times New Roman" w:hAnsi="Times New Roman" w:eastAsia="宋体" w:cs="Times New Roman"/>
          <w:color w:val="auto"/>
          <w:u w:val="none"/>
        </w:rPr>
        <w:t>，不</w:t>
      </w:r>
      <w:r>
        <w:rPr>
          <w:rFonts w:hint="default" w:ascii="Times New Roman" w:hAnsi="Times New Roman" w:eastAsia="宋体" w:cs="Times New Roman"/>
          <w:color w:val="auto"/>
          <w:u w:val="none"/>
          <w:lang w:eastAsia="zh-CN"/>
        </w:rPr>
        <w:t>涉及</w:t>
      </w:r>
      <w:r>
        <w:rPr>
          <w:rFonts w:hint="default" w:ascii="Times New Roman" w:hAnsi="Times New Roman" w:eastAsia="宋体" w:cs="Times New Roman"/>
          <w:color w:val="auto"/>
          <w:u w:val="none"/>
        </w:rPr>
        <w:t>剧毒、有毒易燃和爆炸性物质，本项目涉及危险物料主要为</w:t>
      </w:r>
      <w:r>
        <w:rPr>
          <w:rFonts w:hint="default" w:ascii="Times New Roman" w:hAnsi="Times New Roman" w:eastAsia="宋体" w:cs="Times New Roman"/>
          <w:color w:val="auto"/>
          <w:u w:val="none"/>
          <w:lang w:eastAsia="zh-CN"/>
        </w:rPr>
        <w:t>到港船舶燃料</w:t>
      </w:r>
      <w:r>
        <w:rPr>
          <w:rFonts w:hint="default" w:ascii="Times New Roman" w:hAnsi="Times New Roman" w:eastAsia="宋体" w:cs="Times New Roman"/>
          <w:color w:val="auto"/>
          <w:u w:val="none"/>
        </w:rPr>
        <w:t>柴油。本项目共</w:t>
      </w:r>
      <w:r>
        <w:rPr>
          <w:rFonts w:hint="default" w:ascii="Times New Roman" w:hAnsi="Times New Roman" w:eastAsia="宋体" w:cs="Times New Roman"/>
          <w:color w:val="auto"/>
          <w:u w:val="none"/>
          <w:lang w:val="en-US" w:eastAsia="zh-CN"/>
        </w:rPr>
        <w:t>1</w:t>
      </w:r>
      <w:r>
        <w:rPr>
          <w:rFonts w:hint="default" w:ascii="Times New Roman" w:hAnsi="Times New Roman" w:eastAsia="宋体" w:cs="Times New Roman"/>
          <w:color w:val="auto"/>
          <w:u w:val="none"/>
          <w:lang w:eastAsia="zh-CN"/>
        </w:rPr>
        <w:t>个泊位（</w:t>
      </w:r>
      <w:r>
        <w:rPr>
          <w:rFonts w:hint="default" w:ascii="Times New Roman" w:hAnsi="Times New Roman" w:eastAsia="宋体" w:cs="Times New Roman"/>
          <w:color w:val="auto"/>
          <w:u w:val="none"/>
          <w:lang w:val="en-US" w:eastAsia="zh-CN"/>
        </w:rPr>
        <w:t>百吨级公务船</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停靠小型公务船</w:t>
      </w:r>
      <w:r>
        <w:rPr>
          <w:rFonts w:hint="default" w:ascii="Times New Roman" w:hAnsi="Times New Roman" w:eastAsia="宋体" w:cs="Times New Roman"/>
          <w:color w:val="auto"/>
          <w:u w:val="none"/>
          <w:lang w:eastAsia="zh-CN"/>
        </w:rPr>
        <w:t>，本项目到港船舶</w:t>
      </w:r>
      <w:r>
        <w:rPr>
          <w:rFonts w:hint="eastAsia" w:cs="Times New Roman"/>
          <w:color w:val="auto"/>
          <w:u w:val="none"/>
          <w:lang w:val="en-US" w:eastAsia="zh-CN"/>
        </w:rPr>
        <w:t>燃油舱燃油量</w:t>
      </w:r>
      <w:r>
        <w:rPr>
          <w:rFonts w:hint="default" w:ascii="Times New Roman" w:hAnsi="Times New Roman" w:eastAsia="宋体" w:cs="Times New Roman"/>
          <w:color w:val="auto"/>
          <w:u w:val="none"/>
          <w:lang w:eastAsia="zh-CN"/>
        </w:rPr>
        <w:t>最大为</w:t>
      </w:r>
      <w:r>
        <w:rPr>
          <w:rFonts w:hint="eastAsia" w:cs="Times New Roman"/>
          <w:color w:val="auto"/>
          <w:u w:val="none"/>
          <w:lang w:val="en-US" w:eastAsia="zh-CN"/>
        </w:rPr>
        <w:t>10</w:t>
      </w:r>
      <w:r>
        <w:rPr>
          <w:rFonts w:hint="default" w:ascii="Times New Roman" w:hAnsi="Times New Roman" w:eastAsia="宋体" w:cs="Times New Roman"/>
          <w:color w:val="auto"/>
          <w:u w:val="none"/>
          <w:lang w:eastAsia="zh-CN"/>
        </w:rPr>
        <w:t>吨。</w:t>
      </w:r>
    </w:p>
    <w:p w14:paraId="2701192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根据《建设项目环境风险评价技术导则》（HJ169-2018），建设项目环境风险潜势划分为</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1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2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II</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3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III</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4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IV</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4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IV</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vertAlign w:val="superscript"/>
        </w:rPr>
        <w:t>+</w:t>
      </w:r>
      <w:r>
        <w:rPr>
          <w:rFonts w:hint="default" w:ascii="Times New Roman" w:hAnsi="Times New Roman" w:eastAsia="宋体" w:cs="Times New Roman"/>
          <w:color w:val="auto"/>
          <w:u w:val="none"/>
        </w:rPr>
        <w:t>级。根据建设项目涉及的物质和工艺系统的危险性及其所在地的环境敏感程度，结合事故情形下环境影响途径，对建设项目潜在环境危害程度进行概化分析，按照表</w:t>
      </w:r>
      <w:r>
        <w:rPr>
          <w:rFonts w:hint="eastAsia" w:cs="Times New Roman"/>
          <w:color w:val="auto"/>
          <w:u w:val="none"/>
          <w:lang w:val="en-US" w:eastAsia="zh-CN"/>
        </w:rPr>
        <w:t>5</w:t>
      </w:r>
      <w:r>
        <w:rPr>
          <w:rFonts w:hint="default" w:ascii="Times New Roman" w:hAnsi="Times New Roman" w:eastAsia="宋体" w:cs="Times New Roman"/>
          <w:color w:val="auto"/>
          <w:u w:val="none"/>
        </w:rPr>
        <w:t>.</w:t>
      </w:r>
      <w:r>
        <w:rPr>
          <w:rFonts w:hint="eastAsia" w:cs="Times New Roman"/>
          <w:color w:val="auto"/>
          <w:u w:val="none"/>
          <w:lang w:val="en-US" w:eastAsia="zh-CN"/>
        </w:rPr>
        <w:t>4</w:t>
      </w:r>
      <w:r>
        <w:rPr>
          <w:rFonts w:hint="default" w:ascii="Times New Roman" w:hAnsi="Times New Roman" w:eastAsia="宋体" w:cs="Times New Roman"/>
          <w:color w:val="auto"/>
          <w:u w:val="none"/>
        </w:rPr>
        <w:t>-1确定环境风险潜势。</w:t>
      </w:r>
    </w:p>
    <w:p w14:paraId="20898826">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表</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lang w:val="en-US" w:eastAsia="zh-CN"/>
        </w:rPr>
        <w:t>-1 建设项目环境风险潜势划分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1401"/>
        <w:gridCol w:w="1581"/>
        <w:gridCol w:w="1566"/>
        <w:gridCol w:w="1471"/>
      </w:tblGrid>
      <w:tr w14:paraId="7658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1" w:type="dxa"/>
            <w:vMerge w:val="restart"/>
            <w:noWrap w:val="0"/>
            <w:vAlign w:val="center"/>
          </w:tcPr>
          <w:p w14:paraId="42DDE36B">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环境敏感程度（E）</w:t>
            </w:r>
          </w:p>
        </w:tc>
        <w:tc>
          <w:tcPr>
            <w:tcW w:w="6019" w:type="dxa"/>
            <w:gridSpan w:val="4"/>
            <w:noWrap w:val="0"/>
            <w:vAlign w:val="center"/>
          </w:tcPr>
          <w:p w14:paraId="41B01ED0">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危险物质及工艺系统危险性（P）</w:t>
            </w:r>
          </w:p>
        </w:tc>
      </w:tr>
      <w:tr w14:paraId="7A00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1" w:type="dxa"/>
            <w:vMerge w:val="continue"/>
            <w:noWrap w:val="0"/>
            <w:vAlign w:val="center"/>
          </w:tcPr>
          <w:p w14:paraId="619BE91B">
            <w:pPr>
              <w:pStyle w:val="41"/>
              <w:rPr>
                <w:rFonts w:hint="default" w:ascii="Times New Roman" w:hAnsi="Times New Roman" w:eastAsia="宋体" w:cs="Times New Roman"/>
                <w:color w:val="auto"/>
                <w:kern w:val="2"/>
                <w:sz w:val="21"/>
                <w:szCs w:val="21"/>
                <w:u w:val="none"/>
                <w:lang w:val="en-US" w:eastAsia="zh-CN"/>
              </w:rPr>
            </w:pPr>
          </w:p>
        </w:tc>
        <w:tc>
          <w:tcPr>
            <w:tcW w:w="1401" w:type="dxa"/>
            <w:noWrap w:val="0"/>
            <w:vAlign w:val="center"/>
          </w:tcPr>
          <w:p w14:paraId="66C4738C">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极高危害（P1）</w:t>
            </w:r>
          </w:p>
        </w:tc>
        <w:tc>
          <w:tcPr>
            <w:tcW w:w="1581" w:type="dxa"/>
            <w:noWrap w:val="0"/>
            <w:vAlign w:val="center"/>
          </w:tcPr>
          <w:p w14:paraId="02DF2823">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高度危害（P2）</w:t>
            </w:r>
          </w:p>
        </w:tc>
        <w:tc>
          <w:tcPr>
            <w:tcW w:w="1566" w:type="dxa"/>
            <w:noWrap w:val="0"/>
            <w:vAlign w:val="center"/>
          </w:tcPr>
          <w:p w14:paraId="625B6D0D">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中度危害（P3）</w:t>
            </w:r>
          </w:p>
        </w:tc>
        <w:tc>
          <w:tcPr>
            <w:tcW w:w="1471" w:type="dxa"/>
            <w:noWrap w:val="0"/>
            <w:vAlign w:val="center"/>
          </w:tcPr>
          <w:p w14:paraId="243CFDB0">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轻度危害（P4）</w:t>
            </w:r>
          </w:p>
        </w:tc>
      </w:tr>
      <w:tr w14:paraId="5273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1" w:type="dxa"/>
            <w:noWrap w:val="0"/>
            <w:vAlign w:val="center"/>
          </w:tcPr>
          <w:p w14:paraId="46B7542F">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环境高度敏感区（E1）</w:t>
            </w:r>
          </w:p>
        </w:tc>
        <w:tc>
          <w:tcPr>
            <w:tcW w:w="1401" w:type="dxa"/>
            <w:noWrap w:val="0"/>
            <w:vAlign w:val="center"/>
          </w:tcPr>
          <w:p w14:paraId="010303D6">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4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IV</w:t>
            </w:r>
            <w:r>
              <w:rPr>
                <w:rFonts w:hint="default" w:ascii="Times New Roman" w:hAnsi="Times New Roman" w:eastAsia="宋体" w:cs="Times New Roman"/>
                <w:color w:val="auto"/>
                <w:kern w:val="2"/>
                <w:sz w:val="21"/>
                <w:szCs w:val="21"/>
                <w:u w:val="none"/>
                <w:lang w:val="en-US" w:eastAsia="zh-CN"/>
              </w:rPr>
              <w:fldChar w:fldCharType="end"/>
            </w:r>
            <w:r>
              <w:rPr>
                <w:rFonts w:hint="default" w:ascii="Times New Roman" w:hAnsi="Times New Roman" w:eastAsia="宋体" w:cs="Times New Roman"/>
                <w:color w:val="auto"/>
                <w:kern w:val="2"/>
                <w:sz w:val="21"/>
                <w:szCs w:val="21"/>
                <w:u w:val="none"/>
                <w:vertAlign w:val="superscript"/>
                <w:lang w:val="en-US" w:eastAsia="zh-CN"/>
              </w:rPr>
              <w:t>+</w:t>
            </w:r>
          </w:p>
        </w:tc>
        <w:tc>
          <w:tcPr>
            <w:tcW w:w="1581" w:type="dxa"/>
            <w:noWrap w:val="0"/>
            <w:vAlign w:val="center"/>
          </w:tcPr>
          <w:p w14:paraId="49D8FE2D">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4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IV</w:t>
            </w:r>
            <w:r>
              <w:rPr>
                <w:rFonts w:hint="default" w:ascii="Times New Roman" w:hAnsi="Times New Roman" w:eastAsia="宋体" w:cs="Times New Roman"/>
                <w:color w:val="auto"/>
                <w:kern w:val="2"/>
                <w:sz w:val="21"/>
                <w:szCs w:val="21"/>
                <w:u w:val="none"/>
                <w:lang w:val="en-US" w:eastAsia="zh-CN"/>
              </w:rPr>
              <w:fldChar w:fldCharType="end"/>
            </w:r>
          </w:p>
        </w:tc>
        <w:tc>
          <w:tcPr>
            <w:tcW w:w="1566" w:type="dxa"/>
            <w:noWrap w:val="0"/>
            <w:vAlign w:val="center"/>
          </w:tcPr>
          <w:p w14:paraId="68A3E208">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c>
          <w:tcPr>
            <w:tcW w:w="1471" w:type="dxa"/>
            <w:noWrap w:val="0"/>
            <w:vAlign w:val="center"/>
          </w:tcPr>
          <w:p w14:paraId="53BD71B4">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r>
      <w:tr w14:paraId="1808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1" w:type="dxa"/>
            <w:noWrap w:val="0"/>
            <w:vAlign w:val="center"/>
          </w:tcPr>
          <w:p w14:paraId="16E7E3AC">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环境高度敏感区（E1）</w:t>
            </w:r>
          </w:p>
        </w:tc>
        <w:tc>
          <w:tcPr>
            <w:tcW w:w="1401" w:type="dxa"/>
            <w:noWrap w:val="0"/>
            <w:vAlign w:val="center"/>
          </w:tcPr>
          <w:p w14:paraId="3E0F94D1">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4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IV</w:t>
            </w:r>
            <w:r>
              <w:rPr>
                <w:rFonts w:hint="default" w:ascii="Times New Roman" w:hAnsi="Times New Roman" w:eastAsia="宋体" w:cs="Times New Roman"/>
                <w:color w:val="auto"/>
                <w:kern w:val="2"/>
                <w:sz w:val="21"/>
                <w:szCs w:val="21"/>
                <w:u w:val="none"/>
                <w:lang w:val="en-US" w:eastAsia="zh-CN"/>
              </w:rPr>
              <w:fldChar w:fldCharType="end"/>
            </w:r>
          </w:p>
        </w:tc>
        <w:tc>
          <w:tcPr>
            <w:tcW w:w="1581" w:type="dxa"/>
            <w:noWrap w:val="0"/>
            <w:vAlign w:val="center"/>
          </w:tcPr>
          <w:p w14:paraId="250F9FC4">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c>
          <w:tcPr>
            <w:tcW w:w="1566" w:type="dxa"/>
            <w:noWrap w:val="0"/>
            <w:vAlign w:val="center"/>
          </w:tcPr>
          <w:p w14:paraId="53888235">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c>
          <w:tcPr>
            <w:tcW w:w="1471" w:type="dxa"/>
            <w:noWrap w:val="0"/>
            <w:vAlign w:val="center"/>
          </w:tcPr>
          <w:p w14:paraId="64F7313B">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2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w:t>
            </w:r>
            <w:r>
              <w:rPr>
                <w:rFonts w:hint="default" w:ascii="Times New Roman" w:hAnsi="Times New Roman" w:eastAsia="宋体" w:cs="Times New Roman"/>
                <w:color w:val="auto"/>
                <w:kern w:val="2"/>
                <w:sz w:val="21"/>
                <w:szCs w:val="21"/>
                <w:u w:val="none"/>
                <w:lang w:val="en-US" w:eastAsia="zh-CN"/>
              </w:rPr>
              <w:fldChar w:fldCharType="end"/>
            </w:r>
          </w:p>
        </w:tc>
      </w:tr>
      <w:tr w14:paraId="6FAC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1" w:type="dxa"/>
            <w:noWrap w:val="0"/>
            <w:vAlign w:val="center"/>
          </w:tcPr>
          <w:p w14:paraId="3D167C42">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环境高度敏感区（E1）</w:t>
            </w:r>
          </w:p>
        </w:tc>
        <w:tc>
          <w:tcPr>
            <w:tcW w:w="1401" w:type="dxa"/>
            <w:noWrap w:val="0"/>
            <w:vAlign w:val="center"/>
          </w:tcPr>
          <w:p w14:paraId="602EB603">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c>
          <w:tcPr>
            <w:tcW w:w="1581" w:type="dxa"/>
            <w:noWrap w:val="0"/>
            <w:vAlign w:val="center"/>
          </w:tcPr>
          <w:p w14:paraId="4F6BC74C">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3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III</w:t>
            </w:r>
            <w:r>
              <w:rPr>
                <w:rFonts w:hint="default" w:ascii="Times New Roman" w:hAnsi="Times New Roman" w:eastAsia="宋体" w:cs="Times New Roman"/>
                <w:color w:val="auto"/>
                <w:kern w:val="2"/>
                <w:sz w:val="21"/>
                <w:szCs w:val="21"/>
                <w:u w:val="none"/>
                <w:lang w:val="en-US" w:eastAsia="zh-CN"/>
              </w:rPr>
              <w:fldChar w:fldCharType="end"/>
            </w:r>
          </w:p>
        </w:tc>
        <w:tc>
          <w:tcPr>
            <w:tcW w:w="1566" w:type="dxa"/>
            <w:noWrap w:val="0"/>
            <w:vAlign w:val="center"/>
          </w:tcPr>
          <w:p w14:paraId="00388FA9">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2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II</w:t>
            </w:r>
            <w:r>
              <w:rPr>
                <w:rFonts w:hint="default" w:ascii="Times New Roman" w:hAnsi="Times New Roman" w:eastAsia="宋体" w:cs="Times New Roman"/>
                <w:color w:val="auto"/>
                <w:kern w:val="2"/>
                <w:sz w:val="21"/>
                <w:szCs w:val="21"/>
                <w:u w:val="none"/>
                <w:lang w:val="en-US" w:eastAsia="zh-CN"/>
              </w:rPr>
              <w:fldChar w:fldCharType="end"/>
            </w:r>
          </w:p>
        </w:tc>
        <w:tc>
          <w:tcPr>
            <w:tcW w:w="1471" w:type="dxa"/>
            <w:noWrap w:val="0"/>
            <w:vAlign w:val="center"/>
          </w:tcPr>
          <w:p w14:paraId="61F2A4D4">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1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w:t>
            </w:r>
            <w:r>
              <w:rPr>
                <w:rFonts w:hint="default" w:ascii="Times New Roman" w:hAnsi="Times New Roman" w:eastAsia="宋体" w:cs="Times New Roman"/>
                <w:color w:val="auto"/>
                <w:kern w:val="2"/>
                <w:sz w:val="21"/>
                <w:szCs w:val="21"/>
                <w:u w:val="none"/>
                <w:lang w:val="en-US" w:eastAsia="zh-CN"/>
              </w:rPr>
              <w:fldChar w:fldCharType="end"/>
            </w:r>
          </w:p>
        </w:tc>
      </w:tr>
      <w:tr w14:paraId="62FE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noWrap w:val="0"/>
            <w:vAlign w:val="center"/>
          </w:tcPr>
          <w:p w14:paraId="3A5D314B">
            <w:pPr>
              <w:pStyle w:val="41"/>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注：</w:t>
            </w:r>
            <w:r>
              <w:rPr>
                <w:rFonts w:hint="default" w:ascii="Times New Roman" w:hAnsi="Times New Roman" w:eastAsia="宋体" w:cs="Times New Roman"/>
                <w:color w:val="auto"/>
                <w:kern w:val="2"/>
                <w:sz w:val="21"/>
                <w:szCs w:val="21"/>
                <w:u w:val="none"/>
                <w:lang w:val="en-US" w:eastAsia="zh-CN"/>
              </w:rPr>
              <w:fldChar w:fldCharType="begin"/>
            </w:r>
            <w:r>
              <w:rPr>
                <w:rFonts w:hint="default" w:ascii="Times New Roman" w:hAnsi="Times New Roman" w:eastAsia="宋体" w:cs="Times New Roman"/>
                <w:color w:val="auto"/>
                <w:kern w:val="2"/>
                <w:sz w:val="21"/>
                <w:szCs w:val="21"/>
                <w:u w:val="none"/>
                <w:lang w:val="en-US" w:eastAsia="zh-CN"/>
              </w:rPr>
              <w:instrText xml:space="preserve"> = 4 \* ROMAN </w:instrText>
            </w:r>
            <w:r>
              <w:rPr>
                <w:rFonts w:hint="default" w:ascii="Times New Roman" w:hAnsi="Times New Roman" w:eastAsia="宋体" w:cs="Times New Roman"/>
                <w:color w:val="auto"/>
                <w:kern w:val="2"/>
                <w:sz w:val="21"/>
                <w:szCs w:val="21"/>
                <w:u w:val="none"/>
                <w:lang w:val="en-US" w:eastAsia="zh-CN"/>
              </w:rPr>
              <w:fldChar w:fldCharType="separate"/>
            </w:r>
            <w:r>
              <w:rPr>
                <w:rFonts w:hint="default" w:ascii="Times New Roman" w:hAnsi="Times New Roman" w:eastAsia="宋体" w:cs="Times New Roman"/>
                <w:color w:val="auto"/>
                <w:kern w:val="2"/>
                <w:sz w:val="21"/>
                <w:szCs w:val="21"/>
                <w:u w:val="none"/>
                <w:lang w:val="en-US" w:eastAsia="zh-CN"/>
              </w:rPr>
              <w:t>IV</w:t>
            </w:r>
            <w:r>
              <w:rPr>
                <w:rFonts w:hint="default" w:ascii="Times New Roman" w:hAnsi="Times New Roman" w:eastAsia="宋体" w:cs="Times New Roman"/>
                <w:color w:val="auto"/>
                <w:kern w:val="2"/>
                <w:sz w:val="21"/>
                <w:szCs w:val="21"/>
                <w:u w:val="none"/>
                <w:lang w:val="en-US" w:eastAsia="zh-CN"/>
              </w:rPr>
              <w:fldChar w:fldCharType="end"/>
            </w:r>
            <w:r>
              <w:rPr>
                <w:rFonts w:hint="default" w:ascii="Times New Roman" w:hAnsi="Times New Roman" w:eastAsia="宋体" w:cs="Times New Roman"/>
                <w:color w:val="auto"/>
                <w:kern w:val="2"/>
                <w:sz w:val="21"/>
                <w:szCs w:val="21"/>
                <w:u w:val="none"/>
                <w:vertAlign w:val="superscript"/>
                <w:lang w:val="en-US" w:eastAsia="zh-CN"/>
              </w:rPr>
              <w:t>+</w:t>
            </w:r>
            <w:r>
              <w:rPr>
                <w:rFonts w:hint="default" w:ascii="Times New Roman" w:hAnsi="Times New Roman" w:eastAsia="宋体" w:cs="Times New Roman"/>
                <w:color w:val="auto"/>
                <w:kern w:val="2"/>
                <w:sz w:val="21"/>
                <w:szCs w:val="21"/>
                <w:u w:val="none"/>
                <w:lang w:val="en-US" w:eastAsia="zh-CN"/>
              </w:rPr>
              <w:t>为极高环境风险</w:t>
            </w:r>
          </w:p>
        </w:tc>
      </w:tr>
    </w:tbl>
    <w:p w14:paraId="627E1C6B">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根据上表可知，风险潜势由危险物质及工艺系统危险性（P）与环境敏感程度（E）共同确定，而P的分级由危险物质数量与临界量的比值（Q）和所属行业及生产工艺特点（M）共同确定。</w:t>
      </w:r>
    </w:p>
    <w:p w14:paraId="629AC7D2">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14:paraId="300321ED">
      <w:pPr>
        <w:widowControl/>
        <w:spacing w:line="360" w:lineRule="auto"/>
        <w:ind w:firstLine="480" w:firstLineChars="200"/>
        <w:jc w:val="center"/>
        <w:rPr>
          <w:rFonts w:hint="default" w:ascii="Times New Roman" w:hAnsi="Times New Roman" w:eastAsia="宋体" w:cs="Times New Roman"/>
          <w:color w:val="auto"/>
          <w:kern w:val="0"/>
          <w:sz w:val="24"/>
          <w:u w:val="none"/>
        </w:rPr>
      </w:pPr>
      <m:oMathPara>
        <m:oMath>
          <m:r>
            <m:rPr>
              <m:sty m:val="p"/>
            </m:rPr>
            <w:rPr>
              <w:rFonts w:hint="default" w:ascii="Cambria Math" w:hAnsi="Cambria Math" w:eastAsia="宋体" w:cs="Times New Roman"/>
              <w:color w:val="auto"/>
              <w:kern w:val="0"/>
              <w:sz w:val="24"/>
              <w:u w:val="none"/>
            </w:rPr>
            <m:t>Q=</m:t>
          </m:r>
          <m:f>
            <m:fPr>
              <m:ctrlPr>
                <w:rPr>
                  <w:rFonts w:hint="default" w:ascii="Cambria Math" w:hAnsi="Cambria Math" w:eastAsia="宋体" w:cs="Times New Roman"/>
                  <w:color w:val="auto"/>
                  <w:sz w:val="24"/>
                  <w:u w:val="none"/>
                </w:rPr>
              </m:ctrlPr>
            </m:fPr>
            <m:num>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1</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num>
            <m:den>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1</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den>
          </m:f>
          <m:r>
            <m:rPr/>
            <w:rPr>
              <w:rFonts w:hint="default" w:ascii="Cambria Math" w:hAnsi="Cambria Math" w:eastAsia="宋体" w:cs="Times New Roman"/>
              <w:color w:val="auto"/>
              <w:kern w:val="0"/>
              <w:sz w:val="24"/>
              <w:u w:val="none"/>
            </w:rPr>
            <m:t>+</m:t>
          </m:r>
          <m:f>
            <m:fPr>
              <m:ctrlPr>
                <w:rPr>
                  <w:rFonts w:hint="default" w:ascii="Cambria Math" w:hAnsi="Cambria Math" w:eastAsia="宋体" w:cs="Times New Roman"/>
                  <w:color w:val="auto"/>
                  <w:sz w:val="24"/>
                  <w:u w:val="none"/>
                </w:rPr>
              </m:ctrlPr>
            </m:fPr>
            <m:num>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2</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num>
            <m:den>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2</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den>
          </m:f>
          <m:r>
            <m:rPr/>
            <w:rPr>
              <w:rFonts w:hint="default" w:ascii="Cambria Math" w:hAnsi="Cambria Math" w:eastAsia="宋体" w:cs="Times New Roman"/>
              <w:color w:val="auto"/>
              <w:kern w:val="0"/>
              <w:sz w:val="24"/>
              <w:u w:val="none"/>
            </w:rPr>
            <m:t>+⋯</m:t>
          </m:r>
          <m:f>
            <m:fPr>
              <m:ctrlPr>
                <w:rPr>
                  <w:rFonts w:hint="default" w:ascii="Cambria Math" w:hAnsi="Cambria Math" w:eastAsia="宋体" w:cs="Times New Roman"/>
                  <w:color w:val="auto"/>
                  <w:sz w:val="24"/>
                  <w:u w:val="none"/>
                </w:rPr>
              </m:ctrlPr>
            </m:fPr>
            <m:num>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n</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num>
            <m:den>
              <m:sSub>
                <m:sSubPr>
                  <m:ctrlPr>
                    <w:rPr>
                      <w:rFonts w:hint="default" w:ascii="Cambria Math" w:hAnsi="Cambria Math" w:eastAsia="宋体" w:cs="Times New Roman"/>
                      <w:i/>
                      <w:color w:val="auto"/>
                      <w:sz w:val="24"/>
                      <w:u w:val="none"/>
                    </w:rPr>
                  </m:ctrlPr>
                </m:sSubPr>
                <m:e>
                  <m:r>
                    <m:rPr/>
                    <w:rPr>
                      <w:rFonts w:hint="default" w:ascii="Cambria Math" w:hAnsi="Cambria Math" w:eastAsia="宋体" w:cs="Times New Roman"/>
                      <w:color w:val="auto"/>
                      <w:kern w:val="0"/>
                      <w:sz w:val="24"/>
                      <w:u w:val="none"/>
                    </w:rPr>
                    <m:t>Q</m:t>
                  </m:r>
                  <m:ctrlPr>
                    <w:rPr>
                      <w:rFonts w:hint="default" w:ascii="Cambria Math" w:hAnsi="Cambria Math" w:eastAsia="宋体" w:cs="Times New Roman"/>
                      <w:i/>
                      <w:color w:val="auto"/>
                      <w:sz w:val="24"/>
                      <w:u w:val="none"/>
                    </w:rPr>
                  </m:ctrlPr>
                </m:e>
                <m:sub>
                  <m:r>
                    <m:rPr/>
                    <w:rPr>
                      <w:rFonts w:hint="default" w:ascii="Cambria Math" w:hAnsi="Cambria Math" w:eastAsia="宋体" w:cs="Times New Roman"/>
                      <w:color w:val="auto"/>
                      <w:kern w:val="0"/>
                      <w:sz w:val="24"/>
                      <w:u w:val="none"/>
                    </w:rPr>
                    <m:t>n</m:t>
                  </m:r>
                  <m:ctrlPr>
                    <w:rPr>
                      <w:rFonts w:hint="default" w:ascii="Cambria Math" w:hAnsi="Cambria Math" w:eastAsia="宋体" w:cs="Times New Roman"/>
                      <w:i/>
                      <w:color w:val="auto"/>
                      <w:sz w:val="24"/>
                      <w:u w:val="none"/>
                    </w:rPr>
                  </m:ctrlPr>
                </m:sub>
              </m:sSub>
              <m:ctrlPr>
                <w:rPr>
                  <w:rFonts w:hint="default" w:ascii="Cambria Math" w:hAnsi="Cambria Math" w:eastAsia="宋体" w:cs="Times New Roman"/>
                  <w:color w:val="auto"/>
                  <w:sz w:val="24"/>
                  <w:u w:val="none"/>
                </w:rPr>
              </m:ctrlPr>
            </m:den>
          </m:f>
        </m:oMath>
      </m:oMathPara>
    </w:p>
    <w:p w14:paraId="56D7D0F2">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式中：q</w:t>
      </w:r>
      <w:r>
        <w:rPr>
          <w:rFonts w:hint="default" w:ascii="Times New Roman" w:hAnsi="Times New Roman" w:eastAsia="宋体" w:cs="Times New Roman"/>
          <w:color w:val="auto"/>
          <w:u w:val="none"/>
          <w:vertAlign w:val="subscript"/>
        </w:rPr>
        <w:t>1</w:t>
      </w:r>
      <w:r>
        <w:rPr>
          <w:rFonts w:hint="default" w:ascii="Times New Roman" w:hAnsi="Times New Roman" w:eastAsia="宋体" w:cs="Times New Roman"/>
          <w:color w:val="auto"/>
          <w:u w:val="none"/>
        </w:rPr>
        <w:t>，q</w:t>
      </w:r>
      <w:r>
        <w:rPr>
          <w:rFonts w:hint="default" w:ascii="Times New Roman" w:hAnsi="Times New Roman" w:eastAsia="宋体" w:cs="Times New Roman"/>
          <w:color w:val="auto"/>
          <w:u w:val="none"/>
          <w:vertAlign w:val="subscript"/>
        </w:rPr>
        <w:t>2</w:t>
      </w:r>
      <w:r>
        <w:rPr>
          <w:rFonts w:hint="default" w:ascii="Times New Roman" w:hAnsi="Times New Roman" w:eastAsia="宋体" w:cs="Times New Roman"/>
          <w:color w:val="auto"/>
          <w:u w:val="none"/>
        </w:rPr>
        <w:t>，…，q</w:t>
      </w:r>
      <w:r>
        <w:rPr>
          <w:rFonts w:hint="default" w:ascii="Times New Roman" w:hAnsi="Times New Roman" w:eastAsia="宋体" w:cs="Times New Roman"/>
          <w:color w:val="auto"/>
          <w:u w:val="none"/>
          <w:vertAlign w:val="subscript"/>
        </w:rPr>
        <w:t>n</w:t>
      </w:r>
      <w:r>
        <w:rPr>
          <w:rFonts w:hint="default" w:ascii="Times New Roman" w:hAnsi="Times New Roman" w:eastAsia="宋体" w:cs="Times New Roman"/>
          <w:color w:val="auto"/>
          <w:u w:val="none"/>
        </w:rPr>
        <w:t>——每种危险物质的最大存在量，t；</w:t>
      </w:r>
    </w:p>
    <w:p w14:paraId="30ACE5A2">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Q</w:t>
      </w:r>
      <w:r>
        <w:rPr>
          <w:rFonts w:hint="default" w:ascii="Times New Roman" w:hAnsi="Times New Roman" w:eastAsia="宋体" w:cs="Times New Roman"/>
          <w:color w:val="auto"/>
          <w:u w:val="none"/>
          <w:vertAlign w:val="subscript"/>
        </w:rPr>
        <w:t>1</w:t>
      </w:r>
      <w:r>
        <w:rPr>
          <w:rFonts w:hint="default" w:ascii="Times New Roman" w:hAnsi="Times New Roman" w:eastAsia="宋体" w:cs="Times New Roman"/>
          <w:color w:val="auto"/>
          <w:u w:val="none"/>
        </w:rPr>
        <w:t>，Q</w:t>
      </w:r>
      <w:r>
        <w:rPr>
          <w:rFonts w:hint="default" w:ascii="Times New Roman" w:hAnsi="Times New Roman" w:eastAsia="宋体" w:cs="Times New Roman"/>
          <w:color w:val="auto"/>
          <w:u w:val="none"/>
          <w:vertAlign w:val="subscript"/>
        </w:rPr>
        <w:t>2</w:t>
      </w:r>
      <w:r>
        <w:rPr>
          <w:rFonts w:hint="default" w:ascii="Times New Roman" w:hAnsi="Times New Roman" w:eastAsia="宋体" w:cs="Times New Roman"/>
          <w:color w:val="auto"/>
          <w:u w:val="none"/>
        </w:rPr>
        <w:t>，…，Q</w:t>
      </w:r>
      <w:r>
        <w:rPr>
          <w:rFonts w:hint="default" w:ascii="Times New Roman" w:hAnsi="Times New Roman" w:eastAsia="宋体" w:cs="Times New Roman"/>
          <w:color w:val="auto"/>
          <w:u w:val="none"/>
          <w:vertAlign w:val="subscript"/>
        </w:rPr>
        <w:t>n</w:t>
      </w:r>
      <w:r>
        <w:rPr>
          <w:rFonts w:hint="default" w:ascii="Times New Roman" w:hAnsi="Times New Roman" w:eastAsia="宋体" w:cs="Times New Roman"/>
          <w:color w:val="auto"/>
          <w:u w:val="none"/>
        </w:rPr>
        <w:t>——每种危险物质的临界量，t。</w:t>
      </w:r>
    </w:p>
    <w:p w14:paraId="35534F9B">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当Q＜1时，该项目风险潜势为</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1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p>
    <w:p w14:paraId="3DCA62A0">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当Q≥1时，将Q值划分为：（1）1≤Q＜10；（2）10≤Q＜100；（3）Q≥100。</w:t>
      </w:r>
    </w:p>
    <w:p w14:paraId="0DFE5068">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根据《水上溢油环境风险评估技术导则》（JT/ T 1143-2017），</w:t>
      </w:r>
      <w:r>
        <w:rPr>
          <w:rFonts w:hint="eastAsia" w:cs="Times New Roman"/>
          <w:color w:val="auto"/>
          <w:u w:val="none"/>
          <w:lang w:val="en-US" w:eastAsia="zh-CN"/>
        </w:rPr>
        <w:t>本项目到港船舶燃油舱燃油量最大为10吨</w:t>
      </w:r>
      <w:r>
        <w:rPr>
          <w:rFonts w:hint="default" w:ascii="Times New Roman" w:hAnsi="Times New Roman" w:eastAsia="宋体" w:cs="Times New Roman"/>
          <w:color w:val="auto"/>
          <w:u w:val="none"/>
        </w:rPr>
        <w:t>，本工程船舶贮存油类物质的贮存量及临界量见下表。</w:t>
      </w:r>
    </w:p>
    <w:p w14:paraId="33E2ED79">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表</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lang w:val="en-US" w:eastAsia="zh-CN"/>
        </w:rPr>
        <w:t>-2  涉及的风险物质及Q值计算一览表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507"/>
        <w:gridCol w:w="1109"/>
        <w:gridCol w:w="1151"/>
        <w:gridCol w:w="1254"/>
        <w:gridCol w:w="1146"/>
        <w:gridCol w:w="1336"/>
        <w:gridCol w:w="1023"/>
        <w:gridCol w:w="694"/>
      </w:tblGrid>
      <w:tr w14:paraId="0C3063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507" w:type="dxa"/>
            <w:noWrap w:val="0"/>
            <w:vAlign w:val="center"/>
          </w:tcPr>
          <w:p w14:paraId="0E15B685">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序号</w:t>
            </w:r>
          </w:p>
        </w:tc>
        <w:tc>
          <w:tcPr>
            <w:tcW w:w="1109" w:type="dxa"/>
            <w:noWrap w:val="0"/>
            <w:vAlign w:val="center"/>
          </w:tcPr>
          <w:p w14:paraId="53793EDD">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名称</w:t>
            </w:r>
          </w:p>
        </w:tc>
        <w:tc>
          <w:tcPr>
            <w:tcW w:w="1151" w:type="dxa"/>
            <w:noWrap w:val="0"/>
            <w:vAlign w:val="center"/>
          </w:tcPr>
          <w:p w14:paraId="1C187C21">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理化性质</w:t>
            </w:r>
          </w:p>
        </w:tc>
        <w:tc>
          <w:tcPr>
            <w:tcW w:w="1254" w:type="dxa"/>
            <w:noWrap w:val="0"/>
            <w:vAlign w:val="center"/>
          </w:tcPr>
          <w:p w14:paraId="3B467F39">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危害特性</w:t>
            </w:r>
          </w:p>
        </w:tc>
        <w:tc>
          <w:tcPr>
            <w:tcW w:w="1146" w:type="dxa"/>
            <w:noWrap w:val="0"/>
            <w:vAlign w:val="center"/>
          </w:tcPr>
          <w:p w14:paraId="1A4DB3E9">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贮存方式</w:t>
            </w:r>
          </w:p>
        </w:tc>
        <w:tc>
          <w:tcPr>
            <w:tcW w:w="1336" w:type="dxa"/>
            <w:noWrap w:val="0"/>
            <w:vAlign w:val="center"/>
          </w:tcPr>
          <w:p w14:paraId="2EE82E1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最大贮存量qi</w:t>
            </w:r>
          </w:p>
        </w:tc>
        <w:tc>
          <w:tcPr>
            <w:tcW w:w="1023" w:type="dxa"/>
            <w:noWrap w:val="0"/>
            <w:vAlign w:val="center"/>
          </w:tcPr>
          <w:p w14:paraId="369BBBC4">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临界量Qi</w:t>
            </w:r>
          </w:p>
        </w:tc>
        <w:tc>
          <w:tcPr>
            <w:tcW w:w="694" w:type="dxa"/>
            <w:noWrap w:val="0"/>
            <w:vAlign w:val="center"/>
          </w:tcPr>
          <w:p w14:paraId="6C961937">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qi/Qi</w:t>
            </w:r>
          </w:p>
        </w:tc>
      </w:tr>
      <w:tr w14:paraId="682944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07" w:type="dxa"/>
            <w:noWrap w:val="0"/>
            <w:vAlign w:val="center"/>
          </w:tcPr>
          <w:p w14:paraId="32FCCBC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1</w:t>
            </w:r>
          </w:p>
        </w:tc>
        <w:tc>
          <w:tcPr>
            <w:tcW w:w="1109" w:type="dxa"/>
            <w:noWrap w:val="0"/>
            <w:vAlign w:val="center"/>
          </w:tcPr>
          <w:p w14:paraId="5A65588B">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燃料柴油</w:t>
            </w:r>
          </w:p>
        </w:tc>
        <w:tc>
          <w:tcPr>
            <w:tcW w:w="1151" w:type="dxa"/>
            <w:noWrap w:val="0"/>
            <w:vAlign w:val="center"/>
          </w:tcPr>
          <w:p w14:paraId="222CD9A5">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矿物油类</w:t>
            </w:r>
          </w:p>
        </w:tc>
        <w:tc>
          <w:tcPr>
            <w:tcW w:w="1254" w:type="dxa"/>
            <w:noWrap w:val="0"/>
            <w:vAlign w:val="center"/>
          </w:tcPr>
          <w:p w14:paraId="2DDC0D60">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易燃物质</w:t>
            </w:r>
          </w:p>
        </w:tc>
        <w:tc>
          <w:tcPr>
            <w:tcW w:w="1146" w:type="dxa"/>
            <w:noWrap w:val="0"/>
            <w:vAlign w:val="center"/>
          </w:tcPr>
          <w:p w14:paraId="15B5D335">
            <w:pPr>
              <w:pStyle w:val="41"/>
              <w:rPr>
                <w:rFonts w:hint="default" w:ascii="Times New Roman" w:hAnsi="Times New Roman" w:eastAsia="宋体" w:cs="Times New Roman"/>
                <w:color w:val="auto"/>
                <w:kern w:val="2"/>
                <w:sz w:val="21"/>
                <w:szCs w:val="24"/>
                <w:u w:val="none"/>
                <w:lang w:val="en-US" w:eastAsia="zh-CN"/>
              </w:rPr>
            </w:pPr>
            <w:r>
              <w:rPr>
                <w:rFonts w:hint="eastAsia" w:cs="Times New Roman"/>
                <w:color w:val="auto"/>
                <w:kern w:val="2"/>
                <w:sz w:val="21"/>
                <w:szCs w:val="24"/>
                <w:u w:val="none"/>
                <w:lang w:val="en-US" w:eastAsia="zh-CN"/>
              </w:rPr>
              <w:t>船舶燃油舱</w:t>
            </w:r>
          </w:p>
        </w:tc>
        <w:tc>
          <w:tcPr>
            <w:tcW w:w="1336" w:type="dxa"/>
            <w:noWrap w:val="0"/>
            <w:vAlign w:val="center"/>
          </w:tcPr>
          <w:p w14:paraId="06CF3CB1">
            <w:pPr>
              <w:pStyle w:val="41"/>
              <w:rPr>
                <w:rFonts w:hint="default" w:ascii="Times New Roman" w:hAnsi="Times New Roman" w:eastAsia="宋体" w:cs="Times New Roman"/>
                <w:color w:val="auto"/>
                <w:kern w:val="2"/>
                <w:sz w:val="21"/>
                <w:szCs w:val="24"/>
                <w:u w:val="none"/>
                <w:lang w:val="en-US" w:eastAsia="zh-CN"/>
              </w:rPr>
            </w:pPr>
            <w:r>
              <w:rPr>
                <w:rFonts w:hint="eastAsia" w:cs="Times New Roman"/>
                <w:color w:val="auto"/>
                <w:kern w:val="2"/>
                <w:sz w:val="21"/>
                <w:szCs w:val="24"/>
                <w:u w:val="none"/>
                <w:lang w:val="en-US" w:eastAsia="zh-CN"/>
              </w:rPr>
              <w:t>10</w:t>
            </w:r>
          </w:p>
        </w:tc>
        <w:tc>
          <w:tcPr>
            <w:tcW w:w="1023" w:type="dxa"/>
            <w:noWrap w:val="0"/>
            <w:vAlign w:val="center"/>
          </w:tcPr>
          <w:p w14:paraId="4AC508D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2500</w:t>
            </w:r>
          </w:p>
        </w:tc>
        <w:tc>
          <w:tcPr>
            <w:tcW w:w="694" w:type="dxa"/>
            <w:noWrap w:val="0"/>
            <w:vAlign w:val="center"/>
          </w:tcPr>
          <w:p w14:paraId="0795FF5B">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0.0</w:t>
            </w:r>
            <w:r>
              <w:rPr>
                <w:rFonts w:hint="eastAsia" w:cs="Times New Roman"/>
                <w:color w:val="auto"/>
                <w:kern w:val="2"/>
                <w:sz w:val="21"/>
                <w:szCs w:val="24"/>
                <w:u w:val="none"/>
                <w:lang w:val="en-US" w:eastAsia="zh-CN"/>
              </w:rPr>
              <w:t>04</w:t>
            </w:r>
          </w:p>
        </w:tc>
      </w:tr>
      <w:tr w14:paraId="0DDB7D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526" w:type="dxa"/>
            <w:gridSpan w:val="7"/>
            <w:noWrap w:val="0"/>
            <w:vAlign w:val="center"/>
          </w:tcPr>
          <w:p w14:paraId="1D1FFCA2">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合计</w:t>
            </w:r>
          </w:p>
        </w:tc>
        <w:tc>
          <w:tcPr>
            <w:tcW w:w="694" w:type="dxa"/>
            <w:noWrap w:val="0"/>
            <w:vAlign w:val="center"/>
          </w:tcPr>
          <w:p w14:paraId="21103FEC">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0.0</w:t>
            </w:r>
            <w:r>
              <w:rPr>
                <w:rFonts w:hint="eastAsia" w:cs="Times New Roman"/>
                <w:color w:val="auto"/>
                <w:kern w:val="2"/>
                <w:sz w:val="21"/>
                <w:szCs w:val="24"/>
                <w:u w:val="none"/>
                <w:lang w:val="en-US" w:eastAsia="zh-CN"/>
              </w:rPr>
              <w:t>04</w:t>
            </w:r>
          </w:p>
        </w:tc>
      </w:tr>
    </w:tbl>
    <w:p w14:paraId="4A984F71">
      <w:pPr>
        <w:pStyle w:val="38"/>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注：临界量Qi参照《建设项目环境风险评价技术导则》（HJ169-2018）附录B里所列的临界值，均以纯物质来计。</w:t>
      </w:r>
    </w:p>
    <w:p w14:paraId="0185CD21">
      <w:pPr>
        <w:pStyle w:val="38"/>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所以本项目危险物质的数量与临界量比值Q=0.</w:t>
      </w:r>
      <w:r>
        <w:rPr>
          <w:rFonts w:hint="default" w:ascii="Times New Roman" w:hAnsi="Times New Roman" w:eastAsia="宋体" w:cs="Times New Roman"/>
          <w:color w:val="auto"/>
          <w:u w:val="none"/>
          <w:lang w:eastAsia="zh-CN"/>
        </w:rPr>
        <w:t>0</w:t>
      </w:r>
      <w:r>
        <w:rPr>
          <w:rFonts w:hint="eastAsia" w:cs="Times New Roman"/>
          <w:color w:val="auto"/>
          <w:u w:val="none"/>
          <w:lang w:val="en-US" w:eastAsia="zh-CN"/>
        </w:rPr>
        <w:t>04</w:t>
      </w:r>
      <w:r>
        <w:rPr>
          <w:rFonts w:hint="default" w:ascii="Times New Roman" w:hAnsi="Times New Roman" w:eastAsia="宋体" w:cs="Times New Roman"/>
          <w:color w:val="auto"/>
          <w:u w:val="none"/>
        </w:rPr>
        <w:t>＜1，风险潜势为</w:t>
      </w:r>
      <w:r>
        <w:rPr>
          <w:rFonts w:hint="default" w:ascii="Times New Roman" w:hAnsi="Times New Roman" w:eastAsia="宋体" w:cs="Times New Roman"/>
          <w:color w:val="auto"/>
          <w:u w:val="none"/>
        </w:rPr>
        <w:fldChar w:fldCharType="begin"/>
      </w:r>
      <w:r>
        <w:rPr>
          <w:rFonts w:hint="default" w:ascii="Times New Roman" w:hAnsi="Times New Roman" w:eastAsia="宋体" w:cs="Times New Roman"/>
          <w:color w:val="auto"/>
          <w:u w:val="none"/>
        </w:rPr>
        <w:instrText xml:space="preserve"> = 1 \* ROMAN </w:instrText>
      </w:r>
      <w:r>
        <w:rPr>
          <w:rFonts w:hint="default" w:ascii="Times New Roman" w:hAnsi="Times New Roman" w:eastAsia="宋体" w:cs="Times New Roman"/>
          <w:color w:val="auto"/>
          <w:u w:val="none"/>
        </w:rPr>
        <w:fldChar w:fldCharType="separate"/>
      </w:r>
      <w:r>
        <w:rPr>
          <w:rFonts w:hint="default" w:ascii="Times New Roman" w:hAnsi="Times New Roman" w:eastAsia="宋体" w:cs="Times New Roman"/>
          <w:color w:val="auto"/>
          <w:u w:val="none"/>
        </w:rPr>
        <w:t>I</w:t>
      </w:r>
      <w:r>
        <w:rPr>
          <w:rFonts w:hint="default" w:ascii="Times New Roman" w:hAnsi="Times New Roman" w:eastAsia="宋体" w:cs="Times New Roman"/>
          <w:color w:val="auto"/>
          <w:u w:val="none"/>
        </w:rPr>
        <w:fldChar w:fldCharType="end"/>
      </w:r>
      <w:r>
        <w:rPr>
          <w:rFonts w:hint="default" w:ascii="Times New Roman" w:hAnsi="Times New Roman" w:eastAsia="宋体" w:cs="Times New Roman"/>
          <w:color w:val="auto"/>
          <w:u w:val="none"/>
        </w:rPr>
        <w:t>。</w:t>
      </w:r>
    </w:p>
    <w:p w14:paraId="0DF6BA8E">
      <w:pPr>
        <w:spacing w:line="360" w:lineRule="auto"/>
        <w:ind w:firstLine="480"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③评价等级判定</w:t>
      </w:r>
    </w:p>
    <w:p w14:paraId="2C16062D">
      <w:pPr>
        <w:spacing w:line="360" w:lineRule="auto"/>
        <w:ind w:firstLine="480" w:firstLineChars="200"/>
        <w:rPr>
          <w:rFonts w:hint="default" w:ascii="Times New Roman" w:hAnsi="Times New Roman" w:eastAsia="宋体" w:cs="Times New Roman"/>
          <w:color w:val="auto"/>
          <w:kern w:val="0"/>
          <w:sz w:val="18"/>
          <w:szCs w:val="18"/>
          <w:u w:val="none"/>
        </w:rPr>
      </w:pPr>
      <w:r>
        <w:rPr>
          <w:rFonts w:hint="default" w:ascii="Times New Roman" w:hAnsi="Times New Roman" w:eastAsia="宋体" w:cs="Times New Roman"/>
          <w:color w:val="auto"/>
          <w:kern w:val="0"/>
          <w:sz w:val="24"/>
          <w:u w:val="none"/>
        </w:rPr>
        <w:t>环境风险评价工作等级划分为一级、二级、三级。根据建设项目设计的物质及工艺系统危险性和所在地的环境敏感性确定环境风险潜势，按照下表确定工作等级。风险潜势为</w:t>
      </w:r>
      <w:r>
        <w:rPr>
          <w:rFonts w:hint="default" w:ascii="Times New Roman" w:hAnsi="Times New Roman" w:eastAsia="宋体" w:cs="Times New Roman"/>
          <w:bCs/>
          <w:color w:val="auto"/>
          <w:sz w:val="24"/>
          <w:u w:val="none"/>
        </w:rPr>
        <w:fldChar w:fldCharType="begin"/>
      </w:r>
      <w:r>
        <w:rPr>
          <w:rFonts w:hint="default" w:ascii="Times New Roman" w:hAnsi="Times New Roman" w:eastAsia="宋体" w:cs="Times New Roman"/>
          <w:bCs/>
          <w:color w:val="auto"/>
          <w:sz w:val="24"/>
          <w:u w:val="none"/>
        </w:rPr>
        <w:instrText xml:space="preserve"> = 4 \* ROMAN </w:instrText>
      </w:r>
      <w:r>
        <w:rPr>
          <w:rFonts w:hint="default" w:ascii="Times New Roman" w:hAnsi="Times New Roman" w:eastAsia="宋体" w:cs="Times New Roman"/>
          <w:bCs/>
          <w:color w:val="auto"/>
          <w:sz w:val="24"/>
          <w:u w:val="none"/>
        </w:rPr>
        <w:fldChar w:fldCharType="separate"/>
      </w:r>
      <w:r>
        <w:rPr>
          <w:rFonts w:hint="default" w:ascii="Times New Roman" w:hAnsi="Times New Roman" w:eastAsia="宋体" w:cs="Times New Roman"/>
          <w:bCs/>
          <w:color w:val="auto"/>
          <w:sz w:val="24"/>
          <w:u w:val="none"/>
        </w:rPr>
        <w:t>IV</w:t>
      </w:r>
      <w:r>
        <w:rPr>
          <w:rFonts w:hint="default" w:ascii="Times New Roman" w:hAnsi="Times New Roman" w:eastAsia="宋体" w:cs="Times New Roman"/>
          <w:bCs/>
          <w:color w:val="auto"/>
          <w:sz w:val="24"/>
          <w:u w:val="none"/>
        </w:rPr>
        <w:fldChar w:fldCharType="end"/>
      </w:r>
      <w:r>
        <w:rPr>
          <w:rFonts w:hint="default" w:ascii="Times New Roman" w:hAnsi="Times New Roman" w:eastAsia="宋体" w:cs="Times New Roman"/>
          <w:color w:val="auto"/>
          <w:kern w:val="0"/>
          <w:sz w:val="24"/>
          <w:u w:val="none"/>
        </w:rPr>
        <w:t>及以上，进行一级评价；风险潜势为</w:t>
      </w:r>
      <w:r>
        <w:rPr>
          <w:rFonts w:hint="default" w:ascii="Times New Roman" w:hAnsi="Times New Roman" w:eastAsia="宋体" w:cs="Times New Roman"/>
          <w:bCs/>
          <w:color w:val="auto"/>
          <w:sz w:val="24"/>
          <w:u w:val="none"/>
        </w:rPr>
        <w:fldChar w:fldCharType="begin"/>
      </w:r>
      <w:r>
        <w:rPr>
          <w:rFonts w:hint="default" w:ascii="Times New Roman" w:hAnsi="Times New Roman" w:eastAsia="宋体" w:cs="Times New Roman"/>
          <w:bCs/>
          <w:color w:val="auto"/>
          <w:sz w:val="24"/>
          <w:u w:val="none"/>
        </w:rPr>
        <w:instrText xml:space="preserve"> = 3 \* ROMAN </w:instrText>
      </w:r>
      <w:r>
        <w:rPr>
          <w:rFonts w:hint="default" w:ascii="Times New Roman" w:hAnsi="Times New Roman" w:eastAsia="宋体" w:cs="Times New Roman"/>
          <w:bCs/>
          <w:color w:val="auto"/>
          <w:sz w:val="24"/>
          <w:u w:val="none"/>
        </w:rPr>
        <w:fldChar w:fldCharType="separate"/>
      </w:r>
      <w:r>
        <w:rPr>
          <w:rFonts w:hint="default" w:ascii="Times New Roman" w:hAnsi="Times New Roman" w:eastAsia="宋体" w:cs="Times New Roman"/>
          <w:bCs/>
          <w:color w:val="auto"/>
          <w:sz w:val="24"/>
          <w:u w:val="none"/>
        </w:rPr>
        <w:t>III</w:t>
      </w:r>
      <w:r>
        <w:rPr>
          <w:rFonts w:hint="default" w:ascii="Times New Roman" w:hAnsi="Times New Roman" w:eastAsia="宋体" w:cs="Times New Roman"/>
          <w:bCs/>
          <w:color w:val="auto"/>
          <w:sz w:val="24"/>
          <w:u w:val="none"/>
        </w:rPr>
        <w:fldChar w:fldCharType="end"/>
      </w:r>
      <w:r>
        <w:rPr>
          <w:rFonts w:hint="default" w:ascii="Times New Roman" w:hAnsi="Times New Roman" w:eastAsia="宋体" w:cs="Times New Roman"/>
          <w:color w:val="auto"/>
          <w:kern w:val="0"/>
          <w:sz w:val="24"/>
          <w:u w:val="none"/>
        </w:rPr>
        <w:t>，进行二级评价；风险潜势为</w:t>
      </w:r>
      <w:r>
        <w:rPr>
          <w:rFonts w:hint="default" w:ascii="Times New Roman" w:hAnsi="Times New Roman" w:eastAsia="宋体" w:cs="Times New Roman"/>
          <w:bCs/>
          <w:color w:val="auto"/>
          <w:sz w:val="24"/>
          <w:u w:val="none"/>
        </w:rPr>
        <w:fldChar w:fldCharType="begin"/>
      </w:r>
      <w:r>
        <w:rPr>
          <w:rFonts w:hint="default" w:ascii="Times New Roman" w:hAnsi="Times New Roman" w:eastAsia="宋体" w:cs="Times New Roman"/>
          <w:bCs/>
          <w:color w:val="auto"/>
          <w:sz w:val="24"/>
          <w:u w:val="none"/>
        </w:rPr>
        <w:instrText xml:space="preserve"> = 2 \* ROMAN </w:instrText>
      </w:r>
      <w:r>
        <w:rPr>
          <w:rFonts w:hint="default" w:ascii="Times New Roman" w:hAnsi="Times New Roman" w:eastAsia="宋体" w:cs="Times New Roman"/>
          <w:bCs/>
          <w:color w:val="auto"/>
          <w:sz w:val="24"/>
          <w:u w:val="none"/>
        </w:rPr>
        <w:fldChar w:fldCharType="separate"/>
      </w:r>
      <w:r>
        <w:rPr>
          <w:rFonts w:hint="default" w:ascii="Times New Roman" w:hAnsi="Times New Roman" w:eastAsia="宋体" w:cs="Times New Roman"/>
          <w:bCs/>
          <w:color w:val="auto"/>
          <w:sz w:val="24"/>
          <w:u w:val="none"/>
        </w:rPr>
        <w:t>II</w:t>
      </w:r>
      <w:r>
        <w:rPr>
          <w:rFonts w:hint="default" w:ascii="Times New Roman" w:hAnsi="Times New Roman" w:eastAsia="宋体" w:cs="Times New Roman"/>
          <w:bCs/>
          <w:color w:val="auto"/>
          <w:sz w:val="24"/>
          <w:u w:val="none"/>
        </w:rPr>
        <w:fldChar w:fldCharType="end"/>
      </w:r>
      <w:r>
        <w:rPr>
          <w:rFonts w:hint="default" w:ascii="Times New Roman" w:hAnsi="Times New Roman" w:eastAsia="宋体" w:cs="Times New Roman"/>
          <w:color w:val="auto"/>
          <w:kern w:val="0"/>
          <w:sz w:val="24"/>
          <w:u w:val="none"/>
        </w:rPr>
        <w:t>，进行三级评价；风险潜势为</w:t>
      </w:r>
      <w:r>
        <w:rPr>
          <w:rFonts w:hint="default" w:ascii="Times New Roman" w:hAnsi="Times New Roman" w:eastAsia="宋体" w:cs="Times New Roman"/>
          <w:bCs/>
          <w:color w:val="auto"/>
          <w:sz w:val="24"/>
          <w:u w:val="none"/>
        </w:rPr>
        <w:fldChar w:fldCharType="begin"/>
      </w:r>
      <w:r>
        <w:rPr>
          <w:rFonts w:hint="default" w:ascii="Times New Roman" w:hAnsi="Times New Roman" w:eastAsia="宋体" w:cs="Times New Roman"/>
          <w:bCs/>
          <w:color w:val="auto"/>
          <w:sz w:val="24"/>
          <w:u w:val="none"/>
        </w:rPr>
        <w:instrText xml:space="preserve"> = 1 \* ROMAN </w:instrText>
      </w:r>
      <w:r>
        <w:rPr>
          <w:rFonts w:hint="default" w:ascii="Times New Roman" w:hAnsi="Times New Roman" w:eastAsia="宋体" w:cs="Times New Roman"/>
          <w:bCs/>
          <w:color w:val="auto"/>
          <w:sz w:val="24"/>
          <w:u w:val="none"/>
        </w:rPr>
        <w:fldChar w:fldCharType="separate"/>
      </w:r>
      <w:r>
        <w:rPr>
          <w:rFonts w:hint="default" w:ascii="Times New Roman" w:hAnsi="Times New Roman" w:eastAsia="宋体" w:cs="Times New Roman"/>
          <w:bCs/>
          <w:color w:val="auto"/>
          <w:sz w:val="24"/>
          <w:u w:val="none"/>
        </w:rPr>
        <w:t>I</w:t>
      </w:r>
      <w:r>
        <w:rPr>
          <w:rFonts w:hint="default" w:ascii="Times New Roman" w:hAnsi="Times New Roman" w:eastAsia="宋体" w:cs="Times New Roman"/>
          <w:bCs/>
          <w:color w:val="auto"/>
          <w:sz w:val="24"/>
          <w:u w:val="none"/>
        </w:rPr>
        <w:fldChar w:fldCharType="end"/>
      </w:r>
      <w:r>
        <w:rPr>
          <w:rFonts w:hint="default" w:ascii="Times New Roman" w:hAnsi="Times New Roman" w:eastAsia="宋体" w:cs="Times New Roman"/>
          <w:color w:val="auto"/>
          <w:kern w:val="0"/>
          <w:sz w:val="24"/>
          <w:u w:val="none"/>
        </w:rPr>
        <w:t>，可开展简单分析。</w:t>
      </w:r>
    </w:p>
    <w:p w14:paraId="18829D0C">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表</w:t>
      </w:r>
      <w:r>
        <w:rPr>
          <w:rFonts w:hint="eastAsia" w:cs="Times New Roman"/>
          <w:color w:val="auto"/>
          <w:u w:val="none"/>
          <w:lang w:val="en-US" w:eastAsia="zh-CN"/>
        </w:rPr>
        <w:t>5</w:t>
      </w:r>
      <w:r>
        <w:rPr>
          <w:rFonts w:hint="default" w:ascii="Times New Roman" w:hAnsi="Times New Roman" w:eastAsia="宋体" w:cs="Times New Roman"/>
          <w:color w:val="auto"/>
          <w:u w:val="none"/>
          <w:lang w:eastAsia="zh-CN"/>
        </w:rPr>
        <w:t>.</w:t>
      </w:r>
      <w:r>
        <w:rPr>
          <w:rFonts w:hint="eastAsia" w:cs="Times New Roman"/>
          <w:color w:val="auto"/>
          <w:u w:val="none"/>
          <w:lang w:val="en-US" w:eastAsia="zh-CN"/>
        </w:rPr>
        <w:t>4</w:t>
      </w:r>
      <w:r>
        <w:rPr>
          <w:rFonts w:hint="default" w:ascii="Times New Roman" w:hAnsi="Times New Roman" w:eastAsia="宋体" w:cs="Times New Roman"/>
          <w:color w:val="auto"/>
          <w:u w:val="none"/>
          <w:lang w:eastAsia="zh-CN"/>
        </w:rPr>
        <w:t>-3</w:t>
      </w:r>
      <w:r>
        <w:rPr>
          <w:rFonts w:hint="default" w:ascii="Times New Roman" w:hAnsi="Times New Roman" w:eastAsia="宋体" w:cs="Times New Roman"/>
          <w:color w:val="auto"/>
          <w:u w:val="none"/>
        </w:rPr>
        <w:t xml:space="preserve"> 评价工作等级划分</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9"/>
        <w:gridCol w:w="1767"/>
        <w:gridCol w:w="802"/>
        <w:gridCol w:w="802"/>
        <w:gridCol w:w="2020"/>
      </w:tblGrid>
      <w:tr w14:paraId="2D9A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1" w:type="pct"/>
            <w:noWrap w:val="0"/>
            <w:vAlign w:val="center"/>
          </w:tcPr>
          <w:p w14:paraId="32B13276">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环境风险潜势</w:t>
            </w:r>
          </w:p>
        </w:tc>
        <w:tc>
          <w:tcPr>
            <w:tcW w:w="1075" w:type="pct"/>
            <w:noWrap w:val="0"/>
            <w:vAlign w:val="center"/>
          </w:tcPr>
          <w:p w14:paraId="2E8C28E1">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fldChar w:fldCharType="begin"/>
            </w:r>
            <w:r>
              <w:rPr>
                <w:rFonts w:hint="default" w:ascii="Times New Roman" w:hAnsi="Times New Roman" w:eastAsia="宋体" w:cs="Times New Roman"/>
                <w:color w:val="auto"/>
                <w:kern w:val="2"/>
                <w:sz w:val="21"/>
                <w:szCs w:val="24"/>
                <w:u w:val="none"/>
                <w:lang w:val="en-US" w:eastAsia="zh-CN"/>
              </w:rPr>
              <w:instrText xml:space="preserve"> = 4 \* ROMAN </w:instrText>
            </w:r>
            <w:r>
              <w:rPr>
                <w:rFonts w:hint="default" w:ascii="Times New Roman" w:hAnsi="Times New Roman" w:eastAsia="宋体" w:cs="Times New Roman"/>
                <w:color w:val="auto"/>
                <w:kern w:val="2"/>
                <w:sz w:val="21"/>
                <w:szCs w:val="24"/>
                <w:u w:val="none"/>
                <w:lang w:val="en-US" w:eastAsia="zh-CN"/>
              </w:rPr>
              <w:fldChar w:fldCharType="separate"/>
            </w:r>
            <w:r>
              <w:rPr>
                <w:rFonts w:hint="default" w:ascii="Times New Roman" w:hAnsi="Times New Roman" w:eastAsia="宋体" w:cs="Times New Roman"/>
                <w:color w:val="auto"/>
                <w:kern w:val="2"/>
                <w:sz w:val="21"/>
                <w:szCs w:val="24"/>
                <w:u w:val="none"/>
                <w:lang w:val="en-US" w:eastAsia="zh-CN"/>
              </w:rPr>
              <w:t>IV</w:t>
            </w:r>
            <w:r>
              <w:rPr>
                <w:rFonts w:hint="default" w:ascii="Times New Roman" w:hAnsi="Times New Roman" w:eastAsia="宋体" w:cs="Times New Roman"/>
                <w:color w:val="auto"/>
                <w:kern w:val="2"/>
                <w:sz w:val="21"/>
                <w:szCs w:val="24"/>
                <w:u w:val="none"/>
                <w:lang w:val="en-US" w:eastAsia="zh-CN"/>
              </w:rPr>
              <w:fldChar w:fldCharType="end"/>
            </w:r>
            <w:r>
              <w:rPr>
                <w:rFonts w:hint="default" w:ascii="Times New Roman" w:hAnsi="Times New Roman" w:eastAsia="宋体" w:cs="Times New Roman"/>
                <w:color w:val="auto"/>
                <w:kern w:val="2"/>
                <w:sz w:val="21"/>
                <w:szCs w:val="24"/>
                <w:u w:val="none"/>
                <w:lang w:val="en-US" w:eastAsia="zh-CN"/>
              </w:rPr>
              <w:t>、</w:t>
            </w:r>
            <w:r>
              <w:rPr>
                <w:rFonts w:hint="default" w:ascii="Times New Roman" w:hAnsi="Times New Roman" w:eastAsia="宋体" w:cs="Times New Roman"/>
                <w:color w:val="auto"/>
                <w:kern w:val="2"/>
                <w:sz w:val="21"/>
                <w:szCs w:val="24"/>
                <w:u w:val="none"/>
                <w:lang w:val="en-US" w:eastAsia="zh-CN"/>
              </w:rPr>
              <w:fldChar w:fldCharType="begin"/>
            </w:r>
            <w:r>
              <w:rPr>
                <w:rFonts w:hint="default" w:ascii="Times New Roman" w:hAnsi="Times New Roman" w:eastAsia="宋体" w:cs="Times New Roman"/>
                <w:color w:val="auto"/>
                <w:kern w:val="2"/>
                <w:sz w:val="21"/>
                <w:szCs w:val="24"/>
                <w:u w:val="none"/>
                <w:lang w:val="en-US" w:eastAsia="zh-CN"/>
              </w:rPr>
              <w:instrText xml:space="preserve"> = 4 \* ROMAN </w:instrText>
            </w:r>
            <w:r>
              <w:rPr>
                <w:rFonts w:hint="default" w:ascii="Times New Roman" w:hAnsi="Times New Roman" w:eastAsia="宋体" w:cs="Times New Roman"/>
                <w:color w:val="auto"/>
                <w:kern w:val="2"/>
                <w:sz w:val="21"/>
                <w:szCs w:val="24"/>
                <w:u w:val="none"/>
                <w:lang w:val="en-US" w:eastAsia="zh-CN"/>
              </w:rPr>
              <w:fldChar w:fldCharType="separate"/>
            </w:r>
            <w:r>
              <w:rPr>
                <w:rFonts w:hint="default" w:ascii="Times New Roman" w:hAnsi="Times New Roman" w:eastAsia="宋体" w:cs="Times New Roman"/>
                <w:color w:val="auto"/>
                <w:kern w:val="2"/>
                <w:sz w:val="21"/>
                <w:szCs w:val="24"/>
                <w:u w:val="none"/>
                <w:lang w:val="en-US" w:eastAsia="zh-CN"/>
              </w:rPr>
              <w:t>IV</w:t>
            </w:r>
            <w:r>
              <w:rPr>
                <w:rFonts w:hint="default" w:ascii="Times New Roman" w:hAnsi="Times New Roman" w:eastAsia="宋体" w:cs="Times New Roman"/>
                <w:color w:val="auto"/>
                <w:kern w:val="2"/>
                <w:sz w:val="21"/>
                <w:szCs w:val="24"/>
                <w:u w:val="none"/>
                <w:lang w:val="en-US" w:eastAsia="zh-CN"/>
              </w:rPr>
              <w:fldChar w:fldCharType="end"/>
            </w:r>
            <w:r>
              <w:rPr>
                <w:rFonts w:hint="default" w:ascii="Times New Roman" w:hAnsi="Times New Roman" w:eastAsia="宋体" w:cs="Times New Roman"/>
                <w:color w:val="auto"/>
                <w:kern w:val="2"/>
                <w:sz w:val="21"/>
                <w:szCs w:val="24"/>
                <w:u w:val="none"/>
                <w:vertAlign w:val="superscript"/>
                <w:lang w:val="en-US" w:eastAsia="zh-CN"/>
              </w:rPr>
              <w:t>+</w:t>
            </w:r>
          </w:p>
        </w:tc>
        <w:tc>
          <w:tcPr>
            <w:tcW w:w="488" w:type="pct"/>
            <w:noWrap w:val="0"/>
            <w:vAlign w:val="center"/>
          </w:tcPr>
          <w:p w14:paraId="40E00767">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fldChar w:fldCharType="begin"/>
            </w:r>
            <w:r>
              <w:rPr>
                <w:rFonts w:hint="default" w:ascii="Times New Roman" w:hAnsi="Times New Roman" w:eastAsia="宋体" w:cs="Times New Roman"/>
                <w:color w:val="auto"/>
                <w:kern w:val="2"/>
                <w:sz w:val="21"/>
                <w:szCs w:val="24"/>
                <w:u w:val="none"/>
                <w:lang w:val="en-US" w:eastAsia="zh-CN"/>
              </w:rPr>
              <w:instrText xml:space="preserve"> = 3 \* ROMAN </w:instrText>
            </w:r>
            <w:r>
              <w:rPr>
                <w:rFonts w:hint="default" w:ascii="Times New Roman" w:hAnsi="Times New Roman" w:eastAsia="宋体" w:cs="Times New Roman"/>
                <w:color w:val="auto"/>
                <w:kern w:val="2"/>
                <w:sz w:val="21"/>
                <w:szCs w:val="24"/>
                <w:u w:val="none"/>
                <w:lang w:val="en-US" w:eastAsia="zh-CN"/>
              </w:rPr>
              <w:fldChar w:fldCharType="separate"/>
            </w:r>
            <w:r>
              <w:rPr>
                <w:rFonts w:hint="default" w:ascii="Times New Roman" w:hAnsi="Times New Roman" w:eastAsia="宋体" w:cs="Times New Roman"/>
                <w:color w:val="auto"/>
                <w:kern w:val="2"/>
                <w:sz w:val="21"/>
                <w:szCs w:val="24"/>
                <w:u w:val="none"/>
                <w:lang w:val="en-US" w:eastAsia="zh-CN"/>
              </w:rPr>
              <w:t>III</w:t>
            </w:r>
            <w:r>
              <w:rPr>
                <w:rFonts w:hint="default" w:ascii="Times New Roman" w:hAnsi="Times New Roman" w:eastAsia="宋体" w:cs="Times New Roman"/>
                <w:color w:val="auto"/>
                <w:kern w:val="2"/>
                <w:sz w:val="21"/>
                <w:szCs w:val="24"/>
                <w:u w:val="none"/>
                <w:lang w:val="en-US" w:eastAsia="zh-CN"/>
              </w:rPr>
              <w:fldChar w:fldCharType="end"/>
            </w:r>
          </w:p>
        </w:tc>
        <w:tc>
          <w:tcPr>
            <w:tcW w:w="488" w:type="pct"/>
            <w:noWrap w:val="0"/>
            <w:vAlign w:val="center"/>
          </w:tcPr>
          <w:p w14:paraId="35F1D1DC">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fldChar w:fldCharType="begin"/>
            </w:r>
            <w:r>
              <w:rPr>
                <w:rFonts w:hint="default" w:ascii="Times New Roman" w:hAnsi="Times New Roman" w:eastAsia="宋体" w:cs="Times New Roman"/>
                <w:color w:val="auto"/>
                <w:kern w:val="2"/>
                <w:sz w:val="21"/>
                <w:szCs w:val="24"/>
                <w:u w:val="none"/>
                <w:lang w:val="en-US" w:eastAsia="zh-CN"/>
              </w:rPr>
              <w:instrText xml:space="preserve"> = 2 \* ROMAN </w:instrText>
            </w:r>
            <w:r>
              <w:rPr>
                <w:rFonts w:hint="default" w:ascii="Times New Roman" w:hAnsi="Times New Roman" w:eastAsia="宋体" w:cs="Times New Roman"/>
                <w:color w:val="auto"/>
                <w:kern w:val="2"/>
                <w:sz w:val="21"/>
                <w:szCs w:val="24"/>
                <w:u w:val="none"/>
                <w:lang w:val="en-US" w:eastAsia="zh-CN"/>
              </w:rPr>
              <w:fldChar w:fldCharType="separate"/>
            </w:r>
            <w:r>
              <w:rPr>
                <w:rFonts w:hint="default" w:ascii="Times New Roman" w:hAnsi="Times New Roman" w:eastAsia="宋体" w:cs="Times New Roman"/>
                <w:color w:val="auto"/>
                <w:kern w:val="2"/>
                <w:sz w:val="21"/>
                <w:szCs w:val="24"/>
                <w:u w:val="none"/>
                <w:lang w:val="en-US" w:eastAsia="zh-CN"/>
              </w:rPr>
              <w:t>II</w:t>
            </w:r>
            <w:r>
              <w:rPr>
                <w:rFonts w:hint="default" w:ascii="Times New Roman" w:hAnsi="Times New Roman" w:eastAsia="宋体" w:cs="Times New Roman"/>
                <w:color w:val="auto"/>
                <w:kern w:val="2"/>
                <w:sz w:val="21"/>
                <w:szCs w:val="24"/>
                <w:u w:val="none"/>
                <w:lang w:val="en-US" w:eastAsia="zh-CN"/>
              </w:rPr>
              <w:fldChar w:fldCharType="end"/>
            </w:r>
          </w:p>
        </w:tc>
        <w:tc>
          <w:tcPr>
            <w:tcW w:w="1228" w:type="pct"/>
            <w:noWrap w:val="0"/>
            <w:vAlign w:val="center"/>
          </w:tcPr>
          <w:p w14:paraId="1A9201A1">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fldChar w:fldCharType="begin"/>
            </w:r>
            <w:r>
              <w:rPr>
                <w:rFonts w:hint="default" w:ascii="Times New Roman" w:hAnsi="Times New Roman" w:eastAsia="宋体" w:cs="Times New Roman"/>
                <w:color w:val="auto"/>
                <w:kern w:val="2"/>
                <w:sz w:val="21"/>
                <w:szCs w:val="24"/>
                <w:u w:val="none"/>
                <w:lang w:val="en-US" w:eastAsia="zh-CN"/>
              </w:rPr>
              <w:instrText xml:space="preserve"> = 1 \* ROMAN </w:instrText>
            </w:r>
            <w:r>
              <w:rPr>
                <w:rFonts w:hint="default" w:ascii="Times New Roman" w:hAnsi="Times New Roman" w:eastAsia="宋体" w:cs="Times New Roman"/>
                <w:color w:val="auto"/>
                <w:kern w:val="2"/>
                <w:sz w:val="21"/>
                <w:szCs w:val="24"/>
                <w:u w:val="none"/>
                <w:lang w:val="en-US" w:eastAsia="zh-CN"/>
              </w:rPr>
              <w:fldChar w:fldCharType="separate"/>
            </w:r>
            <w:r>
              <w:rPr>
                <w:rFonts w:hint="default" w:ascii="Times New Roman" w:hAnsi="Times New Roman" w:eastAsia="宋体" w:cs="Times New Roman"/>
                <w:color w:val="auto"/>
                <w:kern w:val="2"/>
                <w:sz w:val="21"/>
                <w:szCs w:val="24"/>
                <w:u w:val="none"/>
                <w:lang w:val="en-US" w:eastAsia="zh-CN"/>
              </w:rPr>
              <w:t>I</w:t>
            </w:r>
            <w:r>
              <w:rPr>
                <w:rFonts w:hint="default" w:ascii="Times New Roman" w:hAnsi="Times New Roman" w:eastAsia="宋体" w:cs="Times New Roman"/>
                <w:color w:val="auto"/>
                <w:kern w:val="2"/>
                <w:sz w:val="21"/>
                <w:szCs w:val="24"/>
                <w:u w:val="none"/>
                <w:lang w:val="en-US" w:eastAsia="zh-CN"/>
              </w:rPr>
              <w:fldChar w:fldCharType="end"/>
            </w:r>
          </w:p>
        </w:tc>
      </w:tr>
      <w:tr w14:paraId="12D7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1" w:type="pct"/>
            <w:noWrap w:val="0"/>
            <w:vAlign w:val="center"/>
          </w:tcPr>
          <w:p w14:paraId="549A0EDF">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评价工作等级</w:t>
            </w:r>
          </w:p>
        </w:tc>
        <w:tc>
          <w:tcPr>
            <w:tcW w:w="1075" w:type="pct"/>
            <w:noWrap w:val="0"/>
            <w:vAlign w:val="center"/>
          </w:tcPr>
          <w:p w14:paraId="29DC15E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一</w:t>
            </w:r>
          </w:p>
        </w:tc>
        <w:tc>
          <w:tcPr>
            <w:tcW w:w="488" w:type="pct"/>
            <w:noWrap w:val="0"/>
            <w:vAlign w:val="center"/>
          </w:tcPr>
          <w:p w14:paraId="37D800F4">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二</w:t>
            </w:r>
          </w:p>
        </w:tc>
        <w:tc>
          <w:tcPr>
            <w:tcW w:w="488" w:type="pct"/>
            <w:noWrap w:val="0"/>
            <w:vAlign w:val="center"/>
          </w:tcPr>
          <w:p w14:paraId="6983E39E">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三</w:t>
            </w:r>
          </w:p>
        </w:tc>
        <w:tc>
          <w:tcPr>
            <w:tcW w:w="1228" w:type="pct"/>
            <w:noWrap w:val="0"/>
            <w:vAlign w:val="center"/>
          </w:tcPr>
          <w:p w14:paraId="4C49B23A">
            <w:pPr>
              <w:pStyle w:val="41"/>
              <w:rPr>
                <w:rFonts w:hint="default" w:ascii="Times New Roman" w:hAnsi="Times New Roman" w:eastAsia="宋体" w:cs="Times New Roman"/>
                <w:color w:val="auto"/>
                <w:kern w:val="2"/>
                <w:sz w:val="21"/>
                <w:szCs w:val="24"/>
                <w:u w:val="none"/>
                <w:lang w:val="en-US" w:eastAsia="zh-CN"/>
              </w:rPr>
            </w:pPr>
            <w:r>
              <w:rPr>
                <w:rFonts w:hint="default" w:ascii="Times New Roman" w:hAnsi="Times New Roman" w:eastAsia="宋体" w:cs="Times New Roman"/>
                <w:color w:val="auto"/>
                <w:kern w:val="2"/>
                <w:sz w:val="21"/>
                <w:szCs w:val="24"/>
                <w:u w:val="none"/>
                <w:lang w:val="en-US" w:eastAsia="zh-CN"/>
              </w:rPr>
              <w:t>简单分析</w:t>
            </w:r>
          </w:p>
        </w:tc>
      </w:tr>
    </w:tbl>
    <w:p w14:paraId="0574CBC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u w:val="none"/>
        </w:rPr>
        <w:t>综上所述，本项目评价工作等级为简单分析。</w:t>
      </w:r>
    </w:p>
    <w:p w14:paraId="372C34C7">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 xml:space="preserve"> </w:t>
      </w:r>
      <w:r>
        <w:rPr>
          <w:rFonts w:hint="eastAsia" w:cs="Times New Roman"/>
          <w:color w:val="auto"/>
          <w:sz w:val="24"/>
          <w:szCs w:val="24"/>
          <w:u w:val="none" w:color="auto"/>
          <w:lang w:val="en-US" w:eastAsia="zh-CN"/>
        </w:rPr>
        <w:t>风险原因识别</w:t>
      </w:r>
    </w:p>
    <w:p w14:paraId="6E3E08F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大量的水上溢油污染事故统计分析表明，造成水上溢油事故除了一些不可抗拒的自然灾害外，绝大部分是由于操作不当或违章作业等人为原因引起的，导致船舶碰撞、搁浅，进而导致燃料油泄漏进入水域内。事故原因主要表现在以下几个方面：</w:t>
      </w:r>
    </w:p>
    <w:p w14:paraId="72BA2E9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（1）船员素质</w:t>
      </w:r>
    </w:p>
    <w:p w14:paraId="6D0FB02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于船员责任意识淡薄、缺乏系统培训、违章作业、实际操作应变能力差等人为因素，是船舶溢油事故不断的重要因素。这些人为因素主要包括船舶值班监督、定位、瞭望人员责任感强弱、引航判断正确与否，船速大小控制、对航行水域的熟悉程度、驾驶员的疲劳程度、对恶劣气象条件的重视与心理准确程度、浅水区船舶吃水的估计、对风水流变化引起走锚的估计，繁忙水域的船舶回旋操作、复杂情况下的操作应变能力与经验，以及恶劣气候条件下船员的心理警觉程度等。</w:t>
      </w:r>
    </w:p>
    <w:p w14:paraId="1E1753F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（2）汛期流速较大</w:t>
      </w:r>
    </w:p>
    <w:p w14:paraId="5E05ACC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湘江汛期河水流速较大，在船舶靠离作业期间，存在船舶发生漂移导致不能顺利靠泊，甚至触碰码头设施，存在偏出港池水域而搁浅的风险。</w:t>
      </w:r>
    </w:p>
    <w:p w14:paraId="35126AA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（3）洪水影响</w:t>
      </w:r>
    </w:p>
    <w:p w14:paraId="38AD81F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洪水影响期间将影响船舶的靠离和系泊作业，并可能产生船舶撞击码头、系泊缆绳断缆和船舶漂流等风险。</w:t>
      </w:r>
    </w:p>
    <w:p w14:paraId="3BAE14F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（4）其它风险识别</w:t>
      </w:r>
    </w:p>
    <w:p w14:paraId="72B7DAB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如遇恶劣天气，在大风、浪、流的作用下，若选择锚位、锚泊方式不当，船舶存在发生走锚、锚链断裂、丢锚及其引起的擦碰、搁浅甚至碰撞等事故的风险。</w:t>
      </w:r>
    </w:p>
    <w:p w14:paraId="04D554A6">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2风险源项分析</w:t>
      </w:r>
    </w:p>
    <w:p w14:paraId="3130485D">
      <w:pPr>
        <w:tabs>
          <w:tab w:val="left" w:pos="480"/>
        </w:tabs>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拟建项目不从事危险化学品运输，本身无物质危险性和功能性危险源，风险事故的发生由间接行为导致，因此项目风险事故设定主要环境风险为船舶燃料油（柴油）泄露对地表水</w:t>
      </w:r>
      <w:r>
        <w:rPr>
          <w:rFonts w:hint="default" w:ascii="Times New Roman" w:hAnsi="Times New Roman" w:eastAsia="宋体" w:cs="Times New Roman"/>
          <w:color w:val="auto"/>
          <w:sz w:val="24"/>
          <w:szCs w:val="24"/>
          <w:lang w:eastAsia="zh-CN"/>
        </w:rPr>
        <w:t>湘江</w:t>
      </w:r>
      <w:r>
        <w:rPr>
          <w:rFonts w:hint="default" w:ascii="Times New Roman" w:hAnsi="Times New Roman" w:eastAsia="宋体" w:cs="Times New Roman"/>
          <w:color w:val="auto"/>
          <w:sz w:val="24"/>
          <w:szCs w:val="24"/>
        </w:rPr>
        <w:t>产生影响。</w:t>
      </w:r>
    </w:p>
    <w:p w14:paraId="6F97FD8F">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根据岳阳海事局统计，2009-2013年间，辖区共发生事故险情件数分别为29、22、10、11、15 件，共计87件；水上交通事故险情类型分布如表</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所示。</w:t>
      </w:r>
    </w:p>
    <w:p w14:paraId="3FB4CBC3">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表</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lang w:val="en-US" w:eastAsia="zh-CN"/>
        </w:rPr>
        <w:t xml:space="preserve"> 岳阳海事局辖区水域2009~2013年水上交通事故险情类型分布</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773"/>
        <w:gridCol w:w="918"/>
        <w:gridCol w:w="918"/>
        <w:gridCol w:w="906"/>
        <w:gridCol w:w="1064"/>
        <w:gridCol w:w="756"/>
        <w:gridCol w:w="906"/>
        <w:gridCol w:w="915"/>
      </w:tblGrid>
      <w:tr w14:paraId="61EE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top"/>
          </w:tcPr>
          <w:p w14:paraId="51EAB39F">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遇险种类</w:t>
            </w:r>
          </w:p>
        </w:tc>
        <w:tc>
          <w:tcPr>
            <w:tcW w:w="789" w:type="dxa"/>
            <w:noWrap w:val="0"/>
            <w:vAlign w:val="top"/>
          </w:tcPr>
          <w:p w14:paraId="23E04A6A">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碰撞</w:t>
            </w:r>
          </w:p>
        </w:tc>
        <w:tc>
          <w:tcPr>
            <w:tcW w:w="947" w:type="dxa"/>
            <w:noWrap w:val="0"/>
            <w:vAlign w:val="top"/>
          </w:tcPr>
          <w:p w14:paraId="73E2C166">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搁浅</w:t>
            </w:r>
          </w:p>
        </w:tc>
        <w:tc>
          <w:tcPr>
            <w:tcW w:w="947" w:type="dxa"/>
            <w:noWrap w:val="0"/>
            <w:vAlign w:val="top"/>
          </w:tcPr>
          <w:p w14:paraId="30A83024">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触礁</w:t>
            </w:r>
          </w:p>
        </w:tc>
        <w:tc>
          <w:tcPr>
            <w:tcW w:w="947" w:type="dxa"/>
            <w:noWrap w:val="0"/>
            <w:vAlign w:val="top"/>
          </w:tcPr>
          <w:p w14:paraId="143D4BD0">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触损</w:t>
            </w:r>
          </w:p>
        </w:tc>
        <w:tc>
          <w:tcPr>
            <w:tcW w:w="1114" w:type="dxa"/>
            <w:noWrap w:val="0"/>
            <w:vAlign w:val="top"/>
          </w:tcPr>
          <w:p w14:paraId="17DEE6A9">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火灾爆炸</w:t>
            </w:r>
          </w:p>
        </w:tc>
        <w:tc>
          <w:tcPr>
            <w:tcW w:w="780" w:type="dxa"/>
            <w:noWrap w:val="0"/>
            <w:vAlign w:val="top"/>
          </w:tcPr>
          <w:p w14:paraId="0C7D5DE1">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自沉</w:t>
            </w:r>
          </w:p>
        </w:tc>
        <w:tc>
          <w:tcPr>
            <w:tcW w:w="947" w:type="dxa"/>
            <w:noWrap w:val="0"/>
            <w:vAlign w:val="top"/>
          </w:tcPr>
          <w:p w14:paraId="48F99A4E">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风灾</w:t>
            </w:r>
          </w:p>
        </w:tc>
        <w:tc>
          <w:tcPr>
            <w:tcW w:w="952" w:type="dxa"/>
            <w:noWrap w:val="0"/>
            <w:vAlign w:val="top"/>
          </w:tcPr>
          <w:p w14:paraId="62703C34">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其他</w:t>
            </w:r>
          </w:p>
        </w:tc>
      </w:tr>
      <w:tr w14:paraId="35E7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top"/>
          </w:tcPr>
          <w:p w14:paraId="3935B96A">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件数</w:t>
            </w:r>
          </w:p>
        </w:tc>
        <w:tc>
          <w:tcPr>
            <w:tcW w:w="789" w:type="dxa"/>
            <w:noWrap w:val="0"/>
            <w:vAlign w:val="top"/>
          </w:tcPr>
          <w:p w14:paraId="3A616862">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38</w:t>
            </w:r>
          </w:p>
        </w:tc>
        <w:tc>
          <w:tcPr>
            <w:tcW w:w="947" w:type="dxa"/>
            <w:noWrap w:val="0"/>
            <w:vAlign w:val="top"/>
          </w:tcPr>
          <w:p w14:paraId="4518B96F">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30</w:t>
            </w:r>
          </w:p>
        </w:tc>
        <w:tc>
          <w:tcPr>
            <w:tcW w:w="947" w:type="dxa"/>
            <w:noWrap w:val="0"/>
            <w:vAlign w:val="top"/>
          </w:tcPr>
          <w:p w14:paraId="4204E1CC">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9</w:t>
            </w:r>
          </w:p>
        </w:tc>
        <w:tc>
          <w:tcPr>
            <w:tcW w:w="947" w:type="dxa"/>
            <w:noWrap w:val="0"/>
            <w:vAlign w:val="top"/>
          </w:tcPr>
          <w:p w14:paraId="22C682B0">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c>
          <w:tcPr>
            <w:tcW w:w="1114" w:type="dxa"/>
            <w:noWrap w:val="0"/>
            <w:vAlign w:val="top"/>
          </w:tcPr>
          <w:p w14:paraId="28AECB1C">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w:t>
            </w:r>
          </w:p>
        </w:tc>
        <w:tc>
          <w:tcPr>
            <w:tcW w:w="780" w:type="dxa"/>
            <w:noWrap w:val="0"/>
            <w:vAlign w:val="top"/>
          </w:tcPr>
          <w:p w14:paraId="7B39B41E">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w:t>
            </w:r>
          </w:p>
        </w:tc>
        <w:tc>
          <w:tcPr>
            <w:tcW w:w="947" w:type="dxa"/>
            <w:noWrap w:val="0"/>
            <w:vAlign w:val="top"/>
          </w:tcPr>
          <w:p w14:paraId="3DBC0B55">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c>
          <w:tcPr>
            <w:tcW w:w="952" w:type="dxa"/>
            <w:noWrap w:val="0"/>
            <w:vAlign w:val="top"/>
          </w:tcPr>
          <w:p w14:paraId="02E5A775">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w:t>
            </w:r>
          </w:p>
        </w:tc>
      </w:tr>
      <w:tr w14:paraId="15B9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top"/>
          </w:tcPr>
          <w:p w14:paraId="309A8252">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比例%</w:t>
            </w:r>
          </w:p>
        </w:tc>
        <w:tc>
          <w:tcPr>
            <w:tcW w:w="789" w:type="dxa"/>
            <w:noWrap w:val="0"/>
            <w:vAlign w:val="top"/>
          </w:tcPr>
          <w:p w14:paraId="1C33F270">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43.7</w:t>
            </w:r>
          </w:p>
        </w:tc>
        <w:tc>
          <w:tcPr>
            <w:tcW w:w="947" w:type="dxa"/>
            <w:noWrap w:val="0"/>
            <w:vAlign w:val="top"/>
          </w:tcPr>
          <w:p w14:paraId="41907441">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34.5</w:t>
            </w:r>
          </w:p>
        </w:tc>
        <w:tc>
          <w:tcPr>
            <w:tcW w:w="947" w:type="dxa"/>
            <w:noWrap w:val="0"/>
            <w:vAlign w:val="top"/>
          </w:tcPr>
          <w:p w14:paraId="7C4BD4E8">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10.4</w:t>
            </w:r>
          </w:p>
        </w:tc>
        <w:tc>
          <w:tcPr>
            <w:tcW w:w="947" w:type="dxa"/>
            <w:noWrap w:val="0"/>
            <w:vAlign w:val="top"/>
          </w:tcPr>
          <w:p w14:paraId="716C2B78">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w:t>
            </w:r>
          </w:p>
        </w:tc>
        <w:tc>
          <w:tcPr>
            <w:tcW w:w="1114" w:type="dxa"/>
            <w:noWrap w:val="0"/>
            <w:vAlign w:val="top"/>
          </w:tcPr>
          <w:p w14:paraId="66376621">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4.6</w:t>
            </w:r>
          </w:p>
        </w:tc>
        <w:tc>
          <w:tcPr>
            <w:tcW w:w="780" w:type="dxa"/>
            <w:noWrap w:val="0"/>
            <w:vAlign w:val="top"/>
          </w:tcPr>
          <w:p w14:paraId="26938135">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3.4</w:t>
            </w:r>
          </w:p>
        </w:tc>
        <w:tc>
          <w:tcPr>
            <w:tcW w:w="947" w:type="dxa"/>
            <w:noWrap w:val="0"/>
            <w:vAlign w:val="top"/>
          </w:tcPr>
          <w:p w14:paraId="72429AD7">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w:t>
            </w:r>
          </w:p>
        </w:tc>
        <w:tc>
          <w:tcPr>
            <w:tcW w:w="952" w:type="dxa"/>
            <w:noWrap w:val="0"/>
            <w:vAlign w:val="top"/>
          </w:tcPr>
          <w:p w14:paraId="4DC778A9">
            <w:pPr>
              <w:pStyle w:val="41"/>
              <w:keepNext w:val="0"/>
              <w:keepLines w:val="0"/>
              <w:widowControl w:val="0"/>
              <w:suppressLineNumbers w:val="0"/>
              <w:bidi w:val="0"/>
              <w:spacing w:before="0" w:beforeAutospacing="0" w:after="0" w:afterAutospacing="0"/>
              <w:ind w:left="0" w:right="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3.4</w:t>
            </w:r>
          </w:p>
        </w:tc>
      </w:tr>
    </w:tbl>
    <w:p w14:paraId="1477E74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从事故种类分布看，岳阳海事局辖区水上交通事故险情以碰撞和搁浅为主，分别占43.70%和34.5%。船舶在岳阳海事局辖区水域航行时需要密切主要防止与其他船舶碰撞和搁浅等事故险情发生。</w:t>
      </w:r>
    </w:p>
    <w:p w14:paraId="3A082B72">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3环境风险影响分析</w:t>
      </w:r>
    </w:p>
    <w:p w14:paraId="69979D5D">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 xml:space="preserve"> </w:t>
      </w:r>
      <w:r>
        <w:rPr>
          <w:rFonts w:hint="eastAsia" w:cs="Times New Roman"/>
          <w:color w:val="auto"/>
          <w:sz w:val="24"/>
          <w:szCs w:val="24"/>
          <w:u w:val="none" w:color="auto"/>
          <w:lang w:val="en-US" w:eastAsia="zh-CN"/>
        </w:rPr>
        <w:t>溢油扩散过程说明</w:t>
      </w:r>
    </w:p>
    <w:p w14:paraId="16066827">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溢油进入水体后，将经历扩展、扩散、迁移、蒸发、溶解、乳化、吸附沉淀、生物降解等几种运动形态。</w:t>
      </w:r>
    </w:p>
    <w:p w14:paraId="2A67F751">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1、对流与扩散原理</w:t>
      </w:r>
    </w:p>
    <w:p w14:paraId="3930BECC">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溢油在水面上运动主要是通过对流与扩散进行的。对流主要受制于油膜上方的风与膜下方的水流。扩散是重力、惯性力、摩擦力、粘性与表面张力之间的动力学平衡导致的现象。风对油膜的影响表现为风所产生的漂流。油膜的扩散也是极为复杂的过程。</w:t>
      </w:r>
    </w:p>
    <w:p w14:paraId="510D7D7B">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费伊（Fay，1969）把扩展过程划分为三个阶段：惯性扩展阶段、粘性扩履阶段、表面张力扩展阶段。油膜扩展使油膜面积增大，厚度减小。当油膜厚度大于其临界厚度时（即扩展结束之后，油膜直径保持不变时的厚度），油膜保持整体性；油膜厚度等于或小于临界厚度时，油膜开始分裂为碎片，并继续扩散。</w:t>
      </w:r>
    </w:p>
    <w:p w14:paraId="0BE4E9BA">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2、蒸发</w:t>
      </w:r>
    </w:p>
    <w:p w14:paraId="406CE58B">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蒸发是石油烃的较轻组分从液态变为气态向大气进行质量传输的过程。是溢油风化的主要过程。1/2~2/3的溢油在几小时与一天的时间内会蒸发掉。由于蒸发，油膜的物理与化学性质将产生重要的变化。蒸发依赖于多种因素，而且这些因素又在随时发生变化，要准确地计算蒸发率是困难的。</w:t>
      </w:r>
    </w:p>
    <w:p w14:paraId="1B96F8ED">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3、溶解</w:t>
      </w:r>
    </w:p>
    <w:p w14:paraId="1A00E957">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溶解是溢油在一定能量的扰动下，形成油粒均匀进入水体中的过程。溶解量和速率取决于石油的组成和物理性质、油膜扩展度、水温和水的湍流度以及油的乳化和分散程度。在影响溶解的环境因素中，风速和水流流场显得尤为重要。</w:t>
      </w:r>
    </w:p>
    <w:p w14:paraId="621A3D63">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溶解是溢油发生后活动最短的过程，明显有效时间主要在前几个小时里，溢油最大溶解度发生在事故后8~12h内，然后溶解呈指数直线下降。溶解的石油烃组分同蒸发的一样，但溶解量较蒸发量小得多，通常仅是蒸发量的百分之几，其对溢油动态模拟的平衡计算影响甚小，大多数情况下可以忽略。</w:t>
      </w:r>
    </w:p>
    <w:p w14:paraId="2BF5371B">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4、垂直扩散或垂直运输</w:t>
      </w:r>
    </w:p>
    <w:p w14:paraId="7EAF6C3E">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油膜在水面中的停留时间通常受制于小的油质点向水体内的垂直运输或油在水中的乳化。</w:t>
      </w:r>
    </w:p>
    <w:p w14:paraId="5ADDD42E">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5、乳化</w:t>
      </w:r>
    </w:p>
    <w:p w14:paraId="540952FD">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乳胶的形成溢油的乳化是指石油和水混合在一起，经过人工或自然环境中风、流、浪的扰动，油粒子不断向水相分散，同时水的微粒也不断向油相逸散，形成的油包水或水包油的油水乳化物的过程。油包水乳化物是水滴被分散到油滴里，呈黑褐色粘性泡沫状，它可长期漂浮于水面，并包裹水生生物的分泌物及其残骸，最终形成沥青球。由于吸收大量的水（稳定的油水乳化液一般含水量在50~60%以上），体积比原来增长5~6倍，比重和粘度也比原来大的多，乳化物体积、密度、粘度有不同程度的增加，因而对溢油的进一步扩散起阻碍作用，蒸发量也相对下降。溢油一旦发生乳化现象，就会对蒸发和溶解过程产生极大影响。乳化作用一般在溢油发生后几个小时才开始，因为在溢油之初，油膜较厚，水动力条件和外界其他条件不足以破坏油膜的整体性，油膜不能被分散形成油粒子，从而不具备乳化的先决条件，随着油膜的不断扩展，油膜面积逐渐增大，厚度不断减小，在风切应力、湍流、波浪等作用下，油膜被分散，此时乳化开始发生。影响乳化的因素包括油的组成成分、油膜厚度以及水体紊动程度、波浪、温度等环境条件。</w:t>
      </w:r>
    </w:p>
    <w:p w14:paraId="46FB1DE1">
      <w:pPr>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6、沉积</w:t>
      </w:r>
    </w:p>
    <w:p w14:paraId="3BF6AC75">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各种形式的油都有可能被沉积物颗粒吸附，沉于水底或粘结在岸边。在淤泥质沉积物中，油的渗透是最小的，只有上层几厘米才会受到影响。</w:t>
      </w:r>
    </w:p>
    <w:p w14:paraId="3779F96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总的来讲，对流与扩散是影响溢油的最重要的过程，本评价通过溢油的对流与扩散的数值模型，给出溢油油膜分布的大致轮廓，从这些轮廓可以预测到溢油的最大危害可能出现在什么地方，以及它所能影响的范围。</w:t>
      </w:r>
    </w:p>
    <w:p w14:paraId="3701FF2C">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 xml:space="preserve"> </w:t>
      </w:r>
      <w:r>
        <w:rPr>
          <w:rFonts w:hint="eastAsia" w:cs="Times New Roman"/>
          <w:color w:val="auto"/>
          <w:sz w:val="24"/>
          <w:szCs w:val="24"/>
          <w:u w:val="none" w:color="auto"/>
          <w:lang w:val="en-US" w:eastAsia="zh-CN"/>
        </w:rPr>
        <w:t>溢油事故对水生生态风险影响分析</w:t>
      </w:r>
    </w:p>
    <w:p w14:paraId="1FFD77CD">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1、急性中毒效应</w:t>
      </w:r>
    </w:p>
    <w:p w14:paraId="1E27505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一旦发生溢油污染事故，将对河道内的鱼类影响较大。在</w:t>
      </w:r>
      <w:r>
        <w:rPr>
          <w:rFonts w:hint="default" w:ascii="Times New Roman" w:hAnsi="Times New Roman" w:eastAsia="宋体" w:cs="Times New Roman"/>
          <w:color w:val="auto"/>
          <w:sz w:val="24"/>
          <w:szCs w:val="24"/>
          <w:lang w:val="en-US" w:eastAsia="zh-CN"/>
        </w:rPr>
        <w:t>矿物油</w:t>
      </w:r>
      <w:r>
        <w:rPr>
          <w:rFonts w:hint="default" w:ascii="Times New Roman" w:hAnsi="Times New Roman" w:eastAsia="宋体" w:cs="Times New Roman"/>
          <w:color w:val="auto"/>
          <w:sz w:val="24"/>
          <w:szCs w:val="24"/>
          <w:lang w:val="en-US"/>
        </w:rPr>
        <w:t>的不同组分中，低沸点的芳香烃对一切生物均有毒性，而高沸点的芳香烃则是长效毒性，会对水生生物生命构成威胁和危害直至死亡。</w:t>
      </w:r>
    </w:p>
    <w:p w14:paraId="6C429C81">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2、对鱼类的影响</w:t>
      </w:r>
    </w:p>
    <w:p w14:paraId="7BFE162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（1）对鱼类的急性毒性测试</w:t>
      </w:r>
    </w:p>
    <w:p w14:paraId="1EF31DB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根据近年来对几种不同鱼类仔鱼的毒性试验结果表明，石油类对鲤鱼仔鱼96hLC</w:t>
      </w:r>
      <w:r>
        <w:rPr>
          <w:rFonts w:hint="default" w:ascii="Times New Roman" w:hAnsi="Times New Roman" w:eastAsia="宋体" w:cs="Times New Roman"/>
          <w:color w:val="auto"/>
          <w:sz w:val="24"/>
          <w:szCs w:val="24"/>
          <w:vertAlign w:val="subscript"/>
          <w:lang w:val="en-US"/>
        </w:rPr>
        <w:t>50</w:t>
      </w:r>
      <w:r>
        <w:rPr>
          <w:rFonts w:hint="default" w:ascii="Times New Roman" w:hAnsi="Times New Roman" w:eastAsia="宋体" w:cs="Times New Roman"/>
          <w:color w:val="auto"/>
          <w:sz w:val="24"/>
          <w:szCs w:val="24"/>
          <w:lang w:val="en-US"/>
        </w:rPr>
        <w:t>值为0.5-3.0mg/L，因此污染带瞬时高浓度排放（即事故性排放）可导致急性中毒死鱼事故。</w:t>
      </w:r>
    </w:p>
    <w:p w14:paraId="32CE57B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（2）石油类在鱼体内的蓄积残留分析</w:t>
      </w:r>
    </w:p>
    <w:p w14:paraId="711477F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污染因子石油类在鱼体中的积累和残留可引起鱼类慢性中毒而带来长效应的污染影响，这种影响不仅可引起鱼类资源的变动，甚至会引起鱼类种质的变异。鱼类一旦与油分子接触就会在短时间内发生油臭，从而影响其食用价值。以燃料油为例，当石油类浓度为0.01mg/L时，7天之内就能对大部分的鱼、虾产生油味，30天内会使绝大多数鱼类产生异味。</w:t>
      </w:r>
    </w:p>
    <w:p w14:paraId="551A2D5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（3）石油类对鱼的致突变性分析</w:t>
      </w:r>
    </w:p>
    <w:p w14:paraId="55E86FD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微核的产生是在诱变物作用之下造成染色体损伤而发生变异的一种形式，根据近年来对几种常见鱼类仔鱼鱼类外周血微核试验表明，鱼类微核的高检出率是由于江段水环境污染物的高浓度诱变物的诱发作用而引起，而石油类污染物可能是其主要的诱变源。</w:t>
      </w:r>
    </w:p>
    <w:p w14:paraId="7B6538A7">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3、对浮游植物的影响</w:t>
      </w:r>
    </w:p>
    <w:p w14:paraId="61271F5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实验证明石油会破坏浮游植物细胞，损坏叶绿素及干扰气体交换，从而妨碍它们的光合作用。这种破坏作用程度取决于石油的类型、浓度及浮游植物的种类。根据国内外许多毒性实验结果表明，作为鱼、虾类饵料基础的浮游植物，对各类油类的耐受能力都很低。一般浮游植物石油急性中毒致死浓度为0.1-10.0mg/L，一般为1.0-3.6mg/L，对于更敏感的种类，油浓度低于0.1mg/L时，也会妨碍细胞的分裂和生长的速率。</w:t>
      </w:r>
    </w:p>
    <w:p w14:paraId="2C3E6C4F">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4、对浮游动物的影响</w:t>
      </w:r>
    </w:p>
    <w:p w14:paraId="222EF82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浮游动物石油急性中毒致死浓度范围一般为0.1-15mg/L，而且通过不同浓度的石油类环境对桡足类幼体的影响实验表明，永久性浮游动物幼体的敏感性大于阶段性(临时性)的底栖生物幼体，而它们各自的幼体的敏感性又大于成体。</w:t>
      </w:r>
    </w:p>
    <w:p w14:paraId="687CD351">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5、对底栖生物的影响</w:t>
      </w:r>
    </w:p>
    <w:p w14:paraId="4070808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rPr>
        <w:t>不同种类底栖生物对石油类浓度的适应性具有差异，多数底栖生物石油类急性中毒致死浓度范围在2.0-15mg/L，其幼体的致死浓度范围更小些。底栖生物的耐油污性通常很差，即使水体中石油类含量只有0.0lppm，也会导致其死亡。当水体中石油类浓度在0.1-0.01ppm时，对某些底栖甲壳类动物幼体(如：无节幼虫、藤壶幼体和蟹幼体)有明显的毒效．据吴彰宽报导，原油对对虾（</w:t>
      </w:r>
      <w:r>
        <w:rPr>
          <w:rFonts w:hint="default" w:ascii="Times New Roman" w:hAnsi="Times New Roman" w:eastAsia="宋体" w:cs="Times New Roman"/>
          <w:i/>
          <w:iCs/>
          <w:color w:val="auto"/>
          <w:sz w:val="24"/>
          <w:szCs w:val="24"/>
          <w:lang w:val="en-US"/>
        </w:rPr>
        <w:t>Penaeusorientalis</w:t>
      </w:r>
      <w:r>
        <w:rPr>
          <w:rFonts w:hint="default" w:ascii="Times New Roman" w:hAnsi="Times New Roman" w:eastAsia="宋体" w:cs="Times New Roman"/>
          <w:color w:val="auto"/>
          <w:sz w:val="24"/>
          <w:szCs w:val="24"/>
          <w:lang w:val="en-US"/>
        </w:rPr>
        <w:t>）各发育阶段造成影响的最低浓度分别为：a．受精卵56mg/L；b．无节幼体3.2mg/L；c．蚤状幼体0.1mg/L；d.糠虾幼体1.8mg/L；e．仔虾5.6mg/L；其中蚤状幼体为最敏感发育阶段。原油对对虾幼体的LC</w:t>
      </w:r>
      <w:r>
        <w:rPr>
          <w:rFonts w:hint="default" w:ascii="Times New Roman" w:hAnsi="Times New Roman" w:eastAsia="宋体" w:cs="Times New Roman"/>
          <w:color w:val="auto"/>
          <w:sz w:val="24"/>
          <w:szCs w:val="24"/>
          <w:vertAlign w:val="subscript"/>
          <w:lang w:val="en-US"/>
        </w:rPr>
        <w:t>50</w:t>
      </w:r>
      <w:r>
        <w:rPr>
          <w:rFonts w:hint="default" w:ascii="Times New Roman" w:hAnsi="Times New Roman" w:eastAsia="宋体" w:cs="Times New Roman"/>
          <w:color w:val="auto"/>
          <w:sz w:val="24"/>
          <w:szCs w:val="24"/>
          <w:lang w:val="en-US"/>
        </w:rPr>
        <w:t>（96h）为11.1mg/L。</w:t>
      </w:r>
    </w:p>
    <w:p w14:paraId="26D0EA10">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 xml:space="preserve"> </w:t>
      </w:r>
      <w:r>
        <w:rPr>
          <w:rFonts w:hint="eastAsia" w:cs="Times New Roman"/>
          <w:color w:val="auto"/>
          <w:sz w:val="24"/>
          <w:szCs w:val="24"/>
          <w:u w:val="none" w:color="auto"/>
          <w:lang w:val="en-US" w:eastAsia="zh-CN"/>
        </w:rPr>
        <w:t>对湘江水质的影响</w:t>
      </w:r>
    </w:p>
    <w:p w14:paraId="27685E4A">
      <w:pPr>
        <w:pageBreakBefore w:val="0"/>
        <w:widowControl w:val="0"/>
        <w:tabs>
          <w:tab w:val="left" w:pos="0"/>
        </w:tabs>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snapToGrid w:val="0"/>
          <w:color w:val="auto"/>
          <w:kern w:val="20"/>
          <w:sz w:val="24"/>
          <w:szCs w:val="24"/>
        </w:rPr>
      </w:pPr>
      <w:r>
        <w:rPr>
          <w:rFonts w:hint="default" w:ascii="Times New Roman" w:hAnsi="Times New Roman" w:eastAsia="宋体" w:cs="Times New Roman"/>
          <w:snapToGrid w:val="0"/>
          <w:color w:val="auto"/>
          <w:kern w:val="20"/>
          <w:sz w:val="24"/>
          <w:szCs w:val="24"/>
        </w:rPr>
        <w:t>船舶进出码头是发生船舶碰撞溢油事故概率最高的区域，按到港船舶最大载油量</w:t>
      </w:r>
      <w:r>
        <w:rPr>
          <w:rFonts w:hint="eastAsia" w:cs="Times New Roman"/>
          <w:snapToGrid w:val="0"/>
          <w:color w:val="auto"/>
          <w:kern w:val="20"/>
          <w:sz w:val="24"/>
          <w:szCs w:val="24"/>
          <w:lang w:val="en-US" w:eastAsia="zh-CN"/>
        </w:rPr>
        <w:t>1</w:t>
      </w:r>
      <w:r>
        <w:rPr>
          <w:rFonts w:hint="default" w:ascii="Times New Roman" w:hAnsi="Times New Roman" w:eastAsia="宋体" w:cs="Times New Roman"/>
          <w:snapToGrid w:val="0"/>
          <w:color w:val="auto"/>
          <w:kern w:val="20"/>
          <w:sz w:val="24"/>
          <w:szCs w:val="24"/>
        </w:rPr>
        <w:t>0t考虑，燃料油按照90%入江量，最大约</w:t>
      </w:r>
      <w:r>
        <w:rPr>
          <w:rFonts w:hint="eastAsia" w:cs="Times New Roman"/>
          <w:snapToGrid w:val="0"/>
          <w:color w:val="auto"/>
          <w:kern w:val="20"/>
          <w:sz w:val="24"/>
          <w:szCs w:val="24"/>
          <w:lang w:val="en-US" w:eastAsia="zh-CN"/>
        </w:rPr>
        <w:t>9</w:t>
      </w:r>
      <w:r>
        <w:rPr>
          <w:rFonts w:hint="default" w:ascii="Times New Roman" w:hAnsi="Times New Roman" w:eastAsia="宋体" w:cs="Times New Roman"/>
          <w:snapToGrid w:val="0"/>
          <w:color w:val="auto"/>
          <w:kern w:val="20"/>
          <w:sz w:val="24"/>
          <w:szCs w:val="24"/>
        </w:rPr>
        <w:t>t/次。类比同类项目的船舶溢油事故风险预测，溢油量为</w:t>
      </w:r>
      <w:r>
        <w:rPr>
          <w:rFonts w:hint="eastAsia" w:cs="Times New Roman"/>
          <w:snapToGrid w:val="0"/>
          <w:color w:val="auto"/>
          <w:kern w:val="20"/>
          <w:sz w:val="24"/>
          <w:szCs w:val="24"/>
          <w:lang w:val="en-US" w:eastAsia="zh-CN"/>
        </w:rPr>
        <w:t>9</w:t>
      </w:r>
      <w:r>
        <w:rPr>
          <w:rFonts w:hint="default" w:ascii="Times New Roman" w:hAnsi="Times New Roman" w:eastAsia="宋体" w:cs="Times New Roman"/>
          <w:snapToGrid w:val="0"/>
          <w:color w:val="auto"/>
          <w:kern w:val="20"/>
          <w:sz w:val="24"/>
          <w:szCs w:val="24"/>
        </w:rPr>
        <w:t>吨时，油膜在水面输移过程中各个时刻的扩散范围，预测结果见下表</w:t>
      </w:r>
      <w:r>
        <w:rPr>
          <w:rFonts w:hint="eastAsia" w:cs="Times New Roman"/>
          <w:snapToGrid w:val="0"/>
          <w:color w:val="auto"/>
          <w:kern w:val="20"/>
          <w:sz w:val="24"/>
          <w:szCs w:val="24"/>
          <w:lang w:val="en-US" w:eastAsia="zh-CN"/>
        </w:rPr>
        <w:t>5</w:t>
      </w:r>
      <w:r>
        <w:rPr>
          <w:rFonts w:hint="default" w:ascii="Times New Roman" w:hAnsi="Times New Roman" w:eastAsia="宋体" w:cs="Times New Roman"/>
          <w:snapToGrid w:val="0"/>
          <w:color w:val="auto"/>
          <w:kern w:val="20"/>
          <w:sz w:val="24"/>
          <w:szCs w:val="24"/>
        </w:rPr>
        <w:t>.</w:t>
      </w:r>
      <w:r>
        <w:rPr>
          <w:rFonts w:hint="eastAsia" w:cs="Times New Roman"/>
          <w:snapToGrid w:val="0"/>
          <w:color w:val="auto"/>
          <w:kern w:val="20"/>
          <w:sz w:val="24"/>
          <w:szCs w:val="24"/>
          <w:lang w:val="en-US" w:eastAsia="zh-CN"/>
        </w:rPr>
        <w:t>4</w:t>
      </w:r>
      <w:r>
        <w:rPr>
          <w:rFonts w:hint="default" w:ascii="Times New Roman" w:hAnsi="Times New Roman" w:eastAsia="宋体" w:cs="Times New Roman"/>
          <w:snapToGrid w:val="0"/>
          <w:color w:val="auto"/>
          <w:kern w:val="20"/>
          <w:sz w:val="24"/>
          <w:szCs w:val="24"/>
        </w:rPr>
        <w:t>-</w:t>
      </w:r>
      <w:r>
        <w:rPr>
          <w:rFonts w:hint="eastAsia" w:cs="Times New Roman"/>
          <w:snapToGrid w:val="0"/>
          <w:color w:val="auto"/>
          <w:kern w:val="20"/>
          <w:sz w:val="24"/>
          <w:szCs w:val="24"/>
          <w:lang w:val="en-US" w:eastAsia="zh-CN"/>
        </w:rPr>
        <w:t>5</w:t>
      </w:r>
      <w:r>
        <w:rPr>
          <w:rFonts w:hint="default" w:ascii="Times New Roman" w:hAnsi="Times New Roman" w:eastAsia="宋体" w:cs="Times New Roman"/>
          <w:snapToGrid w:val="0"/>
          <w:color w:val="auto"/>
          <w:kern w:val="20"/>
          <w:sz w:val="24"/>
          <w:szCs w:val="24"/>
        </w:rPr>
        <w:t>。</w:t>
      </w:r>
    </w:p>
    <w:p w14:paraId="705A5726">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表</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lang w:val="en-US" w:eastAsia="zh-CN"/>
        </w:rPr>
        <w:t xml:space="preserve">  柴油泄漏事故油膜顺水方向扩延预测结果表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50"/>
        <w:gridCol w:w="1637"/>
        <w:gridCol w:w="1644"/>
        <w:gridCol w:w="1651"/>
        <w:gridCol w:w="1638"/>
      </w:tblGrid>
      <w:tr w14:paraId="6E6AE6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5A68CC1C">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时间（min）</w:t>
            </w:r>
          </w:p>
        </w:tc>
        <w:tc>
          <w:tcPr>
            <w:tcW w:w="1708" w:type="dxa"/>
            <w:noWrap w:val="0"/>
            <w:vAlign w:val="center"/>
          </w:tcPr>
          <w:p w14:paraId="2EAC34FB">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直径（m）</w:t>
            </w:r>
          </w:p>
        </w:tc>
        <w:tc>
          <w:tcPr>
            <w:tcW w:w="1709" w:type="dxa"/>
            <w:noWrap w:val="0"/>
            <w:vAlign w:val="center"/>
          </w:tcPr>
          <w:p w14:paraId="6023E31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面积（m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w:t>
            </w:r>
          </w:p>
        </w:tc>
        <w:tc>
          <w:tcPr>
            <w:tcW w:w="1709" w:type="dxa"/>
            <w:noWrap w:val="0"/>
            <w:vAlign w:val="center"/>
          </w:tcPr>
          <w:p w14:paraId="4604FC8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厚度（mm）</w:t>
            </w:r>
          </w:p>
        </w:tc>
        <w:tc>
          <w:tcPr>
            <w:tcW w:w="1709" w:type="dxa"/>
            <w:noWrap w:val="0"/>
            <w:vAlign w:val="center"/>
          </w:tcPr>
          <w:p w14:paraId="3EB7104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距离（m）</w:t>
            </w:r>
          </w:p>
        </w:tc>
      </w:tr>
      <w:tr w14:paraId="50753E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71D34514">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1708" w:type="dxa"/>
            <w:noWrap w:val="0"/>
            <w:vAlign w:val="center"/>
          </w:tcPr>
          <w:p w14:paraId="55FA0B29">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36</w:t>
            </w:r>
          </w:p>
        </w:tc>
        <w:tc>
          <w:tcPr>
            <w:tcW w:w="1709" w:type="dxa"/>
            <w:noWrap w:val="0"/>
            <w:vAlign w:val="center"/>
          </w:tcPr>
          <w:p w14:paraId="56E48BE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1004</w:t>
            </w:r>
          </w:p>
        </w:tc>
        <w:tc>
          <w:tcPr>
            <w:tcW w:w="1709" w:type="dxa"/>
            <w:noWrap w:val="0"/>
            <w:vAlign w:val="center"/>
          </w:tcPr>
          <w:p w14:paraId="61D0DE9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10.68</w:t>
            </w:r>
          </w:p>
        </w:tc>
        <w:tc>
          <w:tcPr>
            <w:tcW w:w="1709" w:type="dxa"/>
            <w:noWrap w:val="0"/>
            <w:vAlign w:val="center"/>
          </w:tcPr>
          <w:p w14:paraId="7FF96E03">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125</w:t>
            </w:r>
          </w:p>
        </w:tc>
      </w:tr>
      <w:tr w14:paraId="16DE98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345E58D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c>
          <w:tcPr>
            <w:tcW w:w="1708" w:type="dxa"/>
            <w:noWrap w:val="0"/>
            <w:vAlign w:val="center"/>
          </w:tcPr>
          <w:p w14:paraId="0A1571FB">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80</w:t>
            </w:r>
          </w:p>
        </w:tc>
        <w:tc>
          <w:tcPr>
            <w:tcW w:w="1709" w:type="dxa"/>
            <w:noWrap w:val="0"/>
            <w:vAlign w:val="center"/>
          </w:tcPr>
          <w:p w14:paraId="44A44B8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5018</w:t>
            </w:r>
          </w:p>
        </w:tc>
        <w:tc>
          <w:tcPr>
            <w:tcW w:w="1709" w:type="dxa"/>
            <w:noWrap w:val="0"/>
            <w:vAlign w:val="center"/>
          </w:tcPr>
          <w:p w14:paraId="3AEAA62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2.14</w:t>
            </w:r>
          </w:p>
        </w:tc>
        <w:tc>
          <w:tcPr>
            <w:tcW w:w="1709" w:type="dxa"/>
            <w:noWrap w:val="0"/>
            <w:vAlign w:val="center"/>
          </w:tcPr>
          <w:p w14:paraId="178258E4">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1248</w:t>
            </w:r>
          </w:p>
        </w:tc>
      </w:tr>
      <w:tr w14:paraId="168E38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26F9616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w:t>
            </w:r>
          </w:p>
        </w:tc>
        <w:tc>
          <w:tcPr>
            <w:tcW w:w="1708" w:type="dxa"/>
            <w:noWrap w:val="0"/>
            <w:vAlign w:val="center"/>
          </w:tcPr>
          <w:p w14:paraId="097C937B">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108</w:t>
            </w:r>
          </w:p>
        </w:tc>
        <w:tc>
          <w:tcPr>
            <w:tcW w:w="1709" w:type="dxa"/>
            <w:noWrap w:val="0"/>
            <w:vAlign w:val="center"/>
          </w:tcPr>
          <w:p w14:paraId="682191E2">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9125</w:t>
            </w:r>
          </w:p>
        </w:tc>
        <w:tc>
          <w:tcPr>
            <w:tcW w:w="1709" w:type="dxa"/>
            <w:noWrap w:val="0"/>
            <w:vAlign w:val="center"/>
          </w:tcPr>
          <w:p w14:paraId="48EFA20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1.17</w:t>
            </w:r>
          </w:p>
        </w:tc>
        <w:tc>
          <w:tcPr>
            <w:tcW w:w="1709" w:type="dxa"/>
            <w:noWrap w:val="0"/>
            <w:vAlign w:val="center"/>
          </w:tcPr>
          <w:p w14:paraId="4E4BEB01">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1872</w:t>
            </w:r>
          </w:p>
        </w:tc>
      </w:tr>
      <w:tr w14:paraId="6C0071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06F3A192">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15</w:t>
            </w:r>
          </w:p>
        </w:tc>
        <w:tc>
          <w:tcPr>
            <w:tcW w:w="1708" w:type="dxa"/>
            <w:noWrap w:val="0"/>
            <w:vAlign w:val="center"/>
          </w:tcPr>
          <w:p w14:paraId="2A74C8F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119</w:t>
            </w:r>
          </w:p>
        </w:tc>
        <w:tc>
          <w:tcPr>
            <w:tcW w:w="1709" w:type="dxa"/>
            <w:noWrap w:val="0"/>
            <w:vAlign w:val="center"/>
          </w:tcPr>
          <w:p w14:paraId="22B63624">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11175</w:t>
            </w:r>
          </w:p>
        </w:tc>
        <w:tc>
          <w:tcPr>
            <w:tcW w:w="1709" w:type="dxa"/>
            <w:noWrap w:val="0"/>
            <w:vAlign w:val="center"/>
          </w:tcPr>
          <w:p w14:paraId="484C2A8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0.96</w:t>
            </w:r>
          </w:p>
        </w:tc>
        <w:tc>
          <w:tcPr>
            <w:tcW w:w="1709" w:type="dxa"/>
            <w:noWrap w:val="0"/>
            <w:vAlign w:val="center"/>
          </w:tcPr>
          <w:p w14:paraId="5DD5FAF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2497</w:t>
            </w:r>
          </w:p>
        </w:tc>
      </w:tr>
      <w:tr w14:paraId="4BBBA1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0C17994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w:t>
            </w:r>
          </w:p>
        </w:tc>
        <w:tc>
          <w:tcPr>
            <w:tcW w:w="1708" w:type="dxa"/>
            <w:noWrap w:val="0"/>
            <w:vAlign w:val="center"/>
          </w:tcPr>
          <w:p w14:paraId="4046F77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136.8</w:t>
            </w:r>
          </w:p>
        </w:tc>
        <w:tc>
          <w:tcPr>
            <w:tcW w:w="1709" w:type="dxa"/>
            <w:noWrap w:val="0"/>
            <w:vAlign w:val="center"/>
          </w:tcPr>
          <w:p w14:paraId="502B4E7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14690</w:t>
            </w:r>
          </w:p>
        </w:tc>
        <w:tc>
          <w:tcPr>
            <w:tcW w:w="1709" w:type="dxa"/>
            <w:noWrap w:val="0"/>
            <w:vAlign w:val="center"/>
          </w:tcPr>
          <w:p w14:paraId="59961E20">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0.73</w:t>
            </w:r>
          </w:p>
        </w:tc>
        <w:tc>
          <w:tcPr>
            <w:tcW w:w="1709" w:type="dxa"/>
            <w:noWrap w:val="0"/>
            <w:vAlign w:val="center"/>
          </w:tcPr>
          <w:p w14:paraId="4BF6BBE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3745</w:t>
            </w:r>
          </w:p>
        </w:tc>
      </w:tr>
      <w:tr w14:paraId="5C83EC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3D97229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30</w:t>
            </w:r>
          </w:p>
        </w:tc>
        <w:tc>
          <w:tcPr>
            <w:tcW w:w="1708" w:type="dxa"/>
            <w:noWrap w:val="0"/>
            <w:vAlign w:val="center"/>
          </w:tcPr>
          <w:p w14:paraId="256B2B0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185.4</w:t>
            </w:r>
          </w:p>
        </w:tc>
        <w:tc>
          <w:tcPr>
            <w:tcW w:w="1709" w:type="dxa"/>
            <w:noWrap w:val="0"/>
            <w:vAlign w:val="center"/>
          </w:tcPr>
          <w:p w14:paraId="12418D8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26987</w:t>
            </w:r>
          </w:p>
        </w:tc>
        <w:tc>
          <w:tcPr>
            <w:tcW w:w="1709" w:type="dxa"/>
            <w:noWrap w:val="0"/>
            <w:vAlign w:val="center"/>
          </w:tcPr>
          <w:p w14:paraId="20DEFFE9">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0.4</w:t>
            </w:r>
          </w:p>
        </w:tc>
        <w:tc>
          <w:tcPr>
            <w:tcW w:w="1709" w:type="dxa"/>
            <w:noWrap w:val="0"/>
            <w:vAlign w:val="center"/>
          </w:tcPr>
          <w:p w14:paraId="4157501A">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4993</w:t>
            </w:r>
          </w:p>
        </w:tc>
      </w:tr>
      <w:tr w14:paraId="6B93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53EFA85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40</w:t>
            </w:r>
          </w:p>
        </w:tc>
        <w:tc>
          <w:tcPr>
            <w:tcW w:w="1708" w:type="dxa"/>
            <w:noWrap w:val="0"/>
            <w:vAlign w:val="center"/>
          </w:tcPr>
          <w:p w14:paraId="361581F9">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230.1</w:t>
            </w:r>
          </w:p>
        </w:tc>
        <w:tc>
          <w:tcPr>
            <w:tcW w:w="1709" w:type="dxa"/>
            <w:noWrap w:val="0"/>
            <w:vAlign w:val="center"/>
          </w:tcPr>
          <w:p w14:paraId="5DC66984">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41549</w:t>
            </w:r>
          </w:p>
        </w:tc>
        <w:tc>
          <w:tcPr>
            <w:tcW w:w="1709" w:type="dxa"/>
            <w:noWrap w:val="0"/>
            <w:vAlign w:val="center"/>
          </w:tcPr>
          <w:p w14:paraId="342856B0">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0.26</w:t>
            </w:r>
          </w:p>
        </w:tc>
        <w:tc>
          <w:tcPr>
            <w:tcW w:w="1709" w:type="dxa"/>
            <w:noWrap w:val="0"/>
            <w:vAlign w:val="center"/>
          </w:tcPr>
          <w:p w14:paraId="43BD7AF1">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6242</w:t>
            </w:r>
          </w:p>
        </w:tc>
      </w:tr>
      <w:tr w14:paraId="1E2BD7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5BCC2E01">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w:t>
            </w:r>
          </w:p>
        </w:tc>
        <w:tc>
          <w:tcPr>
            <w:tcW w:w="1708" w:type="dxa"/>
            <w:noWrap w:val="0"/>
            <w:vAlign w:val="center"/>
          </w:tcPr>
          <w:p w14:paraId="4141F168">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272.0</w:t>
            </w:r>
          </w:p>
        </w:tc>
        <w:tc>
          <w:tcPr>
            <w:tcW w:w="1709" w:type="dxa"/>
            <w:noWrap w:val="0"/>
            <w:vAlign w:val="center"/>
          </w:tcPr>
          <w:p w14:paraId="57187AF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58067</w:t>
            </w:r>
          </w:p>
        </w:tc>
        <w:tc>
          <w:tcPr>
            <w:tcW w:w="1709" w:type="dxa"/>
            <w:noWrap w:val="0"/>
            <w:vAlign w:val="center"/>
          </w:tcPr>
          <w:p w14:paraId="33600DFB">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0.18</w:t>
            </w:r>
          </w:p>
        </w:tc>
        <w:tc>
          <w:tcPr>
            <w:tcW w:w="1709" w:type="dxa"/>
            <w:noWrap w:val="0"/>
            <w:vAlign w:val="center"/>
          </w:tcPr>
          <w:p w14:paraId="3B61723D">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7490</w:t>
            </w:r>
          </w:p>
        </w:tc>
      </w:tr>
      <w:tr w14:paraId="4C675F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6893743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60</w:t>
            </w:r>
          </w:p>
        </w:tc>
        <w:tc>
          <w:tcPr>
            <w:tcW w:w="1708" w:type="dxa"/>
            <w:noWrap w:val="0"/>
            <w:vAlign w:val="center"/>
          </w:tcPr>
          <w:p w14:paraId="61B9BF54">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311.8</w:t>
            </w:r>
          </w:p>
        </w:tc>
        <w:tc>
          <w:tcPr>
            <w:tcW w:w="1709" w:type="dxa"/>
            <w:noWrap w:val="0"/>
            <w:vAlign w:val="center"/>
          </w:tcPr>
          <w:p w14:paraId="3BADA0D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76331</w:t>
            </w:r>
          </w:p>
        </w:tc>
        <w:tc>
          <w:tcPr>
            <w:tcW w:w="1709" w:type="dxa"/>
            <w:noWrap w:val="0"/>
            <w:vAlign w:val="center"/>
          </w:tcPr>
          <w:p w14:paraId="2D6294A2">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0.14</w:t>
            </w:r>
          </w:p>
        </w:tc>
        <w:tc>
          <w:tcPr>
            <w:tcW w:w="1709" w:type="dxa"/>
            <w:noWrap w:val="0"/>
            <w:vAlign w:val="center"/>
          </w:tcPr>
          <w:p w14:paraId="7AE1170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8738</w:t>
            </w:r>
          </w:p>
        </w:tc>
      </w:tr>
      <w:tr w14:paraId="60B62E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8" w:type="dxa"/>
            <w:noWrap w:val="0"/>
            <w:vAlign w:val="center"/>
          </w:tcPr>
          <w:p w14:paraId="763C5FCE">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235</w:t>
            </w:r>
          </w:p>
        </w:tc>
        <w:tc>
          <w:tcPr>
            <w:tcW w:w="1708" w:type="dxa"/>
            <w:noWrap w:val="0"/>
            <w:vAlign w:val="center"/>
          </w:tcPr>
          <w:p w14:paraId="02F01A26">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868.2</w:t>
            </w:r>
          </w:p>
        </w:tc>
        <w:tc>
          <w:tcPr>
            <w:tcW w:w="1709" w:type="dxa"/>
            <w:noWrap w:val="0"/>
            <w:vAlign w:val="center"/>
          </w:tcPr>
          <w:p w14:paraId="7BA2E3B7">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591667</w:t>
            </w:r>
          </w:p>
        </w:tc>
        <w:tc>
          <w:tcPr>
            <w:tcW w:w="1709" w:type="dxa"/>
            <w:noWrap w:val="0"/>
            <w:vAlign w:val="center"/>
          </w:tcPr>
          <w:p w14:paraId="710E5CCF">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0.02</w:t>
            </w:r>
          </w:p>
        </w:tc>
        <w:tc>
          <w:tcPr>
            <w:tcW w:w="1709" w:type="dxa"/>
            <w:noWrap w:val="0"/>
            <w:vAlign w:val="center"/>
          </w:tcPr>
          <w:p w14:paraId="4182E735">
            <w:pPr>
              <w:pStyle w:val="38"/>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29335</w:t>
            </w:r>
          </w:p>
        </w:tc>
      </w:tr>
    </w:tbl>
    <w:p w14:paraId="4423B3F5">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发生溢油事故时，未采取任何措施的情况下，燃油惯性扩展阶段的时间约496S（约8.3min），粘性扩展阶段496~1054（约17.6min），表面张力扩展阶段1054~14102S（约235min、3.9h），至此，油膜厚度达到临界厚度，约0.02mm，油膜等效直径约为868.2m、污染团的面积约591667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lang w:eastAsia="zh-CN"/>
        </w:rPr>
        <w:t>、中心位置距离码头下游约为29.3km。</w:t>
      </w:r>
    </w:p>
    <w:p w14:paraId="711C807F">
      <w:pPr>
        <w:pStyle w:val="3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由于溢油事故中无论是溢油量还是溢油时间均有较大的不确定性，一旦发生事故，需尽快启动溢油应急预案，最大限度控制油膜向下游的漂移，减少溢油对下游环境敏感目标的影响。</w:t>
      </w:r>
    </w:p>
    <w:p w14:paraId="7A513D3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lang w:eastAsia="zh-CN"/>
        </w:rPr>
        <w:t>企业自身也应该加强管理，严格控制到港船舶操作，尽量杜绝此类事故的发生。</w:t>
      </w:r>
    </w:p>
    <w:p w14:paraId="48C62F2A">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4风险防范措施</w:t>
      </w:r>
    </w:p>
    <w:p w14:paraId="061EA751">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rPr>
        <w:t>降低风险概率的对策</w:t>
      </w:r>
    </w:p>
    <w:p w14:paraId="0242B56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rPr>
        <w:t>建立健全安全防污机制</w:t>
      </w:r>
    </w:p>
    <w:p w14:paraId="2191E96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避免事故发生与制订各项健全的操作规程和规章制度是密不可分的，建设单位必须认真贯彻 “安全第一，预防为主”的方针。 建议建设单位应该制定好包括船舶污染应急预案在内的各类应急预案，并进行定期演练。</w:t>
      </w:r>
    </w:p>
    <w:p w14:paraId="17EE6EA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rPr>
        <w:t>降低风、浪、流、雾的影响</w:t>
      </w:r>
    </w:p>
    <w:p w14:paraId="369FC8FA">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加强与气象部门的联系，获得早期的气象资料，同时，加强与</w:t>
      </w:r>
      <w:r>
        <w:rPr>
          <w:rFonts w:hint="default" w:ascii="Times New Roman" w:hAnsi="Times New Roman" w:eastAsia="宋体" w:cs="Times New Roman"/>
          <w:color w:val="auto"/>
          <w:sz w:val="24"/>
          <w:szCs w:val="24"/>
          <w:lang w:val="en-US" w:eastAsia="zh-CN"/>
        </w:rPr>
        <w:t>交通部门</w:t>
      </w:r>
      <w:r>
        <w:rPr>
          <w:rFonts w:hint="default" w:ascii="Times New Roman" w:hAnsi="Times New Roman" w:eastAsia="宋体" w:cs="Times New Roman"/>
          <w:color w:val="auto"/>
          <w:sz w:val="24"/>
          <w:szCs w:val="24"/>
          <w:lang w:val="en-US"/>
        </w:rPr>
        <w:t>的联系， 制订相应的安全措施，保证船舶安全。自然原因是造成事故的主要外因，自然原因风险应引起足够的重视。在能见度不良或通航条件恶劣时，船舶操纵困难，应尽可能避免通航。在航船舶应特别谨慎驾驶，防止事故发生。为避免大波浪及恶劣天气对泊船舶产生影响，确保船舶的安全建议船舶采取增加系泊缆绳数量等措施来提高船舶稳定安全性。</w:t>
      </w:r>
    </w:p>
    <w:p w14:paraId="6B398AC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rPr>
        <w:t>加强船舶废弃物的接收管理工作</w:t>
      </w:r>
    </w:p>
    <w:p w14:paraId="557A6DF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建设单位应该协调各</w:t>
      </w:r>
      <w:r>
        <w:rPr>
          <w:rFonts w:hint="default" w:ascii="Times New Roman" w:hAnsi="Times New Roman" w:eastAsia="宋体" w:cs="Times New Roman"/>
          <w:color w:val="auto"/>
          <w:sz w:val="24"/>
          <w:szCs w:val="24"/>
          <w:lang w:val="en-US" w:eastAsia="zh-CN"/>
        </w:rPr>
        <w:t>到港</w:t>
      </w:r>
      <w:r>
        <w:rPr>
          <w:rFonts w:hint="default" w:ascii="Times New Roman" w:hAnsi="Times New Roman" w:eastAsia="宋体" w:cs="Times New Roman"/>
          <w:color w:val="auto"/>
          <w:sz w:val="24"/>
          <w:szCs w:val="24"/>
          <w:lang w:val="en-US"/>
        </w:rPr>
        <w:t>船舶进行船舶油污水、生活垃圾等废弃物的安全处置，</w:t>
      </w:r>
      <w:r>
        <w:rPr>
          <w:rFonts w:hint="default" w:ascii="Times New Roman" w:hAnsi="Times New Roman" w:eastAsia="宋体" w:cs="Times New Roman"/>
          <w:color w:val="auto"/>
          <w:sz w:val="24"/>
          <w:szCs w:val="24"/>
          <w:lang w:val="en-US" w:eastAsia="zh-CN"/>
        </w:rPr>
        <w:t>到港船舶的</w:t>
      </w:r>
      <w:r>
        <w:rPr>
          <w:rFonts w:hint="default" w:ascii="Times New Roman" w:hAnsi="Times New Roman" w:eastAsia="宋体" w:cs="Times New Roman"/>
          <w:color w:val="auto"/>
          <w:sz w:val="24"/>
          <w:szCs w:val="24"/>
          <w:lang w:val="en-US"/>
        </w:rPr>
        <w:t>船舶污水和生活垃圾</w:t>
      </w:r>
      <w:r>
        <w:rPr>
          <w:rFonts w:hint="default" w:ascii="Times New Roman" w:hAnsi="Times New Roman" w:eastAsia="宋体" w:cs="Times New Roman"/>
          <w:color w:val="auto"/>
          <w:sz w:val="24"/>
          <w:szCs w:val="24"/>
          <w:lang w:val="en-US" w:eastAsia="zh-CN"/>
        </w:rPr>
        <w:t>由码头接收后处理</w:t>
      </w:r>
      <w:r>
        <w:rPr>
          <w:rFonts w:hint="default" w:ascii="Times New Roman" w:hAnsi="Times New Roman" w:eastAsia="宋体" w:cs="Times New Roman"/>
          <w:color w:val="auto"/>
          <w:sz w:val="24"/>
          <w:szCs w:val="24"/>
          <w:lang w:val="en-US"/>
        </w:rPr>
        <w:t>，使各</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lang w:val="en-US"/>
        </w:rPr>
        <w:t>船的固体废物和油污水接收处理工作纳入制度化管理。</w:t>
      </w:r>
    </w:p>
    <w:p w14:paraId="0767A425">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rPr>
        <w:t>减轻事故后果的对策</w:t>
      </w:r>
    </w:p>
    <w:p w14:paraId="42D9446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（1）应急防备目标</w:t>
      </w:r>
    </w:p>
    <w:p w14:paraId="6D6A89FD">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考虑到船舶污染应急设备比较昂贵，需要投入较大的资金，且部分应急资源具有一定保质期，不能长期保存，因此，设定的船舶污染应急能力建设目标应合理，既能满足应对一般船舶污染风险的需要，同时也不能单纯为了满足应急要求，将最坏情况下的溢油量作为应急目标。</w:t>
      </w:r>
    </w:p>
    <w:p w14:paraId="0D610A1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不给建设单位带来太大的经济压力，当发生超过目标应急能力的特大溢油事故时，应通过启动县级、市级、省级或国家级应急计划，调集所属辖区或相邻流域的应急力量，共同应对。在确定区域应急能力目标的基础上，依据区域应急能力建设规划，本着国家、地方政府、建设单位共同开展应急能力建设的原则，合理确定由本项目承担的应急能力目标。</w:t>
      </w:r>
    </w:p>
    <w:p w14:paraId="5207FCF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rPr>
        <w:t>应急防备的建设需求</w:t>
      </w:r>
    </w:p>
    <w:p w14:paraId="202AE59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rPr>
        <w:t>应急设备配备方案</w:t>
      </w:r>
    </w:p>
    <w:p w14:paraId="1255571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配置的应急设备主要包括围油栏、收油机等</w:t>
      </w:r>
      <w:r>
        <w:rPr>
          <w:rFonts w:hint="default"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val="en-US"/>
        </w:rPr>
        <w:t>依托最近的</w:t>
      </w:r>
      <w:r>
        <w:rPr>
          <w:rFonts w:hint="default" w:ascii="Times New Roman" w:hAnsi="Times New Roman" w:eastAsia="宋体" w:cs="Times New Roman"/>
          <w:color w:val="auto"/>
          <w:sz w:val="24"/>
          <w:szCs w:val="24"/>
          <w:lang w:val="en-US" w:eastAsia="zh-CN"/>
        </w:rPr>
        <w:t>交通部门</w:t>
      </w:r>
      <w:r>
        <w:rPr>
          <w:rFonts w:hint="default" w:ascii="Times New Roman" w:hAnsi="Times New Roman" w:eastAsia="宋体" w:cs="Times New Roman"/>
          <w:color w:val="auto"/>
          <w:sz w:val="24"/>
          <w:szCs w:val="24"/>
          <w:lang w:val="en-US"/>
        </w:rPr>
        <w:t>的事故应急船进行处理。</w:t>
      </w:r>
    </w:p>
    <w:p w14:paraId="0BA8F38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2）设备维护保养</w:t>
      </w:r>
    </w:p>
    <w:p w14:paraId="4EB0C96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建设单位应建立完善的设备维护保养制度，应有专门员工对</w:t>
      </w:r>
      <w:r>
        <w:rPr>
          <w:rFonts w:hint="default" w:ascii="Times New Roman" w:hAnsi="Times New Roman" w:eastAsia="宋体" w:cs="Times New Roman"/>
          <w:color w:val="auto"/>
          <w:sz w:val="24"/>
          <w:szCs w:val="24"/>
          <w:lang w:val="en-US" w:eastAsia="zh-CN"/>
        </w:rPr>
        <w:t>应急</w:t>
      </w:r>
      <w:r>
        <w:rPr>
          <w:rFonts w:hint="default" w:ascii="Times New Roman" w:hAnsi="Times New Roman" w:eastAsia="宋体" w:cs="Times New Roman"/>
          <w:color w:val="auto"/>
          <w:sz w:val="24"/>
          <w:szCs w:val="24"/>
          <w:lang w:val="en-US"/>
        </w:rPr>
        <w:t>设备进行管理，定期对设备进行维护保养，应设有专业的应急员工，熟悉设备的操作使用方法， 确保设备在紧急情况发生时能够发挥作用。</w:t>
      </w:r>
    </w:p>
    <w:p w14:paraId="5551C13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培训、演习</w:t>
      </w:r>
    </w:p>
    <w:p w14:paraId="1F51946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在保证设备能正常使用的同时，每年还应提供培训、演习资金，每年至少举行一次防污染应急演习。</w:t>
      </w:r>
    </w:p>
    <w:p w14:paraId="006948C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rPr>
        <w:t>增强溢油应急能力建设，不仅要配置充足、适当的应急设备，还需要建立一支训练有索、应急快速、有专业应急技术的应急队伍，以满足应对较大规模的溢油事故处理的需要。本项目尚未编制专门的船舶柴油泄露污染应急预案，尚未建立企业应急队伍，本项目建议建设单位应该及时建立船舶船舶柴油泄露污染应急队伍，并派应急员工参加专业应急培训，使应急员工能够熟练掌握应急设备设施的使用方法，逐步建立公司自身的专业应急队伍。</w:t>
      </w:r>
    </w:p>
    <w:p w14:paraId="217FF39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4）工程应急反应</w:t>
      </w:r>
    </w:p>
    <w:p w14:paraId="36B0630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码头出现和可能出现事故溢油时，码头区调度室及值班人员应视溢油程度需要快速向应急小组报告。应急小组在接到事故现场人员报告后，迅速组织技术评估人员立即评估溢油规模，预计溢油漂移趋势及对码头下游水厂鸡碲湖取水口造成影响，初步确定应急方案。</w:t>
      </w:r>
    </w:p>
    <w:p w14:paraId="7CF7875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经过溢油事故初始评估后，应急小组组长决定是否启动应急计划。若溢油事故规模较小，码头人员、设备具备处理的能力，应立即组织人员、调用设备进行处理，若码头人员、设备不具备处理的能力，应立即启动应急计划。</w:t>
      </w:r>
    </w:p>
    <w:p w14:paraId="49566E8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应急计划反应内容包括：由组长或其指定的人员向上级主管部门以及与事故相关海事、环保等部门报告。报告内容应包括：</w:t>
      </w:r>
    </w:p>
    <w:p w14:paraId="1CA3955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（1）事故发生的时间、地点、船名、位置；</w:t>
      </w:r>
    </w:p>
    <w:p w14:paraId="1190356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（2）事故发生江段气象、水文情况；</w:t>
      </w:r>
    </w:p>
    <w:p w14:paraId="283D59C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油污染源、溢油原因（包括船名、船型、碰撞/搁浅、船东或货主）、溢油单位（名称、地址、电话、联系人/代理人）、油品种类和数量以及进一步溢油的可能性、油膜的描述，包括移动方向、长度、宽度和形状；</w:t>
      </w:r>
    </w:p>
    <w:p w14:paraId="0E0E196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（4）事故发生后已经采取的措施及控制情况；</w:t>
      </w:r>
    </w:p>
    <w:p w14:paraId="3F72774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（5）事故发展势态、可能发生的严重后果；</w:t>
      </w:r>
    </w:p>
    <w:p w14:paraId="6E5E87F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（6）需要的援助（应急设施和物资、人员、环境监测、医疗援助等）；</w:t>
      </w:r>
    </w:p>
    <w:p w14:paraId="4E50670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（7）事故报警单位、联系人及联系电话等。</w:t>
      </w:r>
    </w:p>
    <w:p w14:paraId="21B7B8A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采取的行动：</w:t>
      </w:r>
    </w:p>
    <w:p w14:paraId="6AD6800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（1）发出溢油事故报警或紧急通报，用电话和传真通知上级部门；</w:t>
      </w:r>
    </w:p>
    <w:p w14:paraId="17424C2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（2）编制溢油源位置及漂移方向情况报告（根据实际情况至少每隔1 小时报告一次）；</w:t>
      </w:r>
    </w:p>
    <w:p w14:paraId="6A32221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（3）安排后勤保障，估计/预测污油运动方向（经常处于变化中）；</w:t>
      </w:r>
    </w:p>
    <w:p w14:paraId="602A1ED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（4）派出船艇对溢油源/浮油区域周围实行警戒或交通管制，监视溢油在水上的扩散情况。必要和可能时，实行空中监视；</w:t>
      </w:r>
    </w:p>
    <w:p w14:paraId="7EC2887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（5）判别受威胁的敏感区域/设施，通知可能受威胁的单位；</w:t>
      </w:r>
    </w:p>
    <w:p w14:paraId="4CD98D6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（6）根据溢油源的类型、规模、溢出地点、溢出油的种类、溢油扩散方向等，考虑采取相应的防治措施；</w:t>
      </w:r>
    </w:p>
    <w:p w14:paraId="03D63FE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（7）策划并执行清除作业，指定人员做好相关记录；</w:t>
      </w:r>
    </w:p>
    <w:p w14:paraId="5566AA3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（8）适时发布终止作业的命令和解除警报。</w:t>
      </w:r>
    </w:p>
    <w:p w14:paraId="49D66B4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各有关部门接到油污事件报警或通报后，应及时按计划规定和要求做好溢油事故防备和应急反应的各项工作，及时将采取或可能采取的措施反馈给油污应急指挥中心，听从应急指挥中心的统一指挥和行动现场总指挥的调动及安排，做好行动中的情况记录配合工作。</w:t>
      </w:r>
    </w:p>
    <w:p w14:paraId="22FE74DA">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应急小组全体成员立即采取应急措施，包括溢油控制与清除，溢油的监测和监视等。</w:t>
      </w:r>
    </w:p>
    <w:p w14:paraId="429087A8">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4应急预案</w:t>
      </w:r>
    </w:p>
    <w:p w14:paraId="0557FA2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事故应急救援预案是针对可能发生的重大事故所需的应急准备和响应行动而制定的指导性文件，其内容包括方针与原则、应急策划、应急准备、应急响应、现场恢复、预案管理和评审改进几大要素。</w:t>
      </w:r>
    </w:p>
    <w:p w14:paraId="46C4914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本规划溢油应急反应原应包括以下几个方面：</w:t>
      </w:r>
    </w:p>
    <w:p w14:paraId="468D990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（1）建设单位建立健全组织指挥机构；</w:t>
      </w:r>
    </w:p>
    <w:p w14:paraId="5884CA5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（2）绘制地区的环境资源敏感图，确定重点优先保护区域；</w:t>
      </w:r>
    </w:p>
    <w:p w14:paraId="29E380C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（3）加强溢油跟踪监测建立科学的溢油分析决策系统；</w:t>
      </w:r>
    </w:p>
    <w:p w14:paraId="556F09A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（4）建立清污设备器材储备；</w:t>
      </w:r>
    </w:p>
    <w:p w14:paraId="3B3821F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（5）加强清污员工训练；</w:t>
      </w:r>
    </w:p>
    <w:p w14:paraId="20D6A89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（6）建立通畅有效地指挥通讯网络。</w:t>
      </w:r>
    </w:p>
    <w:p w14:paraId="41915DFA">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1、应急准备</w:t>
      </w:r>
    </w:p>
    <w:p w14:paraId="3CAE578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在事故应急救援预案中应明确下列内容：</w:t>
      </w:r>
    </w:p>
    <w:p w14:paraId="2F05715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①应急救援组织结构设置、组成员工和职责划分。依据事故危害程度的级别，设置分级应急救援组织机构。</w:t>
      </w:r>
    </w:p>
    <w:p w14:paraId="40F5CD5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②在事故应急救援预案中明确预案的资源配备情况，包括应急救援保障、救援所需要的技术资料，应急设备和物资等，并确保其有效使用。</w:t>
      </w:r>
    </w:p>
    <w:p w14:paraId="627A8F6D">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③教育、训练与演练。事故应急救援预案中应确定应急培训计划，演练计划，教育、训练、演练的事实与效果评估等内容。应急培训计划的内容包括：应急救援员工的培训、员工应急响应的培训、周边员工应急响应知识的宣传。演练内容包括：演练准备、演练范围与频次和演练组织。实施与效果评估的内容为：实施的方式、效果评估方式、效果评估员工、预案改进和完善。</w:t>
      </w:r>
    </w:p>
    <w:p w14:paraId="2288A121">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2、应急响应</w:t>
      </w:r>
    </w:p>
    <w:p w14:paraId="08DBE29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①报警、接警、通知、通讯联络方式。依据现有资源的评估结果，确定 24 小时有效地报警装置；24小时有效地内部、外部通讯联络手段；事故通报程序。</w:t>
      </w:r>
    </w:p>
    <w:p w14:paraId="2A0B0BD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②预案分级响应条件。依据事故的类别、危害程度的级别和从业员工的评估结果，可能发生的事故现场情况和分析结果，设定预案风机响应的启动条件。</w:t>
      </w:r>
    </w:p>
    <w:p w14:paraId="4D0C2B4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③指挥与控制。建立分级响应、统一指挥、协调和决策的程序。</w:t>
      </w:r>
    </w:p>
    <w:p w14:paraId="42EDC4C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④</w:t>
      </w:r>
      <w:r>
        <w:rPr>
          <w:rFonts w:hint="default" w:ascii="Times New Roman" w:hAnsi="Times New Roman" w:eastAsia="宋体" w:cs="Times New Roman"/>
          <w:color w:val="auto"/>
          <w:sz w:val="24"/>
          <w:szCs w:val="24"/>
          <w:lang w:val="en-US"/>
        </w:rPr>
        <w:tab/>
      </w:r>
      <w:r>
        <w:rPr>
          <w:rFonts w:hint="default" w:ascii="Times New Roman" w:hAnsi="Times New Roman" w:eastAsia="宋体" w:cs="Times New Roman"/>
          <w:color w:val="auto"/>
          <w:sz w:val="24"/>
          <w:szCs w:val="24"/>
          <w:lang w:val="en-US"/>
        </w:rPr>
        <w:t>事故发生后应采取的应急救援措施。根据</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lang w:val="en-US"/>
        </w:rPr>
        <w:t>船的安全技术要求，确定采取的紧急处理措施、应急预案；确认危险物料的使用或存放地点，一级应急处理措施、方案；重要记录资料和重要设备的保护；根据其他有关信息确定采取的现场应急处理措施、方案；重要记录资料和重要设备的保护；根据其他有关信息确定采取的现场应急处理措施。</w:t>
      </w:r>
    </w:p>
    <w:p w14:paraId="6DE7A94A">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⑤</w:t>
      </w:r>
      <w:r>
        <w:rPr>
          <w:rFonts w:hint="default" w:ascii="Times New Roman" w:hAnsi="Times New Roman" w:eastAsia="宋体" w:cs="Times New Roman"/>
          <w:color w:val="auto"/>
          <w:sz w:val="24"/>
          <w:szCs w:val="24"/>
          <w:lang w:val="en-US"/>
        </w:rPr>
        <w:tab/>
      </w:r>
      <w:r>
        <w:rPr>
          <w:rFonts w:hint="default" w:ascii="Times New Roman" w:hAnsi="Times New Roman" w:eastAsia="宋体" w:cs="Times New Roman"/>
          <w:color w:val="auto"/>
          <w:sz w:val="24"/>
          <w:szCs w:val="24"/>
          <w:lang w:val="en-US"/>
        </w:rPr>
        <w:t>警戒与治安。预案中应规定警戒区域划分、交通管制、维护现场治安秩序的程序。</w:t>
      </w:r>
    </w:p>
    <w:p w14:paraId="2ECFBCE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⑥</w:t>
      </w:r>
      <w:r>
        <w:rPr>
          <w:rFonts w:hint="default" w:ascii="Times New Roman" w:hAnsi="Times New Roman" w:eastAsia="宋体" w:cs="Times New Roman"/>
          <w:color w:val="auto"/>
          <w:sz w:val="24"/>
          <w:szCs w:val="24"/>
          <w:lang w:val="en-US"/>
        </w:rPr>
        <w:tab/>
      </w:r>
      <w:r>
        <w:rPr>
          <w:rFonts w:hint="default" w:ascii="Times New Roman" w:hAnsi="Times New Roman" w:eastAsia="宋体" w:cs="Times New Roman"/>
          <w:color w:val="auto"/>
          <w:sz w:val="24"/>
          <w:szCs w:val="24"/>
          <w:lang w:val="en-US"/>
        </w:rPr>
        <w:t>员工紧急疏散、安置。依据对可能发生的事故场所、设施及周围情况的分析结果，确定事故现场员工清点，撤离方式、方法；非事故现场员工紧急疏散的方式、方法；抢救员工在撤离前、撤离后的报告。</w:t>
      </w:r>
    </w:p>
    <w:p w14:paraId="765F2C0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⑦危险区的隔离。依据可能发生的事故危害类别、危害程度的级别，确定危险区的设定；事故现场隔离区的划定方式、方法；事故现场隔离方法；事故现场周边区域的道路隔离或交通疏导方法。</w:t>
      </w:r>
    </w:p>
    <w:p w14:paraId="6DF511C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⑧检测、抢险、救援、消防、泄漏物的控制及事故控制措施。依据有关国家标准和现有资源的评估结果，确定检测的方式、方法及检测员工的防护、监护措施；抢险、救援方式、方法及员工的防护、监护措施；现场实时监测及异常情况下抢险员工的撤离条件、方法；应急救援队伍的调度；控制事故扩大的措施；事故可能扩大后的应急措施。</w:t>
      </w:r>
    </w:p>
    <w:p w14:paraId="706A662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⑨受伤员工现场救护、救治与医院救治。依据事故分类、分级，附近疾病控制与医疗救治机构的设置和处理能力，制定具有可操作性的处置方案，内容包括：接触人群检伤分类方案及执行员工；依据检伤结果对患者进行分类现场紧急抢救方案；接触者医学观察方案；患者转运及转运中的救治方案；患者治疗方案；入院前和医院救治机构确定及处置方案；信息、药物、器材储备信息。</w:t>
      </w:r>
    </w:p>
    <w:p w14:paraId="35E1D59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⑩公共关系。依据事故信息、影响、救援情况等信息发布要求，明确事故信息发布批准程序；媒体、公众信息发布程序；公众咨询、接待、安抚受害员工家属的规定。</w:t>
      </w:r>
    </w:p>
    <w:p w14:paraId="16A3E866">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3、现场恢复</w:t>
      </w:r>
    </w:p>
    <w:p w14:paraId="1F9B64E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事故救援结束，应立即着手现场的恢复工作，有些需要立即实现恢复，有些是短期恢复或长期恢复。事故应急救援预案中应明确：现场保护与现场清理；事故现场的保护措施；明确事故处理现场工作的负责人和专业队伍；事故应急救援工作结束的程序。</w:t>
      </w:r>
    </w:p>
    <w:p w14:paraId="47E25442">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4、水生保护动物事故风险应急预案</w:t>
      </w:r>
    </w:p>
    <w:p w14:paraId="012FCCC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（1）管理措施</w:t>
      </w:r>
    </w:p>
    <w:p w14:paraId="13A0EA0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从事码头装卸业务技术应符合要求，提高油品泄漏危害的认识和安全装卸的责任感。装卸人员对可能出现的油品事故泄漏的人为原因和自然原因应该学习和了解人员宣传保护珍稀水生动物的重要性，提供重要珍稀水生动物的图片，发送宣传生动物的图片。发送宣传手册，提高公众保护意识。</w:t>
      </w:r>
    </w:p>
    <w:p w14:paraId="016AEBE3">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（2）制定并落实水生动物紧急救护预案。</w:t>
      </w:r>
    </w:p>
    <w:p w14:paraId="01AE3AB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针对危化品泄漏事故，码头配备应急处理设施，包括油污拦截、清理设施，消防设施等，制定应急预案。当出现风险事故时，营运单位能马上做出生态应急处理的响应。配备应急通讯联络器材设备，及时上报，并及时启动应急预案，同时应配合相关部门做好应急工作，应急预案包括江面油污拦截与清理预案、河岸带油污预防与清理预案等。</w:t>
      </w:r>
    </w:p>
    <w:p w14:paraId="7E9E456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如果发生火灾、爆炸风险事故，很可能对附近水生动物造成重大伤害。受伤保护动物的应急救护措施主要是保护区管理部门对江段进行监测，及时发现受伤个体，应进行救护处理。针对可能出现的应急情况，工程业主单位和保护区管理处共同建立事放应急监测系统，对事故发生后影响区域范围内的水生生态进行应急监测，直到事故被妥善处理。及时处理和救护受影响的水生生物，特别是保护对象，并对事故影响进行评价和采取适当的补偿措施。</w:t>
      </w:r>
    </w:p>
    <w:p w14:paraId="05E5FF5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（3）建立事故报告制度</w:t>
      </w:r>
    </w:p>
    <w:p w14:paraId="04854B9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在开展水生动物救护的同时，应及时向各级渔政、环保部门报告备案，报告的内容要包括发生水生动物意外伤害事故的位置、动物种类、受伤情况、救护措施等保护种类伤害事故的位置、动物种类、受伤情况、救护措施等。</w:t>
      </w:r>
    </w:p>
    <w:p w14:paraId="6CEC687F">
      <w:pPr>
        <w:pStyle w:val="9"/>
        <w:pageBreakBefore w:val="0"/>
        <w:kinsoku/>
        <w:wordWrap/>
        <w:overflowPunct/>
        <w:topLinePunct w:val="0"/>
        <w:bidi w:val="0"/>
        <w:spacing w:before="0" w:after="0" w:line="360" w:lineRule="auto"/>
        <w:ind w:left="0" w:leftChars="0" w:firstLine="0" w:firstLineChars="0"/>
        <w:jc w:val="left"/>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5.</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4环境风险评价结论</w:t>
      </w:r>
    </w:p>
    <w:p w14:paraId="691CC8E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经过对本项目环境风险评价分析，与其他项目的风险性相比，本项目的环境风险是相对较小的，泄漏事故属低概率的风险事故，发生泄漏（溢油）事故主要是湘江水体的污染。在采取安全对策措施后建设项目可行。建议完善建设单位的 环境风险应急预案，并加强与地方政府环境风险应急预案的衔接，进行联合演练。确保一旦发生事故能够及时响应、各负其责、联合行动。因此，在建设单位制定严格的生产运行管理、加强职工的安全生产教育、提高风险意识，严格落实相关风险防范措施和安全应急措施的前提下，并制度详细的风险应急预案基础上，项目环境风险影响可接受。</w:t>
      </w:r>
    </w:p>
    <w:p w14:paraId="03D019C5">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7FB38682">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746" w:name="_Toc6363"/>
      <w:bookmarkStart w:id="747" w:name="_Toc116111719"/>
      <w:bookmarkStart w:id="748" w:name="_Toc14146_WPSOffice_Level1"/>
      <w:bookmarkStart w:id="749" w:name="_Toc8210"/>
      <w:bookmarkStart w:id="750" w:name="_Toc12324"/>
      <w:bookmarkStart w:id="751" w:name="_Toc12782_WPSOffice_Level1"/>
      <w:bookmarkStart w:id="752" w:name="_Toc486321347"/>
      <w:bookmarkStart w:id="753" w:name="_Toc23618"/>
      <w:bookmarkStart w:id="754" w:name="_Toc18634_WPSOffice_Level1"/>
      <w:bookmarkStart w:id="755" w:name="_Toc17862_WPSOffice_Level1"/>
      <w:r>
        <w:rPr>
          <w:rFonts w:hint="default" w:ascii="Times New Roman" w:hAnsi="Times New Roman" w:eastAsia="宋体" w:cs="Times New Roman"/>
          <w:color w:val="auto"/>
          <w:lang w:val="en-US" w:eastAsia="zh-CN"/>
        </w:rPr>
        <w:t>6、环境保护措施及其可行性论证</w:t>
      </w:r>
      <w:bookmarkEnd w:id="746"/>
      <w:bookmarkEnd w:id="747"/>
      <w:bookmarkEnd w:id="748"/>
      <w:bookmarkEnd w:id="749"/>
      <w:bookmarkEnd w:id="750"/>
      <w:bookmarkEnd w:id="751"/>
      <w:bookmarkEnd w:id="752"/>
      <w:bookmarkEnd w:id="753"/>
      <w:bookmarkEnd w:id="754"/>
      <w:bookmarkEnd w:id="755"/>
    </w:p>
    <w:p w14:paraId="66C811E7">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756" w:name="_Toc116111720"/>
      <w:bookmarkStart w:id="757" w:name="_Toc31334"/>
      <w:bookmarkStart w:id="758" w:name="_Toc32432_WPSOffice_Level2"/>
      <w:bookmarkStart w:id="759" w:name="_Toc12427_WPSOffice_Level2"/>
      <w:bookmarkStart w:id="760" w:name="_Toc7717_WPSOffice_Level2"/>
      <w:bookmarkStart w:id="761" w:name="_Toc408"/>
      <w:bookmarkStart w:id="762" w:name="_Toc4219_WPSOffice_Level2"/>
      <w:bookmarkStart w:id="763" w:name="_Toc5504"/>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.1施工期污染防治措施</w:t>
      </w:r>
      <w:bookmarkEnd w:id="756"/>
      <w:bookmarkEnd w:id="757"/>
      <w:bookmarkEnd w:id="758"/>
      <w:bookmarkEnd w:id="759"/>
      <w:bookmarkEnd w:id="760"/>
      <w:bookmarkEnd w:id="761"/>
      <w:bookmarkEnd w:id="762"/>
      <w:bookmarkEnd w:id="763"/>
    </w:p>
    <w:p w14:paraId="543D3DD1">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24"/>
        </w:rPr>
      </w:pPr>
      <w:bookmarkStart w:id="764" w:name="_Toc22742"/>
      <w:bookmarkStart w:id="765" w:name="_Toc116111721"/>
      <w:bookmarkStart w:id="766" w:name="_Toc7185_WPSOffice_Level2"/>
      <w:bookmarkStart w:id="767" w:name="_Toc5965_WPSOffice_Level2"/>
      <w:bookmarkStart w:id="768" w:name="_Toc27860"/>
      <w:bookmarkStart w:id="769" w:name="_Toc10973_WPSOffice_Level2"/>
      <w:bookmarkStart w:id="770" w:name="_Toc12403_WPSOffice_Level2"/>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.1.1大气污染防治措施</w:t>
      </w:r>
      <w:bookmarkEnd w:id="764"/>
      <w:bookmarkEnd w:id="765"/>
    </w:p>
    <w:p w14:paraId="30C7D8A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码头施工期产生的大气污染物主要为岸坡修整、材料运输，建材装卸等过程产生的扬尘，以及施工船舶、施工机械设备、运输车辆排放的尾气等。为最大限度降低施工期对大气环境的影响，建设单位拟采取如下措施：</w:t>
      </w:r>
    </w:p>
    <w:p w14:paraId="0F249DC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1、施工前先修筑场界围墙或简易围屏，如用瓦楞板或聚丙烯布等在施工区四周建高2.5~3.0m的围障，减少扬尘的逸散。</w:t>
      </w:r>
    </w:p>
    <w:p w14:paraId="7B28AA3D">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建设过程中使用的建筑材料，在装卸、堆放产生少量的粉尘外逸，施工单位必须加强施工区的规划管理。建筑材料尽量不大量的堆存，少量堆存将其置于较为空旷的位置，并进行遮挡，减少物料起尘对周边环境的影响。桩基浇筑采用商品混凝土，不进行现场拌和。</w:t>
      </w:r>
    </w:p>
    <w:p w14:paraId="38DC97E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3、在施工现场和施工车辆运输道路每天应多次撒水，保持工地有一定的湿度。</w:t>
      </w:r>
    </w:p>
    <w:p w14:paraId="178FEF4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施工车辆运输易起尘的物料要加盖蓬布、控制车速，防止物料洒落和产生扬尘；卸车时应尽量减小落差，减少扬尘；进出施工现场车辆将导致地面扬尘，对陆域施工现场及运输道路应定期清扫洒水，保持车辆出入口路面清洁、润湿，以减少施工车辆引起的地面扬尘污染，并尽量要求运输车辆减缓行车速度。施工现场还应铺设临时的施工便道，铺设碎石或细沙，并尽量进行夯实硬化处理，以减少运输车辆轮胎带泥上路和造成二次扬尘。</w:t>
      </w:r>
    </w:p>
    <w:p w14:paraId="1074E47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lang w:eastAsia="zh-CN"/>
        </w:rPr>
        <w:t>5、加强对施工机械、车辆的维修保养，禁止以柴油为燃料的施工机械超负荷工</w:t>
      </w:r>
      <w:r>
        <w:rPr>
          <w:rFonts w:hint="default" w:ascii="Times New Roman" w:hAnsi="Times New Roman" w:eastAsia="宋体" w:cs="Times New Roman"/>
          <w:color w:val="auto"/>
          <w:sz w:val="24"/>
          <w:szCs w:val="24"/>
          <w:u w:val="none"/>
          <w:lang w:eastAsia="zh-CN"/>
        </w:rPr>
        <w:t>作，减少尾气排放。</w:t>
      </w:r>
    </w:p>
    <w:p w14:paraId="1309C9C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因此，以上施工期防治施工扬尘、施工机械设备、车辆燃油废气的措施可以起到防治污染物对拟建项目周边环境空气质量状况的不良影响，在经济、技术上均具有较高的可行性和可操作性。</w:t>
      </w:r>
    </w:p>
    <w:p w14:paraId="10FF93E9">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lang w:eastAsia="zh-CN"/>
        </w:rPr>
      </w:pPr>
      <w:bookmarkStart w:id="771" w:name="_Toc14810"/>
      <w:bookmarkStart w:id="772" w:name="_Toc116111722"/>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.1.2水环境污染防治措施</w:t>
      </w:r>
      <w:bookmarkEnd w:id="771"/>
      <w:bookmarkEnd w:id="772"/>
    </w:p>
    <w:p w14:paraId="7525517C">
      <w:pPr>
        <w:pStyle w:val="54"/>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1、引桥等的钻孔灌注桩施工时在内堤开挖式泥浆池四周设置土堤围堰，围堰高度约0.3m，在溢流口设置土工布，泥浆沉淀池设置雨天遮盖装置，该措施的落实可防止钻孔施工时因降雨而产生的悬浮泥沙对湘江水体的污染影响。</w:t>
      </w:r>
    </w:p>
    <w:p w14:paraId="00B9493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rPr>
        <w:t>、施工船舶舱底油污水应遵守交通部2015年25号令《中华人民共和国防治船舶污染内河水域环境管理规定》</w:t>
      </w:r>
      <w:r>
        <w:rPr>
          <w:rFonts w:hint="eastAsia" w:cs="Times New Roman"/>
          <w:color w:val="auto"/>
          <w:sz w:val="24"/>
          <w:u w:val="none"/>
          <w:lang w:eastAsia="zh-CN"/>
        </w:rPr>
        <w:t>“第十三条：在内河水域航行、停泊和作业的船舶，不得违反法律、行政法规、规范、标准和交通运输部的规定向内河水域排放污染物。不符合排放规定的船舶污染物应当交由港口、码头、装卸站或者有资质的单位接收处理。”</w:t>
      </w:r>
      <w:r>
        <w:rPr>
          <w:rFonts w:hint="default" w:ascii="Times New Roman" w:hAnsi="Times New Roman" w:eastAsia="宋体" w:cs="Times New Roman"/>
          <w:color w:val="auto"/>
          <w:sz w:val="24"/>
          <w:u w:val="none"/>
        </w:rPr>
        <w:t>本码头所在水域属于Ⅲ类水域，不允许排放任何废水，因此项目施工船舶舱底油污水不得在码头所在江段排放，确需排放的由当地海事部门认可的有资质的船舶接收处理。施工期船舶上施工人员生活污水不得在本河段水域排放，陆域施工人员生活污水经化粪池处理后排入市政污水管网。</w:t>
      </w:r>
    </w:p>
    <w:p w14:paraId="2165113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3</w:t>
      </w:r>
      <w:r>
        <w:rPr>
          <w:rFonts w:hint="default" w:ascii="Times New Roman" w:hAnsi="Times New Roman" w:eastAsia="宋体" w:cs="Times New Roman"/>
          <w:color w:val="auto"/>
          <w:u w:val="none"/>
          <w:lang w:eastAsia="zh-CN"/>
        </w:rPr>
        <w:t>、按照航运部门的有关规定，办理水上作业公告，施工船舶悬挂信号标志，保证航运船舶安全及施工船舶作业安全，避免碰撞等交通安全事故发生。</w:t>
      </w:r>
    </w:p>
    <w:p w14:paraId="2AAC83C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4</w:t>
      </w:r>
      <w:r>
        <w:rPr>
          <w:rFonts w:hint="default" w:ascii="Times New Roman" w:hAnsi="Times New Roman" w:eastAsia="宋体" w:cs="Times New Roman"/>
          <w:color w:val="auto"/>
          <w:u w:val="none"/>
          <w:lang w:eastAsia="zh-CN"/>
        </w:rPr>
        <w:t>、为减少施工船舶及设备施工过程中泄漏油污对湘江水体造成污染，施工单位在施工过程中需要在施工水域四周设置围油栏收集泄漏油污，再通过吸油毡清除油污，废油毡交有资质单位处理。</w:t>
      </w:r>
    </w:p>
    <w:p w14:paraId="17D82EE5">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rPr>
      </w:pPr>
      <w:bookmarkStart w:id="773" w:name="_Toc116111723"/>
      <w:bookmarkStart w:id="774" w:name="_Toc5126"/>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.1.3噪声污染防治措施</w:t>
      </w:r>
      <w:bookmarkEnd w:id="773"/>
      <w:bookmarkEnd w:id="774"/>
    </w:p>
    <w:p w14:paraId="47EE144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施工噪声控制措施主要是对施工设备、施工时间和施工人员的控制和管理。</w:t>
      </w:r>
    </w:p>
    <w:p w14:paraId="01B59F00">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eastAsia="zh-CN"/>
        </w:rPr>
      </w:pPr>
      <w:bookmarkStart w:id="775" w:name="_Toc2537"/>
      <w:r>
        <w:rPr>
          <w:rFonts w:hint="default" w:ascii="Times New Roman" w:hAnsi="Times New Roman" w:eastAsia="宋体" w:cs="Times New Roman"/>
          <w:color w:val="auto"/>
          <w:u w:val="none"/>
          <w:lang w:eastAsia="zh-CN"/>
        </w:rPr>
        <w:t>1、降低声源的噪声强度</w:t>
      </w:r>
      <w:bookmarkEnd w:id="775"/>
    </w:p>
    <w:p w14:paraId="14F3F1F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（1）采用低噪声施工机械设备和先进的施工技术是控制施工期噪声有效手段之一，淘汰落后的施工设备；</w:t>
      </w:r>
    </w:p>
    <w:p w14:paraId="539F981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（2）对有固定基座的设备应作单独地基处理，以减少地面振动与结构噪声的传递；</w:t>
      </w:r>
    </w:p>
    <w:p w14:paraId="054DDC86">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（3）模板、脚手架支拆时，应做到轻拿轻放，严禁抛掷；</w:t>
      </w:r>
    </w:p>
    <w:p w14:paraId="1B08CAB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（4）对机械设备进行定期维修，使其保持良好的运行工况，严禁带故障工作造成噪声排放超标。</w:t>
      </w:r>
    </w:p>
    <w:p w14:paraId="41C0BF1D">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eastAsia="zh-CN"/>
        </w:rPr>
      </w:pPr>
      <w:bookmarkStart w:id="776" w:name="_Toc8401"/>
      <w:r>
        <w:rPr>
          <w:rFonts w:hint="default" w:ascii="Times New Roman" w:hAnsi="Times New Roman" w:eastAsia="宋体" w:cs="Times New Roman"/>
          <w:color w:val="auto"/>
          <w:u w:val="none"/>
          <w:lang w:eastAsia="zh-CN"/>
        </w:rPr>
        <w:t>2、传播途径降噪措施</w:t>
      </w:r>
      <w:bookmarkEnd w:id="776"/>
    </w:p>
    <w:p w14:paraId="6E875C38">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（1）项目施工现场四周应当设置高度不低于2m的围挡，围挡可以当作声屏障，从而降低施工噪声对厂界外敏感点的影响；</w:t>
      </w:r>
    </w:p>
    <w:p w14:paraId="41E5BC0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（2）对各施工环节中噪声较为突出且又难以对声源进行降噪可能的设备装置，应采取临时围障措施，围障最好敷以吸声材料，以此达到降噪效果。</w:t>
      </w:r>
    </w:p>
    <w:p w14:paraId="01391668">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eastAsia="zh-CN"/>
        </w:rPr>
      </w:pPr>
      <w:bookmarkStart w:id="777" w:name="_Toc14447"/>
      <w:r>
        <w:rPr>
          <w:rFonts w:hint="default" w:ascii="Times New Roman" w:hAnsi="Times New Roman" w:eastAsia="宋体" w:cs="Times New Roman"/>
          <w:color w:val="auto"/>
          <w:u w:val="none"/>
          <w:lang w:eastAsia="zh-CN"/>
        </w:rPr>
        <w:t>3、其他措施和建议</w:t>
      </w:r>
      <w:bookmarkEnd w:id="777"/>
    </w:p>
    <w:p w14:paraId="1AF9F66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（1）设立项目施工环境影响监督公告牌，在建筑围墙的醒目处明确标明：施工环境影响的投诉方式及联系电话（包括建设单位责任人及施工监查责任人等），让公众随时监督项目施工过程；</w:t>
      </w:r>
    </w:p>
    <w:p w14:paraId="5CD31D3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2）对交通车辆及施工船舶造成的噪声影响要加强管理，运输车辆及船舶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14:paraId="1007498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通过采取以上噪声污染防控措施，建设单位可将噪声污染对周边声环境质量的影响控制在最低水平，噪声污染防治措施从经济、技术方面来说具有可行性。</w:t>
      </w:r>
    </w:p>
    <w:p w14:paraId="09F556E6">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rPr>
      </w:pPr>
      <w:bookmarkStart w:id="778" w:name="_Toc14732"/>
      <w:bookmarkStart w:id="779" w:name="_Toc116111724"/>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.1.4固体废物污染防治措施</w:t>
      </w:r>
      <w:bookmarkEnd w:id="778"/>
      <w:bookmarkEnd w:id="779"/>
    </w:p>
    <w:p w14:paraId="0D200BF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施工期陆域生活垃圾拟由环卫部门收集处理，船舶生活垃圾由施工单位负责交具有专业资质的接收船接收处理。建筑垃圾中根据情况尽量回收利用，以降低成本并减少其发生量。</w:t>
      </w:r>
    </w:p>
    <w:p w14:paraId="2042B29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施工结束后，施工场地应及时平整，清场要彻底。</w:t>
      </w:r>
    </w:p>
    <w:p w14:paraId="3C103AB4">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rPr>
      </w:pPr>
      <w:bookmarkStart w:id="780" w:name="_Toc27082"/>
      <w:bookmarkStart w:id="781" w:name="_Toc116111725"/>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.1.5生态保护措施</w:t>
      </w:r>
      <w:bookmarkEnd w:id="780"/>
      <w:bookmarkEnd w:id="781"/>
    </w:p>
    <w:p w14:paraId="4555038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eastAsia="zh-CN"/>
        </w:rPr>
        <w:t>本项目施工期对湘江生态环境的影响主要为码头建造时，施工作业产生的悬浮泥沙、施工船只以及其它施工机械排放的油污水、生活污水对湘江水生生态造成一定程度的污染。施工过程中施工区域及邻近江段中的鱼类将受到惊吓而远离施工现场。</w:t>
      </w:r>
    </w:p>
    <w:p w14:paraId="2CDF62E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本项目施工期拟采取的生态保护措施如下：</w:t>
      </w:r>
    </w:p>
    <w:p w14:paraId="3798E67E">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（1）在工程区域应设置宣传和安全警示标牌，明示非施工人员等相关人员不得进入施工区域。</w:t>
      </w:r>
    </w:p>
    <w:p w14:paraId="06CADB3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u w:val="none"/>
          <w:lang w:eastAsia="zh-CN"/>
        </w:rPr>
        <w:t>（2）制定工程施工管理规程和配套规章制度，</w:t>
      </w:r>
      <w:r>
        <w:rPr>
          <w:rFonts w:hint="default" w:ascii="Times New Roman" w:hAnsi="Times New Roman" w:eastAsia="宋体" w:cs="Times New Roman"/>
          <w:color w:val="auto"/>
          <w:u w:val="none"/>
          <w:lang w:val="en-US" w:eastAsia="zh-CN"/>
        </w:rPr>
        <w:t>加强资源环境保护意识宣传。施工期间，以公告、宣传单、板报和会议等形式，加强对施工人员的环境保护宣</w:t>
      </w:r>
      <w:r>
        <w:rPr>
          <w:rFonts w:hint="default" w:ascii="Times New Roman" w:hAnsi="Times New Roman" w:eastAsia="宋体" w:cs="Times New Roman"/>
          <w:color w:val="auto"/>
          <w:sz w:val="24"/>
          <w:szCs w:val="24"/>
          <w:u w:val="none"/>
          <w:lang w:val="en-US" w:eastAsia="zh-CN"/>
        </w:rPr>
        <w:t>传教育和长江江豚、保护野生鱼类常识的宣传，提高施工人员的环境保护意识，使其在施工中能自觉保护生态环境及珍稀水生物种，并遵守相关的生态保护规定；严禁在施工河段进行捕鱼或从事其它有碍生态环境保护的活动，施工期间聘请专业人员担任现场监督和监控工作，如发现重点保护水生生物接近施工区域，应停止施工，并及时对其进行监控和保护</w:t>
      </w:r>
      <w:r>
        <w:rPr>
          <w:rFonts w:hint="default" w:ascii="Times New Roman" w:hAnsi="Times New Roman" w:eastAsia="宋体" w:cs="Times New Roman"/>
          <w:color w:val="auto"/>
          <w:sz w:val="24"/>
          <w:szCs w:val="24"/>
          <w:u w:val="none"/>
          <w:lang w:eastAsia="zh-CN"/>
        </w:rPr>
        <w:t>。</w:t>
      </w:r>
    </w:p>
    <w:p w14:paraId="6103B8C9">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（3）加强施工区域河段渔业资源管理和鱼类资源繁殖的保护，尤其是分布在施工区域附近的所有保护、经济鱼类及其他水生动物。</w:t>
      </w:r>
    </w:p>
    <w:p w14:paraId="6829F04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（4）施工期水下施工应合理安排施工进度，最大限度地控制水下施工作业对底泥的搅动范围和强度，减少悬浮泥砂的产生量。</w:t>
      </w:r>
    </w:p>
    <w:p w14:paraId="7472265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5）施工现场应建立临时排水体系和临时污水收集系统，使施工废水有序排放。临时污水收集系统采用沉淀法处理，对含悬浮物较高的废水处理率可达85%左右，可加入混凝剂进行混凝沉淀，SS去除率可达到90%以上，沉淀后用于施工现场抑尘洒水。</w:t>
      </w:r>
    </w:p>
    <w:p w14:paraId="3A011E1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（6）施工人员应充分利用后方厂区卫生间，生活污水禁止排入湘江。施工人员的生活垃圾全部进行回收，集中送到岸上，统一处理。</w:t>
      </w:r>
    </w:p>
    <w:p w14:paraId="7257327B">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szCs w:val="24"/>
          <w:u w:val="none"/>
          <w:lang w:eastAsia="zh-CN"/>
        </w:rPr>
        <w:t>（7）</w:t>
      </w:r>
      <w:r>
        <w:rPr>
          <w:rFonts w:hint="default" w:ascii="Times New Roman" w:hAnsi="Times New Roman" w:eastAsia="宋体" w:cs="Times New Roman"/>
          <w:color w:val="auto"/>
          <w:sz w:val="24"/>
          <w:szCs w:val="24"/>
          <w:u w:val="none"/>
          <w:lang w:bidi="en-US"/>
        </w:rPr>
        <w:t>洞庭湖湖区绝大多数经济鱼类</w:t>
      </w:r>
      <w:r>
        <w:rPr>
          <w:rFonts w:hint="default" w:ascii="Times New Roman" w:hAnsi="Times New Roman" w:eastAsia="宋体" w:cs="Times New Roman"/>
          <w:color w:val="auto"/>
          <w:sz w:val="24"/>
          <w:szCs w:val="24"/>
          <w:u w:val="none"/>
          <w:lang w:val="en-US"/>
        </w:rPr>
        <w:t>繁殖期集中在每年3～8月间。鱼类繁殖期正是长江江豚育肥的关键时期。施工期应避开鱼类繁殖期，以减小工程建设造成长江江豚饵料的损失，以及对长江江豚索饵洄游的影响。</w:t>
      </w:r>
      <w:r>
        <w:rPr>
          <w:rFonts w:hint="default" w:ascii="Times New Roman" w:hAnsi="Times New Roman" w:eastAsia="宋体" w:cs="Times New Roman"/>
          <w:color w:val="auto"/>
          <w:sz w:val="24"/>
          <w:szCs w:val="24"/>
          <w:u w:val="none"/>
          <w:lang w:val="en-US" w:eastAsia="zh-CN"/>
        </w:rPr>
        <w:t>本</w:t>
      </w:r>
      <w:r>
        <w:rPr>
          <w:rFonts w:hint="default" w:ascii="Times New Roman" w:hAnsi="Times New Roman" w:eastAsia="宋体" w:cs="Times New Roman"/>
          <w:color w:val="auto"/>
          <w:sz w:val="24"/>
          <w:szCs w:val="24"/>
          <w:u w:val="none"/>
          <w:lang w:val="en-US"/>
        </w:rPr>
        <w:t>提质改造工程施工进度为</w:t>
      </w:r>
      <w:r>
        <w:rPr>
          <w:rFonts w:hint="default" w:ascii="Times New Roman" w:hAnsi="Times New Roman" w:eastAsia="宋体" w:cs="Times New Roman"/>
          <w:color w:val="auto"/>
          <w:sz w:val="24"/>
          <w:szCs w:val="24"/>
          <w:u w:val="none"/>
          <w:lang w:val="en-US" w:eastAsia="zh-CN"/>
        </w:rPr>
        <w:t>6</w:t>
      </w:r>
      <w:r>
        <w:rPr>
          <w:rFonts w:hint="default" w:ascii="Times New Roman" w:hAnsi="Times New Roman" w:eastAsia="宋体" w:cs="Times New Roman"/>
          <w:color w:val="auto"/>
          <w:sz w:val="24"/>
          <w:szCs w:val="24"/>
          <w:u w:val="none"/>
          <w:lang w:val="en-US"/>
        </w:rPr>
        <w:t>个月，建议施工期于枯水期进行。</w:t>
      </w:r>
    </w:p>
    <w:p w14:paraId="22D89DBD">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782" w:name="_Toc116111726"/>
      <w:bookmarkStart w:id="783" w:name="_Toc32717"/>
      <w:bookmarkStart w:id="784" w:name="_Toc1250"/>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.2营运期污染防治措施</w:t>
      </w:r>
      <w:bookmarkEnd w:id="782"/>
      <w:bookmarkEnd w:id="783"/>
      <w:bookmarkEnd w:id="784"/>
    </w:p>
    <w:p w14:paraId="718759D1">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24"/>
        </w:rPr>
      </w:pPr>
      <w:bookmarkStart w:id="785" w:name="_Toc116111727"/>
      <w:bookmarkStart w:id="786" w:name="_Toc28154"/>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.2.1营运期大气污染防治措施</w:t>
      </w:r>
      <w:bookmarkEnd w:id="785"/>
      <w:bookmarkEnd w:id="786"/>
    </w:p>
    <w:p w14:paraId="48AAB7E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本项目为渔政综合执法码头，主要大气污染物为趸船配套厨房产生的油烟，通过油烟净化设施进行处理。</w:t>
      </w:r>
    </w:p>
    <w:p w14:paraId="48C0AF16">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同时，本项目运营过程中产生的</w:t>
      </w:r>
      <w:r>
        <w:rPr>
          <w:rFonts w:hint="default" w:ascii="Times New Roman" w:hAnsi="Times New Roman" w:eastAsia="宋体" w:cs="Times New Roman"/>
          <w:color w:val="auto"/>
          <w:lang w:eastAsia="zh-CN"/>
        </w:rPr>
        <w:t>汽车、船舶尾气及少量运输车辆行驶扬尘等，均属于无组织排放。</w:t>
      </w:r>
      <w:r>
        <w:rPr>
          <w:rFonts w:hint="default" w:ascii="Times New Roman" w:hAnsi="Times New Roman" w:eastAsia="宋体" w:cs="Times New Roman"/>
          <w:color w:val="auto"/>
          <w:lang w:val="en-US" w:eastAsia="zh-CN"/>
        </w:rPr>
        <w:t>本项目码头靠泊的工作船使用柴油作为燃料，靠港作业的船舶大部分处于主机停运状态，耗油较少，只有在靠岸离港的时候才会发动，所以燃油排放的废气量很少，同时船舶废气排放源具有间歇性和流动性，且污染物为露天排放，有利于空气的扩散，污染物经大气扩散和稀释后，对局部地区的环境影响较小。建议工作船舶靠港后优先使用岸电，到港船舶立即接驳岸电，采用高品质的柴油，减少大气污染</w:t>
      </w:r>
      <w:r>
        <w:rPr>
          <w:rFonts w:hint="eastAsia" w:cs="Times New Roman"/>
          <w:color w:val="auto"/>
          <w:lang w:val="en-US" w:eastAsia="zh-CN"/>
        </w:rPr>
        <w:t>。</w:t>
      </w:r>
    </w:p>
    <w:p w14:paraId="42074958">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拟采取的污染防治措施如下：</w:t>
      </w:r>
    </w:p>
    <w:p w14:paraId="4ECCFF46">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w:t>
      </w:r>
      <w:r>
        <w:rPr>
          <w:rFonts w:hint="default" w:ascii="Times New Roman" w:hAnsi="Times New Roman" w:eastAsia="宋体" w:cs="Times New Roman"/>
          <w:color w:val="auto"/>
        </w:rPr>
        <w:t>对码头作业区路面每天清扫。</w:t>
      </w:r>
    </w:p>
    <w:p w14:paraId="1F28CA5F">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w:t>
      </w:r>
      <w:r>
        <w:rPr>
          <w:rFonts w:hint="default" w:ascii="Times New Roman" w:hAnsi="Times New Roman" w:eastAsia="宋体" w:cs="Times New Roman"/>
          <w:color w:val="auto"/>
        </w:rPr>
        <w:t>做好码头绿化，</w:t>
      </w:r>
      <w:r>
        <w:rPr>
          <w:rFonts w:hint="default" w:ascii="Times New Roman" w:hAnsi="Times New Roman" w:eastAsia="宋体" w:cs="Times New Roman"/>
          <w:color w:val="auto"/>
          <w:lang w:eastAsia="zh-CN"/>
        </w:rPr>
        <w:t>维持</w:t>
      </w:r>
      <w:r>
        <w:rPr>
          <w:rFonts w:hint="default" w:ascii="Times New Roman" w:hAnsi="Times New Roman" w:eastAsia="宋体" w:cs="Times New Roman"/>
          <w:color w:val="auto"/>
        </w:rPr>
        <w:t>现有河滩绿化带</w:t>
      </w:r>
      <w:r>
        <w:rPr>
          <w:rFonts w:hint="default" w:ascii="Times New Roman" w:hAnsi="Times New Roman" w:eastAsia="宋体" w:cs="Times New Roman"/>
          <w:color w:val="auto"/>
          <w:lang w:eastAsia="zh-CN"/>
        </w:rPr>
        <w:t>。</w:t>
      </w:r>
    </w:p>
    <w:p w14:paraId="539045B3">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w:t>
      </w:r>
      <w:r>
        <w:rPr>
          <w:rFonts w:hint="default" w:ascii="Times New Roman" w:hAnsi="Times New Roman" w:eastAsia="宋体" w:cs="Times New Roman"/>
          <w:color w:val="auto"/>
        </w:rPr>
        <w:t>本项目码头配备岸电设施，可代替大容量的船上柴油发电机。岸电使用期间，船舶应关闭所有主辅机，使用电力对船上部分动力设备、全部的照明设备、通信设备、控制设备等进行供电，以保障船舶停港期间的正常运行和对船舶排放废气的有效控制</w:t>
      </w:r>
      <w:r>
        <w:rPr>
          <w:rFonts w:hint="default" w:ascii="Times New Roman" w:hAnsi="Times New Roman" w:eastAsia="宋体" w:cs="Times New Roman"/>
          <w:color w:val="auto"/>
          <w:lang w:eastAsia="zh-CN"/>
        </w:rPr>
        <w:t>。</w:t>
      </w:r>
    </w:p>
    <w:p w14:paraId="75FB3F41">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w:t>
      </w:r>
      <w:r>
        <w:rPr>
          <w:rFonts w:hint="default" w:ascii="Times New Roman" w:hAnsi="Times New Roman" w:eastAsia="宋体" w:cs="Times New Roman"/>
          <w:color w:val="auto"/>
          <w:lang w:val="en-US" w:eastAsia="zh-CN"/>
        </w:rPr>
        <w:t>对于运输车辆，建议使用催化燃烧净化过滤器和无铅化、环保型燃料，降低尾气排放浓度</w:t>
      </w:r>
      <w:r>
        <w:rPr>
          <w:rFonts w:hint="default" w:ascii="Times New Roman" w:hAnsi="Times New Roman" w:eastAsia="宋体" w:cs="Times New Roman"/>
          <w:color w:val="auto"/>
        </w:rPr>
        <w:t>。</w:t>
      </w:r>
    </w:p>
    <w:p w14:paraId="0EAAD193">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对于趸船产生的油烟废气，需在趸船安装市面上合格的油烟净化设施对其进行处理，经处理后的尾气经趸船二楼排气筒外排。</w:t>
      </w:r>
    </w:p>
    <w:p w14:paraId="6B3CC190">
      <w:pPr>
        <w:pStyle w:val="38"/>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上述措施均是目前国内外货运码头成熟可靠的抑尘措施，处理效果长期稳定。根据工程核算，各污染物排放均可满足相应的排放标准，可认为本项目运营期废气影响很小，从技术角度而言，本项目运营期大气污染防治措施是可行的。</w:t>
      </w:r>
    </w:p>
    <w:p w14:paraId="1BC5F564">
      <w:pPr>
        <w:pStyle w:val="9"/>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lang w:eastAsia="zh-CN"/>
        </w:rPr>
      </w:pPr>
      <w:bookmarkStart w:id="787" w:name="_Toc116111728"/>
      <w:bookmarkStart w:id="788" w:name="_Toc25990"/>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.2.2营运期废水污染防治措施</w:t>
      </w:r>
      <w:bookmarkEnd w:id="787"/>
      <w:bookmarkEnd w:id="788"/>
    </w:p>
    <w:p w14:paraId="1BB8074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本项目产生的废水主要为船舶废水（船舶舱底油污水、船舶生活污水）以及</w:t>
      </w:r>
      <w:r>
        <w:rPr>
          <w:rFonts w:hint="default" w:ascii="Times New Roman" w:hAnsi="Times New Roman" w:eastAsia="宋体" w:cs="Times New Roman"/>
          <w:color w:val="auto"/>
          <w:u w:val="none"/>
          <w:lang w:val="en-US" w:eastAsia="zh-CN"/>
        </w:rPr>
        <w:t>趸船</w:t>
      </w:r>
      <w:r>
        <w:rPr>
          <w:rFonts w:hint="default" w:ascii="Times New Roman" w:hAnsi="Times New Roman" w:eastAsia="宋体" w:cs="Times New Roman"/>
          <w:color w:val="auto"/>
          <w:u w:val="none"/>
        </w:rPr>
        <w:t>员工生活污水。</w:t>
      </w:r>
    </w:p>
    <w:p w14:paraId="27EA0A27">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val="en-US" w:eastAsia="zh-CN"/>
        </w:rPr>
      </w:pPr>
      <w:bookmarkStart w:id="789" w:name="_Toc26820"/>
      <w:r>
        <w:rPr>
          <w:rFonts w:hint="default" w:ascii="Times New Roman" w:hAnsi="Times New Roman" w:eastAsia="宋体" w:cs="Times New Roman"/>
          <w:color w:val="auto"/>
          <w:u w:val="none"/>
          <w:lang w:val="en-US" w:eastAsia="zh-CN"/>
        </w:rPr>
        <w:t>1、</w:t>
      </w:r>
      <w:r>
        <w:rPr>
          <w:rFonts w:hint="default" w:ascii="Times New Roman" w:hAnsi="Times New Roman" w:eastAsia="宋体" w:cs="Times New Roman"/>
          <w:color w:val="auto"/>
          <w:u w:val="none"/>
        </w:rPr>
        <w:t>船舶舱底油污水</w:t>
      </w:r>
      <w:bookmarkEnd w:id="789"/>
    </w:p>
    <w:p w14:paraId="2DB6DD22">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营运期到港船舶的舱底油污水主要污染物为石油类。根据《中华人民共和国防止船舶污染内河水域环境管理规定》和《船舶水污染物排放标准》（GB3552-83）的规定，船舶不仅要设置油污储存舱和装设油水分离设备，还应装有排油监控装置和标准排放接头。根据国际海事组织有关公约规定船舶的污水不能在码头区域排放。根据《船舶与港口污染防治专项行动实施方案（2015-2020年）》：内河港口、码头、装卸站（以下简称港口）、船舶修造厂分别于2017年底前和2020年底前具备船舶含油污水、化学品洗舱水、生活污水和垃圾等接收能力，并做好与城市市政公共处理设施的衔接，全面实现船舶污染物按规定处置。到港船舶本身应配有处理机舱油污水的船用油水分离器，经处理后含油量应小于15mg/L，不得在码头所在江段排放舱底油污水，确需排放的由有资质的船舶污物接收船进行回收，交由有资质单位进行处理。本项目到港</w:t>
      </w:r>
      <w:r>
        <w:rPr>
          <w:rFonts w:hint="default" w:ascii="Times New Roman" w:hAnsi="Times New Roman" w:eastAsia="宋体" w:cs="Times New Roman"/>
          <w:color w:val="auto"/>
          <w:spacing w:val="4"/>
          <w:u w:val="none"/>
          <w:lang w:val="en-US" w:eastAsia="zh-CN"/>
        </w:rPr>
        <w:t>船舶含油废水由趸船含油污水箱收集后由具有专业资质的接收船接收</w:t>
      </w:r>
      <w:r>
        <w:rPr>
          <w:rFonts w:hint="default" w:ascii="Times New Roman" w:hAnsi="Times New Roman" w:eastAsia="宋体" w:cs="Times New Roman"/>
          <w:color w:val="auto"/>
          <w:u w:val="none"/>
          <w:lang w:eastAsia="zh-CN"/>
        </w:rPr>
        <w:t>。</w:t>
      </w:r>
    </w:p>
    <w:p w14:paraId="73F719F6">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val="en-US" w:eastAsia="zh-CN"/>
        </w:rPr>
      </w:pPr>
      <w:bookmarkStart w:id="790" w:name="_Toc3493"/>
      <w:r>
        <w:rPr>
          <w:rFonts w:hint="default" w:ascii="Times New Roman" w:hAnsi="Times New Roman" w:eastAsia="宋体" w:cs="Times New Roman"/>
          <w:color w:val="auto"/>
          <w:u w:val="none"/>
          <w:lang w:val="en-US" w:eastAsia="zh-CN"/>
        </w:rPr>
        <w:t>2、船舶生活污水</w:t>
      </w:r>
    </w:p>
    <w:p w14:paraId="485B7BF0">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本项目船舶生活污水禁止直接向水域排放生活污水，</w:t>
      </w:r>
      <w:r>
        <w:rPr>
          <w:rFonts w:hint="default" w:ascii="Times New Roman" w:hAnsi="Times New Roman" w:eastAsia="宋体" w:cs="Times New Roman"/>
          <w:color w:val="auto"/>
          <w:szCs w:val="21"/>
          <w:u w:val="none"/>
        </w:rPr>
        <w:t>到港船舶生活污水本项目到港船舶含油废水由趸船含油污水箱收集后由具有专业资质的接收船接收</w:t>
      </w:r>
      <w:r>
        <w:rPr>
          <w:rFonts w:hint="default" w:ascii="Times New Roman" w:hAnsi="Times New Roman" w:eastAsia="宋体" w:cs="Times New Roman"/>
          <w:color w:val="auto"/>
          <w:u w:val="none"/>
          <w:lang w:val="en-US"/>
        </w:rPr>
        <w:t>。</w:t>
      </w:r>
      <w:r>
        <w:rPr>
          <w:rFonts w:hint="default" w:ascii="Times New Roman" w:hAnsi="Times New Roman" w:eastAsia="宋体" w:cs="Times New Roman"/>
          <w:color w:val="auto"/>
          <w:u w:val="none"/>
          <w:lang w:val="en-US" w:eastAsia="zh-CN"/>
        </w:rPr>
        <w:t>此外，项目建设单位应加强与港监部门的配合，积极做好到港船舶的环保监管工作，严禁向湘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跑、冒、滴、漏”现象，也有利于污水量的最少化。为保证到港船舶污染物不污染码头水域，建议在码头前沿醒目处设置严禁排污的警示牌和标明污染物回收站点的指示牌，并加强与岳阳地方海事部门的沟通与协调，加强本码头水域的监管和巡査。</w:t>
      </w:r>
    </w:p>
    <w:bookmarkEnd w:id="790"/>
    <w:p w14:paraId="1CD11FA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此外，项目建设单位应加强与港监部门的配合，积极做好到港船舶的环保监管工作，严禁向湘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跑、冒、滴、漏”现象，也有利于污水量的最少化。为保证到港船舶污染物不污染码头水域，建议在码头前沿醒目处设置严禁排污的警示牌和标明污染物回收站点的指示牌，并加强与岳阳地方海事部门的沟通与协调，加强本码头水域的监管和巡査。</w:t>
      </w:r>
    </w:p>
    <w:p w14:paraId="27E337B0">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水污染防治行动计划》（2015）指出：加强船舶港口污染控制，积极治理船舶污染，依法强制报废超过使用年限的船舶。分类分级修订船舶及其设施、设备的相关环保标准。2018年起投入使用的沿海船舶、2021年起投入使用的内河船舶执行新的标准；其他船舶于2020年底前完成改造，经改造仍不能达到要求的，限期予以淘汰。航行于我国水域的国际航线船舶，要实施压载水交换或安装压载水灭活处理系统。规范拆船行为，禁止冲滩拆解。</w:t>
      </w:r>
    </w:p>
    <w:p w14:paraId="3EC382A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增强港口码头污染防治能力。编制实施全国港口、码头、装卸站污染防治方案。加快垃圾接收、转运及处理处置设施建设，提高含油污水接收处置能力及污染事故应急能力。位于沿海和内河的港口、码头、装卸站及船舶修造厂，分别于2017年底前和2020年底前达到建设要求。港口、码头、装卸站的经营人应制定防治船舶及其有关活动污染水环境的应急计划。</w:t>
      </w:r>
    </w:p>
    <w:p w14:paraId="4862F8C2">
      <w:pPr>
        <w:pStyle w:val="38"/>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u w:val="none"/>
          <w:lang w:val="en-US" w:eastAsia="zh-CN"/>
        </w:rPr>
      </w:pPr>
      <w:bookmarkStart w:id="791" w:name="_Toc27410"/>
      <w:r>
        <w:rPr>
          <w:rFonts w:hint="default" w:ascii="Times New Roman" w:hAnsi="Times New Roman" w:eastAsia="宋体" w:cs="Times New Roman"/>
          <w:color w:val="auto"/>
          <w:u w:val="none"/>
          <w:lang w:val="en-US" w:eastAsia="zh-CN"/>
        </w:rPr>
        <w:t>3、码头员工生活污水</w:t>
      </w:r>
      <w:bookmarkEnd w:id="791"/>
    </w:p>
    <w:p w14:paraId="57AF723B">
      <w:pPr>
        <w:pStyle w:val="54"/>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本项目码头员工生活污水主要污染物为COD</w:t>
      </w:r>
      <w:r>
        <w:rPr>
          <w:rFonts w:hint="default" w:ascii="Times New Roman" w:hAnsi="Times New Roman" w:eastAsia="宋体" w:cs="Times New Roman"/>
          <w:color w:val="auto"/>
          <w:u w:val="none"/>
          <w:vertAlign w:val="subscript"/>
          <w:lang w:val="en-US" w:eastAsia="zh-CN"/>
        </w:rPr>
        <w:t>Cr</w:t>
      </w:r>
      <w:r>
        <w:rPr>
          <w:rFonts w:hint="default" w:ascii="Times New Roman" w:hAnsi="Times New Roman" w:eastAsia="宋体" w:cs="Times New Roman"/>
          <w:color w:val="auto"/>
          <w:u w:val="none"/>
          <w:lang w:val="en-US" w:eastAsia="zh-CN"/>
        </w:rPr>
        <w:t>、SS、氨氮等，</w:t>
      </w:r>
      <w:r>
        <w:rPr>
          <w:rFonts w:hint="default" w:ascii="Times New Roman" w:hAnsi="Times New Roman" w:eastAsia="宋体" w:cs="Times New Roman"/>
          <w:color w:val="auto"/>
          <w:szCs w:val="21"/>
          <w:u w:val="none"/>
        </w:rPr>
        <w:t>经趸船生活污水箱收集处理达《污水综合排放标准》（GB8978-1996）中表4三级标准后接入</w:t>
      </w:r>
      <w:r>
        <w:rPr>
          <w:rFonts w:hint="default" w:ascii="Times New Roman" w:hAnsi="Times New Roman" w:eastAsia="宋体" w:cs="Times New Roman"/>
          <w:color w:val="auto"/>
          <w:szCs w:val="21"/>
          <w:u w:val="none"/>
          <w:lang w:val="en-US" w:eastAsia="zh-CN"/>
        </w:rPr>
        <w:t>趸船污水处理系统处理后作为林地灌溉水回用</w:t>
      </w:r>
      <w:r>
        <w:rPr>
          <w:rFonts w:hint="default" w:ascii="Times New Roman" w:hAnsi="Times New Roman" w:eastAsia="宋体" w:cs="Times New Roman"/>
          <w:color w:val="auto"/>
          <w:u w:val="none"/>
          <w:lang w:val="en-US"/>
        </w:rPr>
        <w:t>。</w:t>
      </w:r>
    </w:p>
    <w:p w14:paraId="64AE8468">
      <w:pPr>
        <w:pStyle w:val="54"/>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位于岳阳县鹿角镇，根据区域规划，鹿角镇未建设有污水处理厂，目前，镇区靠近岳阳县部分建设有污水管道，该部分区域生活污水可进入县污水处理厂进行处理。其余镇区，包括绝大部分农村区域生活污水经化粪池预处理后作为周边林地灌溉水回用。本项目所在区域未建设有污水管网，因此区域生活污水经化粪池预处理后均作为林地灌溉水回用。本项目为码头提质改造项目，目前，码头运营带来的污水均直接进入区域林地作为灌溉水回用，本项目提质改造后，新增趸船设置污水预处理系统，将对该部分污水进行收集预处理，经预处理后的污水较改造前水质较好，仍可作为林地灌溉水回用。</w:t>
      </w:r>
    </w:p>
    <w:p w14:paraId="2CAFEE33">
      <w:pPr>
        <w:pStyle w:val="54"/>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综上所述，本项目污水处理的方式是合理、可行的。</w:t>
      </w:r>
    </w:p>
    <w:p w14:paraId="06F94C83">
      <w:pPr>
        <w:pStyle w:val="9"/>
        <w:pageBreakBefore w:val="0"/>
        <w:widowControl w:val="0"/>
        <w:kinsoku/>
        <w:wordWrap/>
        <w:overflowPunct/>
        <w:topLinePunct w:val="0"/>
        <w:autoSpaceDE/>
        <w:autoSpaceDN/>
        <w:bidi w:val="0"/>
        <w:spacing w:before="0" w:after="0" w:line="360" w:lineRule="auto"/>
        <w:textAlignment w:val="auto"/>
        <w:rPr>
          <w:rStyle w:val="55"/>
          <w:rFonts w:hint="default" w:ascii="Times New Roman" w:hAnsi="Times New Roman" w:eastAsia="宋体" w:cs="Times New Roman"/>
          <w:color w:val="auto"/>
          <w:sz w:val="24"/>
          <w:szCs w:val="32"/>
          <w:u w:val="none"/>
        </w:rPr>
      </w:pPr>
      <w:bookmarkStart w:id="792" w:name="_Toc116111729"/>
      <w:bookmarkStart w:id="793" w:name="_Toc158"/>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.2.3营运期噪声防治措施</w:t>
      </w:r>
      <w:bookmarkEnd w:id="792"/>
      <w:bookmarkEnd w:id="793"/>
    </w:p>
    <w:p w14:paraId="7F035D81">
      <w:pPr>
        <w:pStyle w:val="3"/>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营运期噪声源主要为装卸运输机械设备、到港船舶、运输车辆，噪声源强约在75-</w:t>
      </w:r>
      <w:r>
        <w:rPr>
          <w:rFonts w:hint="default" w:ascii="Times New Roman" w:hAnsi="Times New Roman" w:eastAsia="宋体" w:cs="Times New Roman"/>
          <w:color w:val="auto"/>
          <w:sz w:val="24"/>
          <w:szCs w:val="24"/>
          <w:u w:val="none"/>
          <w:lang w:val="en-US" w:eastAsia="zh-CN"/>
        </w:rPr>
        <w:t>85</w:t>
      </w:r>
      <w:r>
        <w:rPr>
          <w:rFonts w:hint="default" w:ascii="Times New Roman" w:hAnsi="Times New Roman" w:eastAsia="宋体" w:cs="Times New Roman"/>
          <w:color w:val="auto"/>
          <w:sz w:val="24"/>
          <w:szCs w:val="24"/>
          <w:u w:val="none"/>
        </w:rPr>
        <w:t>dB之间，船舶鸣笛等突发噪声可超过100dB。拟采取的污染防治措施如下：</w:t>
      </w:r>
    </w:p>
    <w:p w14:paraId="21673CFB">
      <w:pPr>
        <w:pStyle w:val="3"/>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（1）选用低噪声机械设备。</w:t>
      </w:r>
    </w:p>
    <w:p w14:paraId="7F39CF9D">
      <w:pPr>
        <w:pStyle w:val="3"/>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（2）进出港船舶在靠泊、离泊、调头作业时采取号旗、号灯、无线电通信方式传递信号，尽量减少鸣笛。码头前沿设置禁止鸣笛标志。</w:t>
      </w:r>
    </w:p>
    <w:p w14:paraId="7FDAF080">
      <w:pPr>
        <w:pStyle w:val="3"/>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（3）加强各种机械设备、车辆的维修保养，减少因机械磨损而增加的噪声，并并负责对工作人员进行培训，严格按操作规范使用各类机械。</w:t>
      </w:r>
    </w:p>
    <w:p w14:paraId="1667857E">
      <w:pPr>
        <w:pStyle w:val="3"/>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u w:val="none"/>
        </w:rPr>
        <w:t>通过采取上述治理措施后，可确保所有场界噪声排放均达到《工业企业厂界环境噪声排放标准》（GB12348-2008）相应的4类标准要求。噪声治理措施容易实施，所</w:t>
      </w:r>
      <w:r>
        <w:rPr>
          <w:rFonts w:hint="default" w:ascii="Times New Roman" w:hAnsi="Times New Roman" w:eastAsia="宋体" w:cs="Times New Roman"/>
          <w:color w:val="auto"/>
          <w:sz w:val="24"/>
          <w:szCs w:val="24"/>
          <w:u w:val="none"/>
        </w:rPr>
        <w:t>需费用较少，在经济上是可行的，其防治措施可行。</w:t>
      </w:r>
    </w:p>
    <w:p w14:paraId="27AC51EF">
      <w:pPr>
        <w:pStyle w:val="9"/>
        <w:keepNext/>
        <w:keepLines/>
        <w:pageBreakBefore w:val="0"/>
        <w:widowControl w:val="0"/>
        <w:kinsoku/>
        <w:wordWrap/>
        <w:overflowPunct/>
        <w:topLinePunct w:val="0"/>
        <w:autoSpaceDE/>
        <w:autoSpaceDN/>
        <w:bidi w:val="0"/>
        <w:adjustRightInd/>
        <w:snapToGrid/>
        <w:spacing w:before="0" w:after="0" w:line="360" w:lineRule="auto"/>
        <w:textAlignment w:val="auto"/>
        <w:rPr>
          <w:rStyle w:val="55"/>
          <w:rFonts w:hint="default" w:ascii="Times New Roman" w:hAnsi="Times New Roman" w:eastAsia="宋体" w:cs="Times New Roman"/>
          <w:color w:val="auto"/>
          <w:sz w:val="24"/>
          <w:szCs w:val="32"/>
          <w:u w:val="none"/>
        </w:rPr>
      </w:pPr>
      <w:bookmarkStart w:id="794" w:name="_Toc116111730"/>
      <w:bookmarkStart w:id="795" w:name="_Toc4687"/>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.2.4营运期固废防治措施</w:t>
      </w:r>
      <w:bookmarkEnd w:id="794"/>
      <w:bookmarkEnd w:id="795"/>
    </w:p>
    <w:p w14:paraId="52E48F3C">
      <w:pPr>
        <w:pStyle w:val="38"/>
        <w:pageBreakBefore w:val="0"/>
        <w:widowControl w:val="0"/>
        <w:kinsoku/>
        <w:wordWrap/>
        <w:overflowPunct/>
        <w:topLinePunct w:val="0"/>
        <w:autoSpaceDE/>
        <w:autoSpaceDN/>
        <w:bidi w:val="0"/>
        <w:spacing w:line="360" w:lineRule="auto"/>
        <w:ind w:firstLine="480"/>
        <w:textAlignment w:val="auto"/>
        <w:outlineLvl w:val="9"/>
        <w:rPr>
          <w:rFonts w:hint="default" w:ascii="Times New Roman" w:hAnsi="Times New Roman" w:eastAsia="宋体" w:cs="Times New Roman"/>
          <w:color w:val="auto"/>
          <w:u w:val="none"/>
        </w:rPr>
      </w:pPr>
      <w:bookmarkStart w:id="796" w:name="_Toc25993"/>
      <w:bookmarkStart w:id="797" w:name="_Toc25815_WPSOffice_Level3"/>
      <w:bookmarkStart w:id="798" w:name="_Toc28872_WPSOffice_Level3"/>
      <w:r>
        <w:rPr>
          <w:rFonts w:hint="default" w:ascii="Times New Roman" w:hAnsi="Times New Roman" w:eastAsia="宋体" w:cs="Times New Roman"/>
          <w:color w:val="auto"/>
          <w:u w:val="none"/>
          <w:lang w:eastAsia="zh-CN"/>
        </w:rPr>
        <w:t>1、</w:t>
      </w:r>
      <w:r>
        <w:rPr>
          <w:rFonts w:hint="default" w:ascii="Times New Roman" w:hAnsi="Times New Roman" w:eastAsia="宋体" w:cs="Times New Roman"/>
          <w:color w:val="auto"/>
          <w:u w:val="none"/>
        </w:rPr>
        <w:t>处置方式</w:t>
      </w:r>
      <w:bookmarkEnd w:id="796"/>
      <w:bookmarkEnd w:id="797"/>
      <w:bookmarkEnd w:id="798"/>
    </w:p>
    <w:p w14:paraId="7AE28AC7">
      <w:pPr>
        <w:pStyle w:val="38"/>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本项目营运期主要包括营运期</w:t>
      </w:r>
      <w:r>
        <w:rPr>
          <w:rFonts w:hint="default" w:ascii="Times New Roman" w:hAnsi="Times New Roman" w:eastAsia="宋体" w:cs="Times New Roman"/>
          <w:color w:val="auto"/>
          <w:u w:val="none"/>
          <w:lang w:val="en-US" w:eastAsia="zh-CN"/>
        </w:rPr>
        <w:t>趸船</w:t>
      </w:r>
      <w:r>
        <w:rPr>
          <w:rFonts w:hint="default" w:ascii="Times New Roman" w:hAnsi="Times New Roman" w:eastAsia="宋体" w:cs="Times New Roman"/>
          <w:color w:val="auto"/>
          <w:u w:val="none"/>
        </w:rPr>
        <w:t>员工生活垃圾、船舶员工生活垃圾</w:t>
      </w:r>
      <w:r>
        <w:rPr>
          <w:rFonts w:hint="eastAsia" w:cs="Times New Roman"/>
          <w:color w:val="auto"/>
          <w:u w:val="none"/>
          <w:lang w:val="en-US" w:eastAsia="zh-CN"/>
        </w:rPr>
        <w:t>等</w:t>
      </w:r>
      <w:r>
        <w:rPr>
          <w:rFonts w:hint="default" w:ascii="Times New Roman" w:hAnsi="Times New Roman" w:eastAsia="宋体" w:cs="Times New Roman"/>
          <w:color w:val="auto"/>
          <w:u w:val="none"/>
        </w:rPr>
        <w:t>。</w:t>
      </w:r>
    </w:p>
    <w:p w14:paraId="2F406B53">
      <w:pPr>
        <w:pStyle w:val="38"/>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项目营运期</w:t>
      </w:r>
      <w:r>
        <w:rPr>
          <w:rFonts w:hint="default" w:ascii="Times New Roman" w:hAnsi="Times New Roman" w:eastAsia="宋体" w:cs="Times New Roman"/>
          <w:color w:val="auto"/>
          <w:u w:val="none"/>
          <w:lang w:val="en-US" w:eastAsia="zh-CN"/>
        </w:rPr>
        <w:t>趸船</w:t>
      </w:r>
      <w:r>
        <w:rPr>
          <w:rFonts w:hint="default" w:ascii="Times New Roman" w:hAnsi="Times New Roman" w:eastAsia="宋体" w:cs="Times New Roman"/>
          <w:color w:val="auto"/>
          <w:u w:val="none"/>
        </w:rPr>
        <w:t>员工生活垃圾</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船舶员工生活垃圾码头场区生活垃圾收集箱收集后交环卫部门统一清运。</w:t>
      </w:r>
    </w:p>
    <w:p w14:paraId="468FA050">
      <w:pPr>
        <w:pStyle w:val="38"/>
        <w:pageBreakBefore w:val="0"/>
        <w:widowControl w:val="0"/>
        <w:kinsoku/>
        <w:wordWrap/>
        <w:overflowPunct/>
        <w:topLinePunct w:val="0"/>
        <w:autoSpaceDE/>
        <w:autoSpaceDN/>
        <w:bidi w:val="0"/>
        <w:spacing w:line="360" w:lineRule="auto"/>
        <w:ind w:firstLine="480"/>
        <w:textAlignment w:val="auto"/>
        <w:outlineLvl w:val="9"/>
        <w:rPr>
          <w:rFonts w:hint="default" w:ascii="Times New Roman" w:hAnsi="Times New Roman" w:eastAsia="宋体" w:cs="Times New Roman"/>
          <w:color w:val="auto"/>
          <w:u w:val="none"/>
        </w:rPr>
      </w:pPr>
      <w:bookmarkStart w:id="799" w:name="_Toc6428"/>
      <w:r>
        <w:rPr>
          <w:rFonts w:hint="default" w:ascii="Times New Roman" w:hAnsi="Times New Roman" w:eastAsia="宋体" w:cs="Times New Roman"/>
          <w:color w:val="auto"/>
          <w:u w:val="none"/>
        </w:rPr>
        <w:t>2、暂存措施</w:t>
      </w:r>
      <w:bookmarkEnd w:id="799"/>
    </w:p>
    <w:p w14:paraId="32874022">
      <w:pPr>
        <w:pStyle w:val="38"/>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w:t>
      </w:r>
      <w:r>
        <w:rPr>
          <w:rFonts w:hint="default" w:ascii="Times New Roman" w:hAnsi="Times New Roman" w:eastAsia="宋体" w:cs="Times New Roman"/>
          <w:color w:val="auto"/>
          <w:u w:val="none"/>
          <w:lang w:val="en-US" w:eastAsia="zh-CN"/>
        </w:rPr>
        <w:t>趸船</w:t>
      </w:r>
      <w:r>
        <w:rPr>
          <w:rFonts w:hint="default" w:ascii="Times New Roman" w:hAnsi="Times New Roman" w:eastAsia="宋体" w:cs="Times New Roman"/>
          <w:color w:val="auto"/>
          <w:u w:val="none"/>
        </w:rPr>
        <w:t>设置</w:t>
      </w:r>
      <w:r>
        <w:rPr>
          <w:rFonts w:hint="default" w:ascii="Times New Roman" w:hAnsi="Times New Roman" w:eastAsia="宋体" w:cs="Times New Roman"/>
          <w:color w:val="auto"/>
          <w:u w:val="none"/>
          <w:lang w:val="en-US" w:eastAsia="zh-CN"/>
        </w:rPr>
        <w:t>4个</w:t>
      </w:r>
      <w:r>
        <w:rPr>
          <w:rFonts w:hint="default" w:ascii="Times New Roman" w:hAnsi="Times New Roman" w:eastAsia="宋体" w:cs="Times New Roman"/>
          <w:color w:val="auto"/>
          <w:u w:val="none"/>
        </w:rPr>
        <w:t>生活垃圾收集箱，</w:t>
      </w:r>
      <w:r>
        <w:rPr>
          <w:rFonts w:hint="default" w:ascii="Times New Roman" w:hAnsi="Times New Roman" w:eastAsia="宋体" w:cs="Times New Roman"/>
          <w:color w:val="auto"/>
          <w:u w:val="none"/>
          <w:lang w:val="en-US" w:eastAsia="zh-CN"/>
        </w:rPr>
        <w:t>每个容积为50L</w:t>
      </w:r>
      <w:r>
        <w:rPr>
          <w:rFonts w:hint="eastAsia" w:cs="Times New Roman"/>
          <w:color w:val="auto"/>
          <w:u w:val="none"/>
          <w:lang w:val="en-US" w:eastAsia="zh-CN"/>
        </w:rPr>
        <w:t>，</w:t>
      </w:r>
      <w:r>
        <w:rPr>
          <w:rFonts w:hint="default" w:ascii="Times New Roman" w:hAnsi="Times New Roman" w:eastAsia="宋体" w:cs="Times New Roman"/>
          <w:color w:val="auto"/>
          <w:u w:val="none"/>
        </w:rPr>
        <w:t>按《中华人民共和国固体废物污染环境防治法》（2020修订）第四章——生活垃圾的相关规定做好防风、防雨、防渗、放遗漏等措施。</w:t>
      </w:r>
    </w:p>
    <w:p w14:paraId="14796BB8">
      <w:pPr>
        <w:pStyle w:val="19"/>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u w:val="none"/>
        </w:rPr>
        <w:t>综上所述，本项目产生的各种固体废物均能得到妥善处置，对周围环境的影响较小。</w:t>
      </w:r>
    </w:p>
    <w:p w14:paraId="3E121EC7">
      <w:pPr>
        <w:pStyle w:val="9"/>
        <w:pageBreakBefore w:val="0"/>
        <w:widowControl w:val="0"/>
        <w:kinsoku/>
        <w:wordWrap/>
        <w:overflowPunct/>
        <w:topLinePunct w:val="0"/>
        <w:autoSpaceDE/>
        <w:autoSpaceDN/>
        <w:bidi w:val="0"/>
        <w:spacing w:before="0" w:after="0" w:line="360" w:lineRule="auto"/>
        <w:textAlignment w:val="auto"/>
        <w:rPr>
          <w:rStyle w:val="55"/>
          <w:rFonts w:hint="default" w:ascii="Times New Roman" w:hAnsi="Times New Roman" w:eastAsia="宋体" w:cs="Times New Roman"/>
          <w:color w:val="auto"/>
          <w:sz w:val="24"/>
          <w:szCs w:val="24"/>
          <w:u w:val="none"/>
        </w:rPr>
      </w:pPr>
      <w:bookmarkStart w:id="800" w:name="_Toc116111731"/>
      <w:bookmarkStart w:id="801" w:name="_Toc15292"/>
      <w:r>
        <w:rPr>
          <w:rFonts w:hint="default" w:ascii="Times New Roman" w:hAnsi="Times New Roman" w:eastAsia="宋体" w:cs="Times New Roman"/>
          <w:color w:val="auto"/>
          <w:sz w:val="24"/>
          <w:szCs w:val="24"/>
          <w:u w:val="none"/>
          <w:lang w:val="en-US" w:eastAsia="zh-CN"/>
        </w:rPr>
        <w:t>6</w:t>
      </w:r>
      <w:r>
        <w:rPr>
          <w:rFonts w:hint="default" w:ascii="Times New Roman" w:hAnsi="Times New Roman" w:eastAsia="宋体" w:cs="Times New Roman"/>
          <w:color w:val="auto"/>
          <w:sz w:val="24"/>
          <w:szCs w:val="24"/>
          <w:u w:val="none"/>
        </w:rPr>
        <w:t>.2.</w:t>
      </w:r>
      <w:r>
        <w:rPr>
          <w:rFonts w:hint="default"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营运期生态缓解措施</w:t>
      </w:r>
      <w:bookmarkEnd w:id="800"/>
      <w:bookmarkEnd w:id="801"/>
    </w:p>
    <w:bookmarkEnd w:id="766"/>
    <w:bookmarkEnd w:id="767"/>
    <w:bookmarkEnd w:id="768"/>
    <w:bookmarkEnd w:id="769"/>
    <w:bookmarkEnd w:id="770"/>
    <w:p w14:paraId="7204FCF7">
      <w:pPr>
        <w:pStyle w:val="10"/>
        <w:pageBreakBefore w:val="0"/>
        <w:widowControl w:val="0"/>
        <w:kinsoku/>
        <w:wordWrap/>
        <w:overflowPunct/>
        <w:topLinePunct w:val="0"/>
        <w:bidi w:val="0"/>
        <w:spacing w:beforeLines="0" w:afterLines="0" w:line="360" w:lineRule="auto"/>
        <w:textAlignment w:val="auto"/>
        <w:outlineLvl w:val="3"/>
        <w:rPr>
          <w:rFonts w:hint="default" w:ascii="Times New Roman" w:hAnsi="Times New Roman" w:eastAsia="宋体" w:cs="Times New Roman"/>
          <w:color w:val="auto"/>
          <w:sz w:val="24"/>
          <w:szCs w:val="24"/>
          <w:u w:val="none" w:color="auto"/>
        </w:rPr>
      </w:pPr>
      <w:bookmarkStart w:id="802" w:name="_Toc24622"/>
      <w:bookmarkStart w:id="803" w:name="_Toc14982"/>
      <w:r>
        <w:rPr>
          <w:rFonts w:hint="default" w:ascii="Times New Roman" w:hAnsi="Times New Roman" w:eastAsia="宋体" w:cs="Times New Roman"/>
          <w:color w:val="auto"/>
          <w:sz w:val="24"/>
          <w:szCs w:val="24"/>
          <w:u w:val="none" w:color="auto"/>
          <w:lang w:val="en-US" w:eastAsia="zh-CN"/>
        </w:rPr>
        <w:t xml:space="preserve">6.2.5.1 </w:t>
      </w:r>
      <w:r>
        <w:rPr>
          <w:rFonts w:hint="default" w:ascii="Times New Roman" w:hAnsi="Times New Roman" w:eastAsia="宋体" w:cs="Times New Roman"/>
          <w:color w:val="auto"/>
          <w:sz w:val="24"/>
          <w:szCs w:val="24"/>
          <w:u w:val="none" w:color="auto"/>
        </w:rPr>
        <w:t>水生态保护措施</w:t>
      </w:r>
      <w:bookmarkEnd w:id="802"/>
      <w:bookmarkEnd w:id="803"/>
    </w:p>
    <w:p w14:paraId="46A33C1E">
      <w:pPr>
        <w:pageBreakBefore w:val="0"/>
        <w:widowControl w:val="0"/>
        <w:kinsoku/>
        <w:wordWrap/>
        <w:overflowPunct/>
        <w:topLinePunct w:val="0"/>
        <w:bidi w:val="0"/>
        <w:spacing w:line="360" w:lineRule="auto"/>
        <w:textAlignment w:val="auto"/>
        <w:outlineLvl w:val="9"/>
        <w:rPr>
          <w:rFonts w:hint="default" w:ascii="Times New Roman" w:hAnsi="Times New Roman" w:eastAsia="宋体" w:cs="Times New Roman"/>
          <w:color w:val="auto"/>
          <w:sz w:val="24"/>
          <w:szCs w:val="24"/>
        </w:rPr>
      </w:pPr>
      <w:bookmarkStart w:id="804" w:name="_Toc10626"/>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rPr>
        <w:t>加强栖息地保护</w:t>
      </w:r>
      <w:bookmarkEnd w:id="804"/>
    </w:p>
    <w:p w14:paraId="1D457803">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开工之前，开展重要鱼类的监测工作，包括鱼类产卵场和洄游监测等。管理单位应根据有关部门提供的监测结果和提出的保护方案，在保护区监督下，实施相应的保护措施。施工期间，保护区管理部门应组织专业机构，在业主的协助下开展保护区水域日常巡查工作，重点观察保护区及下游各1km范围内保护对象及其他珍稀保护动物的活动和集群情况，并根据观察结果，在必要时，要求工程方修改工程施工计划和施工方法，降低对保护对象以及珍稀、濒危水生生物栖息地的影响。</w:t>
      </w:r>
    </w:p>
    <w:p w14:paraId="646C4440">
      <w:pPr>
        <w:pStyle w:val="15"/>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（1）避让鱼类和江豚的繁殖期。3-5月是评价区大多数鱼类的繁殖期和仔幼鱼发育期。长江江豚的繁殖抚幼时间一般集中在4~9月份，应避免在该时间段进行水下施工作业。</w:t>
      </w:r>
    </w:p>
    <w:p w14:paraId="5C8BBA5E">
      <w:pPr>
        <w:pStyle w:val="15"/>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（2）控制施工船舶数量，尽可能给江豚留出活动通道和空间，枯水季节尤其要特别注意控制施工船只密度和数量。一般而言，两施工船舶之间距离不小于200m。</w:t>
      </w:r>
    </w:p>
    <w:p w14:paraId="0E51C40E">
      <w:pPr>
        <w:pStyle w:val="15"/>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3）施工前驱鱼作业。开展施工活动前，应采取声波驱赶活动在该水域的江豚及其他大型水生动物，尽可能避免施工对该水域江豚及其他大型水生动物的直接致伤致死。采用超声波驱鱼后，在施工影响的范围边界采用电赶鱼，阻止鱼类或其它保护动物进入施工区</w:t>
      </w:r>
      <w:r>
        <w:rPr>
          <w:rFonts w:hint="default" w:ascii="Times New Roman" w:hAnsi="Times New Roman" w:eastAsia="宋体" w:cs="Times New Roman"/>
          <w:color w:val="auto"/>
          <w:sz w:val="24"/>
          <w:szCs w:val="24"/>
          <w:lang w:eastAsia="zh-CN"/>
        </w:rPr>
        <w:t>。</w:t>
      </w:r>
    </w:p>
    <w:p w14:paraId="27799902">
      <w:pPr>
        <w:keepNext w:val="0"/>
        <w:keepLines w:val="0"/>
        <w:pageBreakBefore w:val="0"/>
        <w:kinsoku/>
        <w:wordWrap/>
        <w:overflowPunct/>
        <w:topLinePunct w:val="0"/>
        <w:bidi w:val="0"/>
        <w:spacing w:after="0" w:line="360" w:lineRule="auto"/>
        <w:jc w:val="left"/>
        <w:textAlignment w:val="auto"/>
        <w:outlineLvl w:val="9"/>
        <w:rPr>
          <w:rFonts w:hint="default" w:ascii="Times New Roman" w:hAnsi="Times New Roman" w:eastAsia="宋体" w:cs="Times New Roman"/>
          <w:color w:val="auto"/>
          <w:sz w:val="24"/>
          <w:szCs w:val="24"/>
        </w:rPr>
      </w:pPr>
      <w:bookmarkStart w:id="805" w:name="_Toc18963"/>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珍稀水生保护物种保护措施</w:t>
      </w:r>
      <w:bookmarkEnd w:id="805"/>
    </w:p>
    <w:p w14:paraId="045E3E2F">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为减小码头改造工程施工及运行阶段对鱼类及珍稀水生保护物种生态环境的破坏，采取的环境保护措施如下。</w:t>
      </w:r>
    </w:p>
    <w:p w14:paraId="6B7645AD">
      <w:pPr>
        <w:keepNext w:val="0"/>
        <w:keepLines w:val="0"/>
        <w:pageBreakBefore w:val="0"/>
        <w:kinsoku/>
        <w:wordWrap/>
        <w:overflowPunct/>
        <w:topLinePunct w:val="0"/>
        <w:bidi w:val="0"/>
        <w:spacing w:line="360" w:lineRule="auto"/>
        <w:jc w:val="left"/>
        <w:textAlignment w:val="auto"/>
        <w:outlineLvl w:val="9"/>
        <w:rPr>
          <w:rFonts w:hint="default" w:ascii="Times New Roman" w:hAnsi="Times New Roman" w:eastAsia="宋体" w:cs="Times New Roman"/>
          <w:color w:val="auto"/>
          <w:sz w:val="24"/>
          <w:szCs w:val="24"/>
        </w:rPr>
      </w:pPr>
      <w:bookmarkStart w:id="806" w:name="_Toc17385"/>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加强生态环境保护的宣传和管理力度</w:t>
      </w:r>
      <w:bookmarkEnd w:id="806"/>
    </w:p>
    <w:p w14:paraId="5EC3F3FF">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建设管理部门应充分认识到保护珍稀水生保护动物的重要性，加大对《中华人民共和国野生动物保护法》、《中华人民共和国渔业法》等法律法规的学习和宣传力度，加强对承包商、施工人员的宣传教育工作，以便施工人员和码头工作人员在水上作业识别珍稀水生保护动物，及时避让保护，严禁码头工作人员利用水上作业之便捕捞珍稀水生保护动物。建设单位应加大对《中华人民共和国野生动物保护法》《中华人民共和国渔业法》等法律法规的宣传力度。建设单位与施工单位所签定的承包合.同中应有环境保护方面的条款，并附有环保要求的具体内容。</w:t>
      </w:r>
    </w:p>
    <w:p w14:paraId="6F301C65">
      <w:pPr>
        <w:pStyle w:val="15"/>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建设单位与施工单位所签定的承包合同中应有环境保护方面的条款，并附有环保要求的具体内容。合理安排施工期，结合区域内冬候鸟栖息时间（11~翌年3月），鱼类繁殖期（3~5月），长江江豚繁殖抚幼时间（4~9月），以及枯水期（10~翌年3月）涉水工程施工对水生生物影响最小等因素。建议项目疏浚、锚地等涉水工程施工在每年10~11月间开展。若施工过程中发现有冬候鸟集中栖息，应停止施工。</w:t>
      </w:r>
    </w:p>
    <w:p w14:paraId="19F28006">
      <w:pPr>
        <w:keepNext w:val="0"/>
        <w:keepLines w:val="0"/>
        <w:pageBreakBefore w:val="0"/>
        <w:kinsoku/>
        <w:wordWrap/>
        <w:overflowPunct/>
        <w:topLinePunct w:val="0"/>
        <w:bidi w:val="0"/>
        <w:spacing w:line="360" w:lineRule="auto"/>
        <w:textAlignment w:val="auto"/>
        <w:outlineLvl w:val="9"/>
        <w:rPr>
          <w:rFonts w:hint="default" w:ascii="Times New Roman" w:hAnsi="Times New Roman" w:eastAsia="宋体" w:cs="Times New Roman"/>
          <w:color w:val="auto"/>
          <w:sz w:val="24"/>
          <w:szCs w:val="24"/>
        </w:rPr>
      </w:pPr>
      <w:bookmarkStart w:id="807" w:name="_Toc10147"/>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优化施工管理和施工工艺</w:t>
      </w:r>
      <w:bookmarkEnd w:id="807"/>
    </w:p>
    <w:p w14:paraId="37AC9E9A">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针对工程建设保护区对保护对象以及珍稀、濒危水生生物的生长、栖息、洄游繁殖等产生不同程度的影响，根据拟建工程的特点和属性，提出了以下几方面的避免与消减措施:</w:t>
      </w:r>
    </w:p>
    <w:p w14:paraId="7849D3E1">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①合理安排施工进度</w:t>
      </w:r>
    </w:p>
    <w:p w14:paraId="68A13D3D">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安排施工进度，尽量缩短作业时间。施工期应尽量避开鱼类繁殖季节，减小对鱼类繁殖的影响，选择低噪音机械，降低施工噪声对鱼类行为的干扰。保护区鱼类繁殖期多在4月至7月，因此工程施工宜选择在11-3月的枯水季节进行，至少在9月份后，避开保护对象及其他珍稀保护动物繁殖期。</w:t>
      </w:r>
    </w:p>
    <w:p w14:paraId="751CB5D0">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选择低噪音机械降低施工噪声。同时控制施工时间，可减小对鱼类尤其是珍稀特有鱼类和保护鱼类繁殖活动的影响，同时也可降低对珍稀特有鱼类和保护鱼类群体的伤害概率。</w:t>
      </w:r>
    </w:p>
    <w:p w14:paraId="3F61D01F">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为避免施工船舶对水生生物造成伤害，施工单位应优化施工工艺方案，控制施工作业。抓紧施工进度，尽量缩短作业时间。从保护水生生物的角度，优化施工方法，应尽量减轻噪声污染。1）为减缓运行期船舶吨位增加产生的噪音和螺旋桨对长江江豚的影响，限制船舶进出港的最大航速25km/h；2）控制通行船舶间距，尤其枯水季节要特别注意航行船只密度和数量。一般而言，相邻两船舶之间距离不小于200m；3）改进船舶设计，降低船舶通行水下噪声强度，减少航行船舶对长江江豚的声干扰，避免航行船舶对长江江豚的影响；4）冬季船舶在通航时需减少鸣笛，防止船舶突发噪音对冬候鸟的惊扰</w:t>
      </w:r>
      <w:r>
        <w:rPr>
          <w:rFonts w:hint="default" w:ascii="Times New Roman" w:hAnsi="Times New Roman" w:eastAsia="宋体" w:cs="Times New Roman"/>
          <w:color w:val="auto"/>
          <w:sz w:val="24"/>
          <w:szCs w:val="24"/>
          <w:lang w:eastAsia="zh-CN"/>
        </w:rPr>
        <w:t>。</w:t>
      </w:r>
    </w:p>
    <w:p w14:paraId="3EE1DA7E">
      <w:pPr>
        <w:keepNext w:val="0"/>
        <w:keepLines w:val="0"/>
        <w:pageBreakBefore w:val="0"/>
        <w:numPr>
          <w:ilvl w:val="0"/>
          <w:numId w:val="0"/>
        </w:numPr>
        <w:kinsoku/>
        <w:wordWrap/>
        <w:overflowPunct/>
        <w:topLinePunct w:val="0"/>
        <w:bidi w:val="0"/>
        <w:spacing w:after="0" w:line="360" w:lineRule="auto"/>
        <w:ind w:leftChars="200" w:right="0" w:rightChars="0"/>
        <w:textAlignment w:val="auto"/>
        <w:outlineLvl w:val="9"/>
        <w:rPr>
          <w:rFonts w:hint="default" w:ascii="Times New Roman" w:hAnsi="Times New Roman" w:eastAsia="宋体" w:cs="Times New Roman"/>
          <w:color w:val="auto"/>
          <w:sz w:val="24"/>
          <w:szCs w:val="24"/>
        </w:rPr>
      </w:pPr>
      <w:bookmarkStart w:id="808" w:name="_Toc1572"/>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rPr>
        <w:t>开展水域生态修复</w:t>
      </w:r>
      <w:bookmarkEnd w:id="808"/>
    </w:p>
    <w:p w14:paraId="5047D790">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护坡等工程的实施会对保护区江段河岸水域环境产生影响，包括河岸植被破坏和底栖生物的损失，因此在施工前应规划和设计对工程区域湿地进行恢复，施工期应采用科学的工艺以减少对附近区域湿地的影响，施工完成后应尽快对水域生态环境开展修复工作。</w:t>
      </w:r>
    </w:p>
    <w:p w14:paraId="797170BE">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施工期临时占用和破坏的岸边及洲滩湿地的植被要进行有计划地剥离、储存、临时堆放，为随后的植被恢复创造条件。施工完成后及时清理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施工现场，恢复植被，防止水土流失。</w:t>
      </w:r>
    </w:p>
    <w:p w14:paraId="020FAA5F">
      <w:pPr>
        <w:keepNext w:val="0"/>
        <w:keepLines w:val="0"/>
        <w:pageBreakBefore w:val="0"/>
        <w:kinsoku/>
        <w:wordWrap/>
        <w:overflowPunct/>
        <w:topLinePunct w:val="0"/>
        <w:bidi w:val="0"/>
        <w:spacing w:after="0" w:line="360" w:lineRule="auto"/>
        <w:textAlignment w:val="auto"/>
        <w:outlineLvl w:val="9"/>
        <w:rPr>
          <w:rFonts w:hint="default" w:ascii="Times New Roman" w:hAnsi="Times New Roman" w:eastAsia="宋体" w:cs="Times New Roman"/>
          <w:color w:val="auto"/>
          <w:sz w:val="24"/>
          <w:szCs w:val="24"/>
          <w:u w:val="none" w:color="auto"/>
          <w:lang w:val="en-US" w:eastAsia="zh-CN"/>
        </w:rPr>
      </w:pPr>
      <w:bookmarkStart w:id="809" w:name="_Toc32336"/>
      <w:r>
        <w:rPr>
          <w:rFonts w:hint="default" w:ascii="Times New Roman" w:hAnsi="Times New Roman" w:eastAsia="宋体" w:cs="Times New Roman"/>
          <w:color w:val="auto"/>
          <w:sz w:val="24"/>
          <w:szCs w:val="24"/>
          <w:u w:val="none" w:color="auto"/>
          <w:lang w:val="en-US" w:eastAsia="zh-CN"/>
        </w:rPr>
        <w:t>四、生态补偿</w:t>
      </w:r>
      <w:bookmarkEnd w:id="809"/>
    </w:p>
    <w:p w14:paraId="602466DC">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项目占用保护区内的</w:t>
      </w:r>
      <w:r>
        <w:rPr>
          <w:rFonts w:hint="default" w:ascii="Times New Roman" w:hAnsi="Times New Roman" w:eastAsia="宋体" w:cs="Times New Roman"/>
          <w:color w:val="auto"/>
          <w:sz w:val="24"/>
          <w:szCs w:val="24"/>
          <w:u w:val="none" w:color="auto"/>
          <w:lang w:val="en-US" w:eastAsia="zh-CN"/>
        </w:rPr>
        <w:t>湘</w:t>
      </w:r>
      <w:r>
        <w:rPr>
          <w:rFonts w:hint="default" w:ascii="Times New Roman" w:hAnsi="Times New Roman" w:eastAsia="宋体" w:cs="Times New Roman"/>
          <w:color w:val="auto"/>
          <w:sz w:val="24"/>
          <w:szCs w:val="24"/>
          <w:u w:val="none" w:color="auto"/>
        </w:rPr>
        <w:t>江岸线</w:t>
      </w:r>
      <w:r>
        <w:rPr>
          <w:rFonts w:hint="default" w:ascii="Times New Roman" w:hAnsi="Times New Roman" w:eastAsia="宋体" w:cs="Times New Roman"/>
          <w:color w:val="auto"/>
          <w:sz w:val="24"/>
          <w:szCs w:val="24"/>
          <w:u w:val="none" w:color="auto"/>
          <w:lang w:val="en-US" w:eastAsia="zh-CN"/>
        </w:rPr>
        <w:t>150</w:t>
      </w:r>
      <w:r>
        <w:rPr>
          <w:rFonts w:hint="default" w:ascii="Times New Roman" w:hAnsi="Times New Roman" w:eastAsia="宋体" w:cs="Times New Roman"/>
          <w:color w:val="auto"/>
          <w:sz w:val="24"/>
          <w:szCs w:val="24"/>
          <w:u w:val="none" w:color="auto"/>
        </w:rPr>
        <w:t>m，主要为湿地。根据《国家湿地保护管理规定》和《湖南省湿地保护条例》规定，按照“占补平衡、适度增加”的原则，采取退田还湖、退耕还湿、水域管理权限转让等形式，增加湿地面积。下一步将继续与当地政府协调，通过生态补偿进一步扩大退耕还湿的面积。本建设工程穿越湖南东洞庭湖国家自然保护区，</w:t>
      </w:r>
      <w:r>
        <w:rPr>
          <w:rFonts w:hint="default" w:ascii="Times New Roman" w:hAnsi="Times New Roman" w:eastAsia="宋体" w:cs="Times New Roman"/>
          <w:color w:val="auto"/>
          <w:kern w:val="0"/>
          <w:sz w:val="24"/>
          <w:szCs w:val="24"/>
          <w:u w:val="none" w:color="auto"/>
        </w:rPr>
        <w:t>本项目</w:t>
      </w:r>
      <w:r>
        <w:rPr>
          <w:rFonts w:hint="default" w:ascii="Times New Roman" w:hAnsi="Times New Roman" w:eastAsia="宋体" w:cs="Times New Roman"/>
          <w:color w:val="auto"/>
          <w:sz w:val="24"/>
          <w:szCs w:val="24"/>
          <w:u w:val="none" w:color="auto"/>
        </w:rPr>
        <w:t>建设将因破坏保护区植被，短期影响评价区，从而对保护区的动植物产生一定的负面影响。因此，按照规定建设单位应当给予湖南东洞庭湖自然保护区管理局一定的生态补偿（详见表</w:t>
      </w: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w:t>
      </w: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-1），用于保护区生物多样性恢复和突发环境事件的应急管理，提高工程征地范围以外的生态环境质量和生物多样性指数，改善因工程建设及工程运营对周围环境的持续影响所造成的保护区生物多样性承载能力下降的问题。</w:t>
      </w:r>
    </w:p>
    <w:p w14:paraId="267A5E98">
      <w:pPr>
        <w:pStyle w:val="50"/>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 xml:space="preserve">6.2-1 </w:t>
      </w:r>
      <w:r>
        <w:rPr>
          <w:rFonts w:hint="default" w:ascii="Times New Roman" w:hAnsi="Times New Roman" w:eastAsia="宋体" w:cs="Times New Roman"/>
          <w:color w:val="auto"/>
          <w:sz w:val="24"/>
          <w:szCs w:val="24"/>
          <w:u w:val="none" w:color="auto"/>
        </w:rPr>
        <w:t>生态补偿费用建议标准</w:t>
      </w:r>
    </w:p>
    <w:tbl>
      <w:tblPr>
        <w:tblStyle w:val="3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5"/>
        <w:gridCol w:w="3958"/>
        <w:gridCol w:w="1991"/>
        <w:gridCol w:w="1256"/>
      </w:tblGrid>
      <w:tr w14:paraId="74E4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tcBorders>
              <w:tl2br w:val="nil"/>
              <w:tr2bl w:val="nil"/>
            </w:tcBorders>
            <w:noWrap w:val="0"/>
            <w:vAlign w:val="center"/>
          </w:tcPr>
          <w:p w14:paraId="500D0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建设阶段</w:t>
            </w:r>
          </w:p>
        </w:tc>
        <w:tc>
          <w:tcPr>
            <w:tcW w:w="2407" w:type="pct"/>
            <w:tcBorders>
              <w:tl2br w:val="nil"/>
              <w:tr2bl w:val="nil"/>
            </w:tcBorders>
            <w:noWrap w:val="0"/>
            <w:vAlign w:val="center"/>
          </w:tcPr>
          <w:p w14:paraId="6A03B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生态保护工程</w:t>
            </w:r>
          </w:p>
        </w:tc>
        <w:tc>
          <w:tcPr>
            <w:tcW w:w="1211" w:type="pct"/>
            <w:tcBorders>
              <w:tl2br w:val="nil"/>
              <w:tr2bl w:val="nil"/>
            </w:tcBorders>
            <w:noWrap w:val="0"/>
            <w:vAlign w:val="center"/>
          </w:tcPr>
          <w:p w14:paraId="11F1B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投</w:t>
            </w:r>
            <w:r>
              <w:rPr>
                <w:rFonts w:hint="default" w:ascii="Times New Roman" w:hAnsi="Times New Roman" w:eastAsia="宋体" w:cs="Times New Roman"/>
                <w:b/>
                <w:bCs/>
                <w:color w:val="auto"/>
                <w:sz w:val="21"/>
                <w:szCs w:val="21"/>
                <w:u w:val="none" w:color="auto"/>
                <w:lang w:eastAsia="zh-CN"/>
              </w:rPr>
              <w:t>资</w:t>
            </w:r>
            <w:r>
              <w:rPr>
                <w:rFonts w:hint="default" w:ascii="Times New Roman" w:hAnsi="Times New Roman" w:eastAsia="宋体" w:cs="Times New Roman"/>
                <w:b/>
                <w:bCs/>
                <w:color w:val="auto"/>
                <w:sz w:val="21"/>
                <w:szCs w:val="21"/>
                <w:u w:val="none" w:color="auto"/>
              </w:rPr>
              <w:t>概算（万元）</w:t>
            </w:r>
          </w:p>
        </w:tc>
        <w:tc>
          <w:tcPr>
            <w:tcW w:w="764" w:type="pct"/>
            <w:tcBorders>
              <w:tl2br w:val="nil"/>
              <w:tr2bl w:val="nil"/>
            </w:tcBorders>
            <w:noWrap w:val="0"/>
            <w:vAlign w:val="center"/>
          </w:tcPr>
          <w:p w14:paraId="72FF5D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备注</w:t>
            </w:r>
          </w:p>
        </w:tc>
      </w:tr>
      <w:tr w14:paraId="5A8B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vMerge w:val="restart"/>
            <w:tcBorders>
              <w:tl2br w:val="nil"/>
              <w:tr2bl w:val="nil"/>
            </w:tcBorders>
            <w:noWrap w:val="0"/>
            <w:vAlign w:val="center"/>
          </w:tcPr>
          <w:p w14:paraId="3CBAB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营运期</w:t>
            </w:r>
          </w:p>
        </w:tc>
        <w:tc>
          <w:tcPr>
            <w:tcW w:w="2407" w:type="pct"/>
            <w:tcBorders>
              <w:tl2br w:val="nil"/>
              <w:tr2bl w:val="nil"/>
            </w:tcBorders>
            <w:noWrap w:val="0"/>
            <w:vAlign w:val="center"/>
          </w:tcPr>
          <w:p w14:paraId="753B8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合计</w:t>
            </w:r>
          </w:p>
        </w:tc>
        <w:tc>
          <w:tcPr>
            <w:tcW w:w="1211" w:type="pct"/>
            <w:tcBorders>
              <w:tl2br w:val="nil"/>
              <w:tr2bl w:val="nil"/>
            </w:tcBorders>
            <w:noWrap w:val="0"/>
            <w:vAlign w:val="center"/>
          </w:tcPr>
          <w:p w14:paraId="1D405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764" w:type="pct"/>
            <w:vMerge w:val="restart"/>
            <w:tcBorders>
              <w:tl2br w:val="nil"/>
              <w:tr2bl w:val="nil"/>
            </w:tcBorders>
            <w:noWrap w:val="0"/>
            <w:vAlign w:val="center"/>
          </w:tcPr>
          <w:p w14:paraId="41E23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一次性支付</w:t>
            </w:r>
          </w:p>
        </w:tc>
      </w:tr>
      <w:tr w14:paraId="7022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vMerge w:val="continue"/>
            <w:tcBorders>
              <w:tl2br w:val="nil"/>
              <w:tr2bl w:val="nil"/>
            </w:tcBorders>
            <w:noWrap w:val="0"/>
            <w:vAlign w:val="center"/>
          </w:tcPr>
          <w:p w14:paraId="083B61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2407" w:type="pct"/>
            <w:tcBorders>
              <w:tl2br w:val="nil"/>
              <w:tr2bl w:val="nil"/>
            </w:tcBorders>
            <w:noWrap w:val="0"/>
            <w:vAlign w:val="center"/>
          </w:tcPr>
          <w:p w14:paraId="1FDD1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营造特种用途林</w:t>
            </w:r>
          </w:p>
        </w:tc>
        <w:tc>
          <w:tcPr>
            <w:tcW w:w="1211" w:type="pct"/>
            <w:tcBorders>
              <w:tl2br w:val="nil"/>
              <w:tr2bl w:val="nil"/>
            </w:tcBorders>
            <w:noWrap w:val="0"/>
            <w:vAlign w:val="center"/>
          </w:tcPr>
          <w:p w14:paraId="27054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764" w:type="pct"/>
            <w:vMerge w:val="continue"/>
            <w:tcBorders>
              <w:tl2br w:val="nil"/>
              <w:tr2bl w:val="nil"/>
            </w:tcBorders>
            <w:noWrap w:val="0"/>
            <w:vAlign w:val="center"/>
          </w:tcPr>
          <w:p w14:paraId="0F31B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r>
      <w:tr w14:paraId="4AB1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vMerge w:val="continue"/>
            <w:tcBorders>
              <w:tl2br w:val="nil"/>
              <w:tr2bl w:val="nil"/>
            </w:tcBorders>
            <w:noWrap w:val="0"/>
            <w:vAlign w:val="center"/>
          </w:tcPr>
          <w:p w14:paraId="399847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2407" w:type="pct"/>
            <w:tcBorders>
              <w:tl2br w:val="nil"/>
              <w:tr2bl w:val="nil"/>
            </w:tcBorders>
            <w:noWrap w:val="0"/>
            <w:vAlign w:val="center"/>
          </w:tcPr>
          <w:p w14:paraId="00772C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种植野生水草并建设保护鸟类栖息地</w:t>
            </w:r>
          </w:p>
        </w:tc>
        <w:tc>
          <w:tcPr>
            <w:tcW w:w="1211" w:type="pct"/>
            <w:tcBorders>
              <w:tl2br w:val="nil"/>
              <w:tr2bl w:val="nil"/>
            </w:tcBorders>
            <w:noWrap w:val="0"/>
            <w:vAlign w:val="center"/>
          </w:tcPr>
          <w:p w14:paraId="24725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764" w:type="pct"/>
            <w:vMerge w:val="continue"/>
            <w:tcBorders>
              <w:tl2br w:val="nil"/>
              <w:tr2bl w:val="nil"/>
            </w:tcBorders>
            <w:noWrap w:val="0"/>
            <w:vAlign w:val="center"/>
          </w:tcPr>
          <w:p w14:paraId="4E908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r>
      <w:tr w14:paraId="6D3F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vMerge w:val="continue"/>
            <w:tcBorders>
              <w:tl2br w:val="nil"/>
              <w:tr2bl w:val="nil"/>
            </w:tcBorders>
            <w:noWrap w:val="0"/>
            <w:vAlign w:val="center"/>
          </w:tcPr>
          <w:p w14:paraId="0FF9B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2407" w:type="pct"/>
            <w:tcBorders>
              <w:tl2br w:val="nil"/>
              <w:tr2bl w:val="nil"/>
            </w:tcBorders>
            <w:noWrap w:val="0"/>
            <w:vAlign w:val="center"/>
          </w:tcPr>
          <w:p w14:paraId="61E2B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建设环境监测设施</w:t>
            </w:r>
          </w:p>
        </w:tc>
        <w:tc>
          <w:tcPr>
            <w:tcW w:w="1211" w:type="pct"/>
            <w:tcBorders>
              <w:tl2br w:val="nil"/>
              <w:tr2bl w:val="nil"/>
            </w:tcBorders>
            <w:noWrap w:val="0"/>
            <w:vAlign w:val="center"/>
          </w:tcPr>
          <w:p w14:paraId="7C775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764" w:type="pct"/>
            <w:vMerge w:val="continue"/>
            <w:tcBorders>
              <w:tl2br w:val="nil"/>
              <w:tr2bl w:val="nil"/>
            </w:tcBorders>
            <w:noWrap w:val="0"/>
            <w:vAlign w:val="center"/>
          </w:tcPr>
          <w:p w14:paraId="4C545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r>
      <w:tr w14:paraId="3566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7" w:type="pct"/>
            <w:vMerge w:val="continue"/>
            <w:tcBorders>
              <w:tl2br w:val="nil"/>
              <w:tr2bl w:val="nil"/>
            </w:tcBorders>
            <w:noWrap w:val="0"/>
            <w:vAlign w:val="center"/>
          </w:tcPr>
          <w:p w14:paraId="4E52B8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2407" w:type="pct"/>
            <w:tcBorders>
              <w:tl2br w:val="nil"/>
              <w:tr2bl w:val="nil"/>
            </w:tcBorders>
            <w:noWrap w:val="0"/>
            <w:vAlign w:val="center"/>
          </w:tcPr>
          <w:p w14:paraId="2F67C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动植物保护设施建设</w:t>
            </w:r>
          </w:p>
        </w:tc>
        <w:tc>
          <w:tcPr>
            <w:tcW w:w="1211" w:type="pct"/>
            <w:tcBorders>
              <w:tl2br w:val="nil"/>
              <w:tr2bl w:val="nil"/>
            </w:tcBorders>
            <w:noWrap w:val="0"/>
            <w:vAlign w:val="center"/>
          </w:tcPr>
          <w:p w14:paraId="32D72D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764" w:type="pct"/>
            <w:vMerge w:val="continue"/>
            <w:tcBorders>
              <w:tl2br w:val="nil"/>
              <w:tr2bl w:val="nil"/>
            </w:tcBorders>
            <w:noWrap w:val="0"/>
            <w:vAlign w:val="center"/>
          </w:tcPr>
          <w:p w14:paraId="1BE38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p>
        </w:tc>
      </w:tr>
    </w:tbl>
    <w:p w14:paraId="7373743A">
      <w:pPr>
        <w:keepNext w:val="0"/>
        <w:keepLines w:val="0"/>
        <w:pageBreakBefore w:val="0"/>
        <w:widowControl/>
        <w:kinsoku/>
        <w:wordWrap/>
        <w:overflowPunct/>
        <w:topLinePunct w:val="0"/>
        <w:autoSpaceDE/>
        <w:autoSpaceDN/>
        <w:bidi w:val="0"/>
        <w:adjustRightInd w:val="0"/>
        <w:snapToGrid w:val="0"/>
        <w:spacing w:line="120" w:lineRule="exact"/>
        <w:ind w:firstLine="480" w:firstLineChars="200"/>
        <w:textAlignment w:val="auto"/>
        <w:rPr>
          <w:rFonts w:hint="default" w:ascii="Times New Roman" w:hAnsi="Times New Roman" w:eastAsia="宋体" w:cs="Times New Roman"/>
          <w:color w:val="auto"/>
          <w:sz w:val="24"/>
          <w:szCs w:val="24"/>
          <w:u w:val="none" w:color="auto"/>
        </w:rPr>
      </w:pPr>
    </w:p>
    <w:p w14:paraId="7E2599F6">
      <w:pPr>
        <w:pageBreakBefore w:val="0"/>
        <w:kinsoku/>
        <w:wordWrap/>
        <w:overflowPunct/>
        <w:topLinePunct w:val="0"/>
        <w:bidi w:val="0"/>
        <w:spacing w:before="0" w:after="0" w:line="360" w:lineRule="auto"/>
        <w:textAlignment w:val="auto"/>
        <w:outlineLvl w:val="9"/>
        <w:rPr>
          <w:rFonts w:hint="default" w:ascii="Times New Roman" w:hAnsi="Times New Roman" w:eastAsia="宋体" w:cs="Times New Roman"/>
          <w:color w:val="auto"/>
          <w:sz w:val="24"/>
          <w:szCs w:val="24"/>
          <w:u w:val="none" w:color="auto"/>
        </w:rPr>
      </w:pPr>
      <w:bookmarkStart w:id="810" w:name="_Toc16289"/>
      <w:r>
        <w:rPr>
          <w:rFonts w:hint="default" w:ascii="Times New Roman" w:hAnsi="Times New Roman" w:eastAsia="宋体" w:cs="Times New Roman"/>
          <w:color w:val="auto"/>
          <w:sz w:val="24"/>
          <w:szCs w:val="24"/>
          <w:u w:val="none" w:color="auto"/>
          <w:lang w:val="en-US" w:eastAsia="zh-CN"/>
        </w:rPr>
        <w:t>五、</w:t>
      </w:r>
      <w:r>
        <w:rPr>
          <w:rFonts w:hint="default" w:ascii="Times New Roman" w:hAnsi="Times New Roman" w:eastAsia="宋体" w:cs="Times New Roman"/>
          <w:color w:val="auto"/>
          <w:sz w:val="24"/>
          <w:szCs w:val="24"/>
          <w:u w:val="none" w:color="auto"/>
        </w:rPr>
        <w:t>人工增殖放流</w:t>
      </w:r>
      <w:bookmarkEnd w:id="810"/>
    </w:p>
    <w:p w14:paraId="0605F1DA">
      <w:pPr>
        <w:pageBreakBefore w:val="0"/>
        <w:kinsoku/>
        <w:wordWrap/>
        <w:overflowPunct/>
        <w:topLinePunct w:val="0"/>
        <w:bidi w:val="0"/>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国外很早就采取人工增殖放流措施恢复鱼类资源，如原苏联在伏尔加河放流鲟鱼。我国的人工增殖放流始于20世纪80年代中期，针对葛洲坝阻隔实施中华鲟的人工放流；2005年起为补偿三峡工程及金沙江水电开发对鱼类资源的影响，投入大量资金，开展了长江珍稀特有鱼类和四大家鱼等重要经济鱼类的人工放流，对长江鱼类资源的恢复起到了一定的促进作用。但人工增殖放流的作用有限，如中华鲟人工放流，长江河口幼鲟中仅5％~10％的个体来源于人工放流，中华鲟种群主要由自然繁殖种群维系。只有将人工繁育的特有鱼类投放到尚存的能完成生活史的江段才能发挥作用，鱼类人工增殖放流不是简单的买鱼来放，是一项技术性很强的工作，投放的鱼种若不问亲本来源或为杂交种，不仅起不到保护作用，反而会对东洞庭湖的鱼类资源造成破坏。</w:t>
      </w:r>
    </w:p>
    <w:p w14:paraId="27F7FA6E">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目前渔业部门在洞庭湖区已开展长期的增殖放流活动，由于</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工程影响，因此对</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四大家鱼</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应重点关注，在渔业部门正常的增殖放流基础上，加大力度，在施工水域范围实行较长时期的补偿性增殖放流措施，同时增加部分珍稀鱼类的增殖放流，初步计划补偿放流2年，以后根据鱼类资源状况确定是否调整品种数量或延长放流时间。</w:t>
      </w:r>
    </w:p>
    <w:p w14:paraId="2E0C461E">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val="en-US" w:eastAsia="zh-CN"/>
        </w:rPr>
        <w:t>码头</w:t>
      </w:r>
      <w:r>
        <w:rPr>
          <w:rFonts w:hint="default" w:ascii="Times New Roman" w:hAnsi="Times New Roman" w:eastAsia="宋体" w:cs="Times New Roman"/>
          <w:color w:val="auto"/>
          <w:sz w:val="24"/>
          <w:szCs w:val="24"/>
          <w:u w:val="none" w:color="auto"/>
        </w:rPr>
        <w:t>提质改造工程会对保护区的鱼类资源产生</w:t>
      </w:r>
      <w:r>
        <w:rPr>
          <w:rFonts w:hint="default" w:ascii="Times New Roman" w:hAnsi="Times New Roman" w:eastAsia="宋体" w:cs="Times New Roman"/>
          <w:color w:val="auto"/>
          <w:sz w:val="24"/>
          <w:szCs w:val="24"/>
          <w:u w:val="none" w:color="auto"/>
          <w:lang w:val="en-US" w:eastAsia="zh-CN"/>
        </w:rPr>
        <w:t>一</w:t>
      </w:r>
      <w:r>
        <w:rPr>
          <w:rFonts w:hint="default" w:ascii="Times New Roman" w:hAnsi="Times New Roman" w:eastAsia="宋体" w:cs="Times New Roman"/>
          <w:color w:val="auto"/>
          <w:sz w:val="24"/>
          <w:szCs w:val="24"/>
          <w:u w:val="none" w:color="auto"/>
        </w:rPr>
        <w:t>定的影响，根据《中华人民共和国渔业法》和《中华人民共和国自然保护区条例》等法律、法规等的规定，拟建工程业主需采取鱼类人工增殖放流来补偿工程对鱼类资源造成的影响。本保护区的主要保护对象为铜鱼、短颌鲚、鲤、鲫、黄颡鱼。鉴于洞庭湖鲤、鲫、黄颡鱼等黏性卵鱼类具有较多产卵场且比重较大、短颌鲚人工繁殖未突破，提出了主要开展铜鱼增殖放流。拟放流铜鱼规格尾3cm以上</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拟投入增殖放流资金50万元。人工增殖放流资金包括放流鱼苗的监理费、检验检疫费、放流现场组织管理费等</w:t>
      </w:r>
      <w:r>
        <w:rPr>
          <w:rFonts w:hint="default" w:ascii="Times New Roman" w:hAnsi="Times New Roman" w:eastAsia="宋体" w:cs="Times New Roman"/>
          <w:color w:val="auto"/>
          <w:sz w:val="24"/>
          <w:szCs w:val="24"/>
          <w:u w:val="none" w:color="auto"/>
          <w:lang w:eastAsia="zh-CN"/>
        </w:rPr>
        <w:t>。</w:t>
      </w:r>
    </w:p>
    <w:p w14:paraId="3F509066">
      <w:pPr>
        <w:pStyle w:val="10"/>
        <w:pageBreakBefore w:val="0"/>
        <w:kinsoku/>
        <w:wordWrap/>
        <w:overflowPunct/>
        <w:topLinePunct w:val="0"/>
        <w:bidi w:val="0"/>
        <w:spacing w:before="0" w:after="0" w:line="360" w:lineRule="auto"/>
        <w:textAlignment w:val="auto"/>
        <w:outlineLvl w:val="3"/>
        <w:rPr>
          <w:rFonts w:hint="default" w:ascii="Times New Roman" w:hAnsi="Times New Roman" w:eastAsia="宋体" w:cs="Times New Roman"/>
          <w:color w:val="auto"/>
          <w:sz w:val="24"/>
          <w:szCs w:val="24"/>
          <w:u w:val="none" w:color="auto"/>
        </w:rPr>
      </w:pPr>
      <w:bookmarkStart w:id="811" w:name="_Toc1988"/>
      <w:bookmarkStart w:id="812" w:name="_Toc12645"/>
      <w:r>
        <w:rPr>
          <w:rFonts w:hint="default" w:ascii="Times New Roman" w:hAnsi="Times New Roman" w:eastAsia="宋体" w:cs="Times New Roman"/>
          <w:color w:val="auto"/>
          <w:sz w:val="24"/>
          <w:szCs w:val="24"/>
          <w:u w:val="none" w:color="auto"/>
          <w:lang w:val="en-US" w:eastAsia="zh-CN"/>
        </w:rPr>
        <w:t xml:space="preserve">6.2.5.2 </w:t>
      </w:r>
      <w:r>
        <w:rPr>
          <w:rFonts w:hint="default" w:ascii="Times New Roman" w:hAnsi="Times New Roman" w:eastAsia="宋体" w:cs="Times New Roman"/>
          <w:color w:val="auto"/>
          <w:sz w:val="24"/>
          <w:szCs w:val="24"/>
          <w:u w:val="none" w:color="auto"/>
        </w:rPr>
        <w:t>对鸟类的保护措施</w:t>
      </w:r>
      <w:bookmarkEnd w:id="811"/>
      <w:bookmarkEnd w:id="812"/>
    </w:p>
    <w:p w14:paraId="4D2D3D3E">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为减缓工程建设对鸟类资源的影响，建议运营期采取防护措施。由于部分水禽类对噪声和振动具有一定的敏感性，建议对通过自然保护区实验区的段落全程采取隔音措施</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同时应做好遮光措施，避免夜间通过</w:t>
      </w:r>
      <w:r>
        <w:rPr>
          <w:rFonts w:hint="default" w:ascii="Times New Roman" w:hAnsi="Times New Roman" w:eastAsia="宋体" w:cs="Times New Roman"/>
          <w:color w:val="auto"/>
          <w:sz w:val="24"/>
          <w:szCs w:val="24"/>
          <w:u w:val="none" w:color="auto"/>
          <w:lang w:val="en-US" w:eastAsia="zh-CN"/>
        </w:rPr>
        <w:t>船只</w:t>
      </w:r>
      <w:r>
        <w:rPr>
          <w:rFonts w:hint="default" w:ascii="Times New Roman" w:hAnsi="Times New Roman" w:eastAsia="宋体" w:cs="Times New Roman"/>
          <w:color w:val="auto"/>
          <w:sz w:val="24"/>
          <w:szCs w:val="24"/>
          <w:u w:val="none" w:color="auto"/>
        </w:rPr>
        <w:t>的灯光对湖南东洞庭湖主要保护物种产生的影响。加强对</w:t>
      </w:r>
      <w:r>
        <w:rPr>
          <w:rFonts w:hint="default" w:ascii="Times New Roman" w:hAnsi="Times New Roman" w:eastAsia="宋体" w:cs="Times New Roman"/>
          <w:color w:val="auto"/>
          <w:sz w:val="24"/>
          <w:szCs w:val="24"/>
          <w:u w:val="none" w:color="auto"/>
          <w:lang w:val="en-US" w:eastAsia="zh-CN"/>
        </w:rPr>
        <w:t>工作</w:t>
      </w:r>
      <w:r>
        <w:rPr>
          <w:rFonts w:hint="default" w:ascii="Times New Roman" w:hAnsi="Times New Roman" w:eastAsia="宋体" w:cs="Times New Roman"/>
          <w:color w:val="auto"/>
          <w:sz w:val="24"/>
          <w:szCs w:val="24"/>
          <w:u w:val="none" w:color="auto"/>
        </w:rPr>
        <w:t>人员爱鸟护鸟的宣传教育工作，制定相关规定和监管制度，禁止</w:t>
      </w:r>
      <w:r>
        <w:rPr>
          <w:rFonts w:hint="default" w:ascii="Times New Roman" w:hAnsi="Times New Roman" w:eastAsia="宋体" w:cs="Times New Roman"/>
          <w:color w:val="auto"/>
          <w:sz w:val="24"/>
          <w:szCs w:val="24"/>
          <w:u w:val="none" w:color="auto"/>
          <w:lang w:val="en-US" w:eastAsia="zh-CN"/>
        </w:rPr>
        <w:t>工作</w:t>
      </w:r>
      <w:r>
        <w:rPr>
          <w:rFonts w:hint="default" w:ascii="Times New Roman" w:hAnsi="Times New Roman" w:eastAsia="宋体" w:cs="Times New Roman"/>
          <w:color w:val="auto"/>
          <w:sz w:val="24"/>
          <w:szCs w:val="24"/>
          <w:u w:val="none" w:color="auto"/>
        </w:rPr>
        <w:t>人员随意破坏植被、捕杀鸟类和对鸟类造成伤害的一切活动。候鸟迁徙期，尤其是4月和12月候鸟过境高峰期间，避免夜间</w:t>
      </w:r>
      <w:r>
        <w:rPr>
          <w:rFonts w:hint="default" w:ascii="Times New Roman" w:hAnsi="Times New Roman" w:eastAsia="宋体" w:cs="Times New Roman"/>
          <w:color w:val="auto"/>
          <w:sz w:val="24"/>
          <w:szCs w:val="24"/>
          <w:u w:val="none" w:color="auto"/>
          <w:lang w:val="en-US" w:eastAsia="zh-CN"/>
        </w:rPr>
        <w:t>营运</w:t>
      </w:r>
      <w:r>
        <w:rPr>
          <w:rFonts w:hint="default" w:ascii="Times New Roman" w:hAnsi="Times New Roman" w:eastAsia="宋体" w:cs="Times New Roman"/>
          <w:color w:val="auto"/>
          <w:sz w:val="24"/>
          <w:szCs w:val="24"/>
          <w:u w:val="none" w:color="auto"/>
        </w:rPr>
        <w:t>。</w:t>
      </w:r>
    </w:p>
    <w:p w14:paraId="770CFBF0">
      <w:pPr>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鹿角交通渔政综合执法码头</w:t>
      </w:r>
      <w:r>
        <w:rPr>
          <w:rFonts w:hint="default" w:ascii="Times New Roman" w:hAnsi="Times New Roman" w:eastAsia="宋体" w:cs="Times New Roman"/>
          <w:color w:val="auto"/>
          <w:sz w:val="24"/>
          <w:szCs w:val="24"/>
          <w:u w:val="none" w:color="auto"/>
        </w:rPr>
        <w:t>运营单位与保护区主管部门加强合作，对候鸟迁徙过程中，受伤、迷途、掉队的类实施及时救助。在穿越鸟类栖息地与迁徙必经路段设置预告、提醒等标志牌，上写“进入鸟类栖息地，请谨慎驾驶”、“减速慢行、禁止鸣笛”等字样，提醒司机在这些路段减速慢行，夜间避免使用远距灯光。</w:t>
      </w:r>
    </w:p>
    <w:p w14:paraId="39A09284">
      <w:pPr>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此外还应制定生物多样性跟踪监测计划，如有发现生物多样性发生较大变化的事件，要及时报告给自然保护区主管部门，并按照相关部门的要求采取相应的措施。</w:t>
      </w:r>
    </w:p>
    <w:p w14:paraId="41F5A469">
      <w:pPr>
        <w:pStyle w:val="10"/>
        <w:pageBreakBefore w:val="0"/>
        <w:kinsoku/>
        <w:wordWrap/>
        <w:overflowPunct/>
        <w:topLinePunct w:val="0"/>
        <w:bidi w:val="0"/>
        <w:spacing w:before="0" w:after="0" w:line="360" w:lineRule="auto"/>
        <w:textAlignment w:val="auto"/>
        <w:outlineLvl w:val="3"/>
        <w:rPr>
          <w:rFonts w:hint="default" w:ascii="Times New Roman" w:hAnsi="Times New Roman" w:eastAsia="宋体" w:cs="Times New Roman"/>
          <w:color w:val="auto"/>
          <w:sz w:val="24"/>
          <w:szCs w:val="24"/>
          <w:u w:val="none" w:color="auto"/>
        </w:rPr>
      </w:pPr>
      <w:bookmarkStart w:id="813" w:name="_Toc24932"/>
      <w:bookmarkStart w:id="814" w:name="_Toc7307"/>
      <w:r>
        <w:rPr>
          <w:rFonts w:hint="default" w:ascii="Times New Roman" w:hAnsi="Times New Roman" w:eastAsia="宋体" w:cs="Times New Roman"/>
          <w:color w:val="auto"/>
          <w:sz w:val="24"/>
          <w:szCs w:val="24"/>
          <w:u w:val="none" w:color="auto"/>
          <w:lang w:val="en-US" w:eastAsia="zh-CN"/>
        </w:rPr>
        <w:t xml:space="preserve">6.2.5.3 </w:t>
      </w:r>
      <w:r>
        <w:rPr>
          <w:rFonts w:hint="default" w:ascii="Times New Roman" w:hAnsi="Times New Roman" w:eastAsia="宋体" w:cs="Times New Roman"/>
          <w:color w:val="auto"/>
          <w:sz w:val="24"/>
          <w:szCs w:val="24"/>
          <w:u w:val="none" w:color="auto"/>
        </w:rPr>
        <w:t>对江豚的保护措施</w:t>
      </w:r>
      <w:bookmarkEnd w:id="813"/>
      <w:bookmarkEnd w:id="814"/>
    </w:p>
    <w:p w14:paraId="446DA5C6">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控制</w:t>
      </w:r>
      <w:r>
        <w:rPr>
          <w:rFonts w:hint="default" w:ascii="Times New Roman" w:hAnsi="Times New Roman" w:eastAsia="宋体" w:cs="Times New Roman"/>
          <w:color w:val="auto"/>
          <w:sz w:val="24"/>
          <w:szCs w:val="24"/>
          <w:u w:val="none" w:color="auto"/>
          <w:lang w:val="en-US" w:eastAsia="zh-CN"/>
        </w:rPr>
        <w:t>趸船</w:t>
      </w:r>
      <w:r>
        <w:rPr>
          <w:rFonts w:hint="default" w:ascii="Times New Roman" w:hAnsi="Times New Roman" w:eastAsia="宋体" w:cs="Times New Roman"/>
          <w:color w:val="auto"/>
          <w:sz w:val="24"/>
          <w:szCs w:val="24"/>
          <w:u w:val="none" w:color="auto"/>
        </w:rPr>
        <w:t>舶进出量。已有研究表明，</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对船舶噪声有主动躲避行为，比如，船舶出现与江豚出现存在负相关关系，在船舶航行轨迹的0~50m垂直距离范围内，通常难以观察到江豚，而在50~100m范围内却能观察到江豚。尽管</w:t>
      </w:r>
      <w:r>
        <w:rPr>
          <w:rFonts w:hint="default" w:ascii="Times New Roman" w:hAnsi="Times New Roman" w:eastAsia="宋体" w:cs="Times New Roman"/>
          <w:color w:val="auto"/>
          <w:sz w:val="24"/>
          <w:szCs w:val="24"/>
          <w:u w:val="none" w:color="auto"/>
          <w:lang w:eastAsia="zh-CN"/>
        </w:rPr>
        <w:t>江豚</w:t>
      </w:r>
      <w:r>
        <w:rPr>
          <w:rFonts w:hint="default" w:ascii="Times New Roman" w:hAnsi="Times New Roman" w:eastAsia="宋体" w:cs="Times New Roman"/>
          <w:color w:val="auto"/>
          <w:sz w:val="24"/>
          <w:szCs w:val="24"/>
          <w:u w:val="none" w:color="auto"/>
        </w:rPr>
        <w:t>能主动避船，但在某些特殊情形下，仍容易被航行船舶伤害，比如在捕食时，江豚容易不理会船舶靠近；在相对狭窄的水道内，高速船舶突然接近时，江豚无处躲避或难以在短时间内逃离到安全距离之外。</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航行过程中要求速度不大于4km，船速较慢，此处水域面积宽广，且各船舶安排专门江豚观察员，时刻关注江豚活动。</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之间的距离必须保持在200m以外，如由于</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量过大而导致</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之间的距离小于200m，应控制</w:t>
      </w:r>
      <w:r>
        <w:rPr>
          <w:rFonts w:hint="default" w:ascii="Times New Roman" w:hAnsi="Times New Roman" w:eastAsia="宋体" w:cs="Times New Roman"/>
          <w:color w:val="auto"/>
          <w:sz w:val="24"/>
          <w:szCs w:val="24"/>
          <w:u w:val="none" w:color="auto"/>
          <w:lang w:eastAsia="zh-CN"/>
        </w:rPr>
        <w:t>趸船舶</w:t>
      </w:r>
      <w:r>
        <w:rPr>
          <w:rFonts w:hint="default" w:ascii="Times New Roman" w:hAnsi="Times New Roman" w:eastAsia="宋体" w:cs="Times New Roman"/>
          <w:color w:val="auto"/>
          <w:sz w:val="24"/>
          <w:szCs w:val="24"/>
          <w:u w:val="none" w:color="auto"/>
        </w:rPr>
        <w:t>进出量，必要的时候禁止船舶进出。一旦发现豚类和大型鱼类受伤，立即展开救护，预算经费1万元。</w:t>
      </w:r>
    </w:p>
    <w:p w14:paraId="5E7C6269">
      <w:pPr>
        <w:pStyle w:val="10"/>
        <w:pageBreakBefore w:val="0"/>
        <w:kinsoku/>
        <w:wordWrap/>
        <w:overflowPunct/>
        <w:topLinePunct w:val="0"/>
        <w:bidi w:val="0"/>
        <w:spacing w:before="0" w:after="0" w:line="360" w:lineRule="auto"/>
        <w:textAlignment w:val="auto"/>
        <w:outlineLvl w:val="3"/>
        <w:rPr>
          <w:rFonts w:hint="default" w:ascii="Times New Roman" w:hAnsi="Times New Roman" w:eastAsia="宋体" w:cs="Times New Roman"/>
          <w:color w:val="auto"/>
          <w:sz w:val="24"/>
          <w:szCs w:val="24"/>
        </w:rPr>
      </w:pPr>
      <w:bookmarkStart w:id="815" w:name="_Toc3637"/>
      <w:bookmarkStart w:id="816" w:name="_Toc10143"/>
      <w:bookmarkStart w:id="817" w:name="_Hlk526356258"/>
      <w:r>
        <w:rPr>
          <w:rFonts w:hint="default" w:ascii="Times New Roman" w:hAnsi="Times New Roman" w:eastAsia="宋体" w:cs="Times New Roman"/>
          <w:color w:val="auto"/>
          <w:sz w:val="24"/>
          <w:szCs w:val="24"/>
          <w:lang w:val="en-US" w:eastAsia="zh-CN"/>
        </w:rPr>
        <w:t xml:space="preserve">6.2.5.4 </w:t>
      </w:r>
      <w:r>
        <w:rPr>
          <w:rFonts w:hint="default" w:ascii="Times New Roman" w:hAnsi="Times New Roman" w:eastAsia="宋体" w:cs="Times New Roman"/>
          <w:color w:val="auto"/>
          <w:sz w:val="24"/>
          <w:szCs w:val="24"/>
        </w:rPr>
        <w:t>陆生生态保护措施</w:t>
      </w:r>
      <w:bookmarkEnd w:id="815"/>
      <w:bookmarkEnd w:id="816"/>
    </w:p>
    <w:p w14:paraId="7589EC08">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严格控制施工用地，严禁越界施工。施工前，建设单位应在各主要施工区、临近保护区界位置设置生态保护警示牌，标明工程施工区范围，禁止越界施工、破坏评价区植物及植被。</w:t>
      </w:r>
    </w:p>
    <w:p w14:paraId="4D2D2CA4">
      <w:pPr>
        <w:pageBreakBefore w:val="0"/>
        <w:kinsoku/>
        <w:wordWrap/>
        <w:overflowPunct/>
        <w:topLinePunct w:val="0"/>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港口环保设计规范》，绿化面积不应小于可绿化面积的85%。在生产区及辅助生产生活区的卫生防护距离内设防护林，防护林带的宽度宜为5~10m，主要树种为梧桐、意杨等；绿化配合种植乔、灌木和矮林，形成高、中、低相结合的常绿防护林带，以减小港区风速，并起到吸尘、降噪和美化环境的作业。</w:t>
      </w:r>
    </w:p>
    <w:p w14:paraId="069616AB">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防止外来入侵种的扩散。工程材料准备及运输阶段应加强检疫，同时对现有的外来入侵种，施工单位应利用工程施工的机会，可进行打捞、拔除等防治措施。</w:t>
      </w:r>
    </w:p>
    <w:p w14:paraId="3F084543">
      <w:pPr>
        <w:pStyle w:val="15"/>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尽量避开雨季、汛期施工，以减少洪水的侵蚀，做到随挖、随运、随铺、随压，尽量不留疏松地面，减少风蚀导致的水土流失。划定施工作业带范围和路线，不随意扩大。并严格控制机械和车辆的作业范围，尽可能减少对土壤和农作物的破坏以及由此引发的水土流失。</w:t>
      </w:r>
    </w:p>
    <w:p w14:paraId="40BB345F">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项目建设单位组织生态环保宣传教育，提高施工人员的保护意识，严禁捕猎野生动物。施工人员必须遵守《中华人民共和国野生动物保护法》，严禁在施工区及其周围捕猎野生动物，特别是国家级及省级重点保护动物，在施工时严禁对其进行猎捕，严禁施工人员捕杀野生动物。</w:t>
      </w:r>
    </w:p>
    <w:p w14:paraId="5248899E">
      <w:pPr>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单位合理设置工程施工时段和方式，防止噪声对野生动物的惊扰。野生鸟类和兽类大多是早晨、黄昏或夜间外出觅食，正午是鸟类休息时间。为了减少工程施工噪声对野生动物的惊扰，应做好施工方式和时间的计划，并力求避免在晨昏和正午的噪声影响等。设计阶段选择合理的料堆放场地，且禁止在保护区内设置临时占地区。</w:t>
      </w:r>
    </w:p>
    <w:p w14:paraId="2CDBF9C8">
      <w:pPr>
        <w:pStyle w:val="10"/>
        <w:pageBreakBefore w:val="0"/>
        <w:kinsoku/>
        <w:wordWrap/>
        <w:overflowPunct/>
        <w:topLinePunct w:val="0"/>
        <w:bidi w:val="0"/>
        <w:spacing w:before="0" w:after="0" w:line="360" w:lineRule="auto"/>
        <w:jc w:val="left"/>
        <w:textAlignment w:val="auto"/>
        <w:outlineLvl w:val="3"/>
        <w:rPr>
          <w:rFonts w:hint="default" w:ascii="Times New Roman" w:hAnsi="Times New Roman" w:eastAsia="宋体" w:cs="Times New Roman"/>
          <w:color w:val="auto"/>
          <w:sz w:val="24"/>
          <w:szCs w:val="24"/>
          <w:u w:val="none" w:color="auto"/>
        </w:rPr>
      </w:pPr>
      <w:bookmarkStart w:id="818" w:name="_Toc11613"/>
      <w:bookmarkStart w:id="819" w:name="_Toc11081"/>
      <w:r>
        <w:rPr>
          <w:rFonts w:hint="default" w:ascii="Times New Roman" w:hAnsi="Times New Roman" w:eastAsia="宋体" w:cs="Times New Roman"/>
          <w:color w:val="auto"/>
          <w:sz w:val="24"/>
          <w:szCs w:val="24"/>
          <w:u w:val="none" w:color="auto"/>
          <w:lang w:val="en-US" w:eastAsia="zh-CN"/>
        </w:rPr>
        <w:t xml:space="preserve">6.2.4.5 </w:t>
      </w:r>
      <w:r>
        <w:rPr>
          <w:rFonts w:hint="default" w:ascii="Times New Roman" w:hAnsi="Times New Roman" w:eastAsia="宋体" w:cs="Times New Roman"/>
          <w:color w:val="auto"/>
          <w:sz w:val="24"/>
          <w:szCs w:val="24"/>
          <w:u w:val="none" w:color="auto"/>
        </w:rPr>
        <w:t>加大保护监管力度</w:t>
      </w:r>
      <w:bookmarkEnd w:id="818"/>
      <w:bookmarkEnd w:id="819"/>
    </w:p>
    <w:p w14:paraId="40502B2E">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工程业主及其主管部门应建立与湖南东洞庭湖国家级自然保护区管理部门、当地渔业行政管理部门的沟通联系，制定水生态保护监管方案，加</w:t>
      </w:r>
      <w:r>
        <w:rPr>
          <w:rFonts w:hint="default" w:ascii="Times New Roman" w:hAnsi="Times New Roman" w:eastAsia="宋体" w:cs="Times New Roman"/>
          <w:color w:val="auto"/>
          <w:sz w:val="24"/>
          <w:szCs w:val="24"/>
          <w:u w:val="none" w:color="auto"/>
          <w:lang w:eastAsia="zh-CN"/>
        </w:rPr>
        <w:t>码头提质改造营运期</w:t>
      </w:r>
      <w:r>
        <w:rPr>
          <w:rFonts w:hint="default" w:ascii="Times New Roman" w:hAnsi="Times New Roman" w:eastAsia="宋体" w:cs="Times New Roman"/>
          <w:color w:val="auto"/>
          <w:sz w:val="24"/>
          <w:szCs w:val="24"/>
          <w:u w:val="none" w:color="auto"/>
        </w:rPr>
        <w:t>及</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后一定时期的渔政监管，督促落实各项水生态保护管理措施、渔业资源补偿与修复措施。</w:t>
      </w:r>
    </w:p>
    <w:p w14:paraId="092DEB19">
      <w:pPr>
        <w:pageBreakBefore w:val="0"/>
        <w:kinsoku/>
        <w:wordWrap/>
        <w:overflowPunct/>
        <w:topLinePunct w:val="0"/>
        <w:bidi w:val="0"/>
        <w:spacing w:line="360" w:lineRule="auto"/>
        <w:ind w:firstLine="560"/>
        <w:jc w:val="left"/>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单位应与湖南东洞庭湖国家级自然保护区管理部门联合建立</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与生态修复水生态保护机制，渔业主管部门应监督落实清是项目的各项水生态保护措施；水利部门应强化</w:t>
      </w:r>
      <w:r>
        <w:rPr>
          <w:rFonts w:hint="default" w:ascii="Times New Roman" w:hAnsi="Times New Roman" w:eastAsia="宋体" w:cs="Times New Roman"/>
          <w:color w:val="auto"/>
          <w:sz w:val="24"/>
          <w:szCs w:val="24"/>
          <w:u w:val="none" w:color="auto"/>
          <w:lang w:eastAsia="zh-CN"/>
        </w:rPr>
        <w:t>项目作业区</w:t>
      </w:r>
      <w:r>
        <w:rPr>
          <w:rFonts w:hint="default" w:ascii="Times New Roman" w:hAnsi="Times New Roman" w:eastAsia="宋体" w:cs="Times New Roman"/>
          <w:color w:val="auto"/>
          <w:sz w:val="24"/>
          <w:szCs w:val="24"/>
          <w:u w:val="none" w:color="auto"/>
        </w:rPr>
        <w:t>监管，渔业部门参与监管</w:t>
      </w:r>
      <w:r>
        <w:rPr>
          <w:rFonts w:hint="eastAsia" w:cs="Times New Roman"/>
          <w:color w:val="auto"/>
          <w:sz w:val="24"/>
          <w:szCs w:val="24"/>
          <w:u w:val="none" w:color="auto"/>
          <w:lang w:eastAsia="zh-CN"/>
        </w:rPr>
        <w:t>。</w:t>
      </w:r>
    </w:p>
    <w:p w14:paraId="7F9B5645">
      <w:pPr>
        <w:pageBreakBefore w:val="0"/>
        <w:kinsoku/>
        <w:wordWrap/>
        <w:overflowPunct/>
        <w:topLinePunct w:val="0"/>
        <w:bidi w:val="0"/>
        <w:spacing w:line="360" w:lineRule="auto"/>
        <w:ind w:firstLine="56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应制定风险事故应急处理预案；制定</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管理规程和配套规章制度，严禁作业人员下河捕鱼，严禁捕捉水生野生动物，并对受影响的水生野生动物物种实施救护保护。</w:t>
      </w:r>
      <w:bookmarkEnd w:id="817"/>
      <w:r>
        <w:rPr>
          <w:rFonts w:hint="default" w:ascii="Times New Roman" w:hAnsi="Times New Roman" w:eastAsia="宋体" w:cs="Times New Roman"/>
          <w:color w:val="auto"/>
          <w:sz w:val="24"/>
          <w:szCs w:val="24"/>
          <w:u w:val="none" w:color="auto"/>
        </w:rPr>
        <w:t>加大宣传力度和广度，渔政部门和业主单位组织有关专业人士在沿湖周边村镇开展水生生物保护宣传活动，进入中小学开展水生生物保护宣讲活动，让周围的村民了解保护水生生物的重要性和相关保护管理措施，让中小学生从小树立保护水生生物、爱护环境的意识，使沿湖群众形成保护水生生物和爱护环境的氛围，自觉自愿参与到水生生物保护和环境爱护的从行动中来，化被动为主动，最终达到资源可持续发展、人与自然和谐相处的目的。管理部门监管次数和实施主体见表</w:t>
      </w:r>
      <w:r>
        <w:rPr>
          <w:rFonts w:hint="default" w:ascii="Times New Roman" w:hAnsi="Times New Roman" w:eastAsia="宋体"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w:t>
      </w:r>
    </w:p>
    <w:p w14:paraId="08279599">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 w:val="24"/>
          <w:szCs w:val="24"/>
          <w:u w:val="none" w:color="auto"/>
          <w:lang w:val="en-US" w:eastAsia="zh-CN"/>
        </w:rPr>
        <w:t xml:space="preserve">6.2-2  </w:t>
      </w:r>
      <w:r>
        <w:rPr>
          <w:rFonts w:hint="default" w:ascii="Times New Roman" w:hAnsi="Times New Roman" w:eastAsia="宋体" w:cs="Times New Roman"/>
          <w:color w:val="auto"/>
          <w:sz w:val="24"/>
          <w:szCs w:val="24"/>
          <w:u w:val="none" w:color="auto"/>
        </w:rPr>
        <w:t>管理部门监管次数和实施主体</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028"/>
        <w:gridCol w:w="2230"/>
        <w:gridCol w:w="2962"/>
      </w:tblGrid>
      <w:tr w14:paraId="7548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 w:hRule="exact"/>
          <w:jc w:val="center"/>
        </w:trPr>
        <w:tc>
          <w:tcPr>
            <w:tcW w:w="1842" w:type="pct"/>
            <w:shd w:val="clear" w:color="auto" w:fill="FFFFFF"/>
            <w:noWrap w:val="0"/>
            <w:vAlign w:val="center"/>
          </w:tcPr>
          <w:p w14:paraId="33E50A17">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项目</w:t>
            </w:r>
          </w:p>
        </w:tc>
        <w:tc>
          <w:tcPr>
            <w:tcW w:w="1356" w:type="pct"/>
            <w:shd w:val="clear" w:color="auto" w:fill="FFFFFF"/>
            <w:noWrap w:val="0"/>
            <w:vAlign w:val="center"/>
          </w:tcPr>
          <w:p w14:paraId="282A3F87">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监管次数</w:t>
            </w:r>
          </w:p>
        </w:tc>
        <w:tc>
          <w:tcPr>
            <w:tcW w:w="1801" w:type="pct"/>
            <w:shd w:val="clear" w:color="auto" w:fill="FFFFFF"/>
            <w:noWrap w:val="0"/>
            <w:vAlign w:val="center"/>
          </w:tcPr>
          <w:p w14:paraId="4D732546">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实施主体</w:t>
            </w:r>
          </w:p>
        </w:tc>
      </w:tr>
      <w:tr w14:paraId="5F46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6" w:hRule="exact"/>
          <w:jc w:val="center"/>
        </w:trPr>
        <w:tc>
          <w:tcPr>
            <w:tcW w:w="1842" w:type="pct"/>
            <w:shd w:val="clear" w:color="auto" w:fill="FFFFFF"/>
            <w:noWrap w:val="0"/>
            <w:vAlign w:val="center"/>
          </w:tcPr>
          <w:p w14:paraId="4A7F18B4">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渔政监管</w:t>
            </w:r>
          </w:p>
        </w:tc>
        <w:tc>
          <w:tcPr>
            <w:tcW w:w="1356" w:type="pct"/>
            <w:shd w:val="clear" w:color="auto" w:fill="FFFFFF"/>
            <w:noWrap w:val="0"/>
            <w:vAlign w:val="center"/>
          </w:tcPr>
          <w:p w14:paraId="362EA8C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1801" w:type="pct"/>
            <w:shd w:val="clear" w:color="auto" w:fill="FFFFFF"/>
            <w:noWrap w:val="0"/>
            <w:vAlign w:val="center"/>
          </w:tcPr>
          <w:p w14:paraId="27EE0C3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渔政部门</w:t>
            </w:r>
          </w:p>
        </w:tc>
      </w:tr>
      <w:tr w14:paraId="7300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7" w:hRule="exact"/>
          <w:jc w:val="center"/>
        </w:trPr>
        <w:tc>
          <w:tcPr>
            <w:tcW w:w="1842" w:type="pct"/>
            <w:shd w:val="clear" w:color="auto" w:fill="FFFFFF"/>
            <w:noWrap w:val="0"/>
            <w:vAlign w:val="center"/>
          </w:tcPr>
          <w:p w14:paraId="18F1D7E1">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环评措施监管</w:t>
            </w:r>
          </w:p>
        </w:tc>
        <w:tc>
          <w:tcPr>
            <w:tcW w:w="1356" w:type="pct"/>
            <w:shd w:val="clear" w:color="auto" w:fill="FFFFFF"/>
            <w:noWrap w:val="0"/>
            <w:vAlign w:val="center"/>
          </w:tcPr>
          <w:p w14:paraId="05A1F8F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801" w:type="pct"/>
            <w:vMerge w:val="restart"/>
            <w:shd w:val="clear" w:color="auto" w:fill="FFFFFF"/>
            <w:noWrap w:val="0"/>
            <w:vAlign w:val="center"/>
          </w:tcPr>
          <w:p w14:paraId="7B43CA10">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岳阳县东洞庭湖渔政监察执法局</w:t>
            </w:r>
          </w:p>
        </w:tc>
      </w:tr>
      <w:tr w14:paraId="412A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7" w:hRule="exact"/>
          <w:jc w:val="center"/>
        </w:trPr>
        <w:tc>
          <w:tcPr>
            <w:tcW w:w="1842" w:type="pct"/>
            <w:shd w:val="clear" w:color="auto" w:fill="FFFFFF"/>
            <w:noWrap w:val="0"/>
            <w:vAlign w:val="center"/>
          </w:tcPr>
          <w:p w14:paraId="37AAEF60">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风险事故防范监管</w:t>
            </w:r>
          </w:p>
        </w:tc>
        <w:tc>
          <w:tcPr>
            <w:tcW w:w="1356" w:type="pct"/>
            <w:shd w:val="clear" w:color="auto" w:fill="FFFFFF"/>
            <w:noWrap w:val="0"/>
            <w:vAlign w:val="center"/>
          </w:tcPr>
          <w:p w14:paraId="419ABDD4">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不定期</w:t>
            </w:r>
          </w:p>
        </w:tc>
        <w:tc>
          <w:tcPr>
            <w:tcW w:w="1801" w:type="pct"/>
            <w:vMerge w:val="continue"/>
            <w:shd w:val="clear" w:color="auto" w:fill="FFFFFF"/>
            <w:noWrap w:val="0"/>
            <w:vAlign w:val="center"/>
          </w:tcPr>
          <w:p w14:paraId="0B0848DE">
            <w:pPr>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227C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7" w:hRule="exact"/>
          <w:jc w:val="center"/>
        </w:trPr>
        <w:tc>
          <w:tcPr>
            <w:tcW w:w="1842" w:type="pct"/>
            <w:shd w:val="clear" w:color="auto" w:fill="FFFFFF"/>
            <w:noWrap w:val="0"/>
            <w:vAlign w:val="center"/>
          </w:tcPr>
          <w:p w14:paraId="76597B1E">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宣传教育</w:t>
            </w:r>
          </w:p>
        </w:tc>
        <w:tc>
          <w:tcPr>
            <w:tcW w:w="1356" w:type="pct"/>
            <w:shd w:val="clear" w:color="auto" w:fill="FFFFFF"/>
            <w:noWrap w:val="0"/>
            <w:vAlign w:val="center"/>
          </w:tcPr>
          <w:p w14:paraId="3F79E87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801" w:type="pct"/>
            <w:vMerge w:val="continue"/>
            <w:shd w:val="clear" w:color="auto" w:fill="FFFFFF"/>
            <w:noWrap w:val="0"/>
            <w:vAlign w:val="center"/>
          </w:tcPr>
          <w:p w14:paraId="3D8DEB40">
            <w:pPr>
              <w:spacing w:line="240" w:lineRule="auto"/>
              <w:ind w:firstLine="0" w:firstLineChars="0"/>
              <w:jc w:val="center"/>
              <w:rPr>
                <w:rFonts w:hint="default" w:ascii="Times New Roman" w:hAnsi="Times New Roman" w:eastAsia="宋体" w:cs="Times New Roman"/>
                <w:color w:val="auto"/>
                <w:sz w:val="21"/>
                <w:szCs w:val="21"/>
                <w:u w:val="none" w:color="auto"/>
              </w:rPr>
            </w:pPr>
          </w:p>
        </w:tc>
      </w:tr>
      <w:tr w14:paraId="37DA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7" w:hRule="exact"/>
          <w:jc w:val="center"/>
        </w:trPr>
        <w:tc>
          <w:tcPr>
            <w:tcW w:w="1842" w:type="pct"/>
            <w:shd w:val="clear" w:color="auto" w:fill="FFFFFF"/>
            <w:noWrap w:val="0"/>
            <w:vAlign w:val="center"/>
          </w:tcPr>
          <w:p w14:paraId="200C798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环境监理</w:t>
            </w:r>
          </w:p>
        </w:tc>
        <w:tc>
          <w:tcPr>
            <w:tcW w:w="1356" w:type="pct"/>
            <w:shd w:val="clear" w:color="auto" w:fill="FFFFFF"/>
            <w:noWrap w:val="0"/>
            <w:vAlign w:val="center"/>
          </w:tcPr>
          <w:p w14:paraId="4DBAD584">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1801" w:type="pct"/>
            <w:shd w:val="clear" w:color="auto" w:fill="FFFFFF"/>
            <w:noWrap w:val="0"/>
            <w:vAlign w:val="center"/>
          </w:tcPr>
          <w:p w14:paraId="4E442DB4">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生态环境部门</w:t>
            </w:r>
          </w:p>
        </w:tc>
      </w:tr>
    </w:tbl>
    <w:p w14:paraId="31074353">
      <w:pPr>
        <w:pStyle w:val="10"/>
        <w:pageBreakBefore w:val="0"/>
        <w:kinsoku/>
        <w:wordWrap/>
        <w:overflowPunct/>
        <w:topLinePunct w:val="0"/>
        <w:autoSpaceDE/>
        <w:autoSpaceDN/>
        <w:bidi w:val="0"/>
        <w:spacing w:beforeLines="0" w:afterLines="0" w:line="360" w:lineRule="auto"/>
        <w:textAlignment w:val="auto"/>
        <w:outlineLvl w:val="3"/>
        <w:rPr>
          <w:rFonts w:hint="default" w:ascii="Times New Roman" w:hAnsi="Times New Roman" w:eastAsia="宋体" w:cs="Times New Roman"/>
          <w:color w:val="auto"/>
          <w:sz w:val="24"/>
          <w:szCs w:val="24"/>
          <w:u w:val="none" w:color="auto"/>
        </w:rPr>
      </w:pPr>
      <w:bookmarkStart w:id="820" w:name="_Toc7079"/>
      <w:bookmarkStart w:id="821" w:name="_Toc23971"/>
      <w:r>
        <w:rPr>
          <w:rFonts w:hint="default" w:ascii="Times New Roman" w:hAnsi="Times New Roman" w:eastAsia="宋体" w:cs="Times New Roman"/>
          <w:color w:val="auto"/>
          <w:sz w:val="24"/>
          <w:szCs w:val="24"/>
          <w:u w:val="none" w:color="auto"/>
          <w:lang w:val="en-US" w:eastAsia="zh-CN"/>
        </w:rPr>
        <w:t xml:space="preserve">6.2.5.6 </w:t>
      </w:r>
      <w:r>
        <w:rPr>
          <w:rFonts w:hint="default" w:ascii="Times New Roman" w:hAnsi="Times New Roman" w:eastAsia="宋体" w:cs="Times New Roman"/>
          <w:color w:val="auto"/>
          <w:sz w:val="24"/>
          <w:szCs w:val="24"/>
          <w:u w:val="none" w:color="auto"/>
        </w:rPr>
        <w:t>其他管理措施</w:t>
      </w:r>
      <w:bookmarkEnd w:id="820"/>
      <w:bookmarkEnd w:id="821"/>
    </w:p>
    <w:p w14:paraId="40543418">
      <w:pPr>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color w:val="auto"/>
          <w:sz w:val="24"/>
          <w:szCs w:val="24"/>
          <w:u w:val="none" w:color="auto"/>
        </w:rPr>
      </w:pPr>
      <w:bookmarkStart w:id="822" w:name="_Toc7467"/>
      <w:r>
        <w:rPr>
          <w:rFonts w:hint="default" w:ascii="Times New Roman" w:hAnsi="Times New Roman" w:eastAsia="宋体" w:cs="Times New Roman"/>
          <w:color w:val="auto"/>
          <w:sz w:val="24"/>
          <w:szCs w:val="24"/>
          <w:u w:val="none" w:color="auto"/>
          <w:lang w:val="en-US" w:eastAsia="zh-CN"/>
        </w:rPr>
        <w:t>一、</w:t>
      </w:r>
      <w:r>
        <w:rPr>
          <w:rFonts w:hint="default" w:ascii="Times New Roman" w:hAnsi="Times New Roman" w:eastAsia="宋体" w:cs="Times New Roman"/>
          <w:color w:val="auto"/>
          <w:sz w:val="24"/>
          <w:szCs w:val="24"/>
          <w:u w:val="none" w:color="auto"/>
        </w:rPr>
        <w:t>加强生态环境保护的宣传和管理力度。</w:t>
      </w:r>
      <w:bookmarkEnd w:id="822"/>
    </w:p>
    <w:p w14:paraId="4385CBF1">
      <w:pPr>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岳阳县东洞庭湖渔政监察执法局</w:t>
      </w:r>
      <w:r>
        <w:rPr>
          <w:rFonts w:hint="default" w:ascii="Times New Roman" w:hAnsi="Times New Roman" w:eastAsia="宋体" w:cs="Times New Roman"/>
          <w:color w:val="auto"/>
          <w:sz w:val="24"/>
          <w:szCs w:val="24"/>
          <w:u w:val="none" w:color="auto"/>
        </w:rPr>
        <w:t>应充分认识到保护江豚等珍稀水生保护动物的重要性，加大对《中华人民共和国野生动物保护法》、《中华人民共和国渔业法》等法律法规的学习和宣传力度，加强对承包商、</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工作人员的宣传教育工作，严禁</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人员利用水上作业之便捕捞珍稀水生保护动物。与</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单位所签定的承包合同中应有环境保护方面的条款，并附有环保要求的具体内容。</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作业期间，以公告、宣传单、板报和会议等形式，加强对</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人员的环境保护宣传教育和保护野生动物常识的宣传，提高</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人员的环境保护意识，使其在</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中能自觉保护生态环境及珍稀水生物种，并遵守相关的生态保护规定；严禁在</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江段进行捕鱼或从事其它有碍生态环境保护的活动，一旦发现水生生物种类，应及时进行保护。</w:t>
      </w:r>
    </w:p>
    <w:p w14:paraId="070BD2A1">
      <w:pPr>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color w:val="auto"/>
          <w:sz w:val="24"/>
          <w:szCs w:val="24"/>
          <w:u w:val="none" w:color="auto"/>
        </w:rPr>
      </w:pPr>
      <w:bookmarkStart w:id="823" w:name="_Toc25720"/>
      <w:r>
        <w:rPr>
          <w:rFonts w:hint="default" w:ascii="Times New Roman" w:hAnsi="Times New Roman" w:eastAsia="宋体" w:cs="Times New Roman"/>
          <w:color w:val="auto"/>
          <w:sz w:val="24"/>
          <w:szCs w:val="24"/>
          <w:u w:val="none" w:color="auto"/>
          <w:lang w:val="en-US" w:eastAsia="zh-CN"/>
        </w:rPr>
        <w:t>二、</w:t>
      </w:r>
      <w:r>
        <w:rPr>
          <w:rFonts w:hint="default" w:ascii="Times New Roman" w:hAnsi="Times New Roman" w:eastAsia="宋体" w:cs="Times New Roman"/>
          <w:color w:val="auto"/>
          <w:sz w:val="24"/>
          <w:szCs w:val="24"/>
          <w:u w:val="none" w:color="auto"/>
        </w:rPr>
        <w:t>优化</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管理和</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作业方式。</w:t>
      </w:r>
      <w:bookmarkEnd w:id="823"/>
    </w:p>
    <w:p w14:paraId="3D918BC5">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为避免</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作业期间对江段珍稀水生生物造成伤害，</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单位应优化工艺方案，控制</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作业。从保护水生生物的角度，作业的船舶必须配备油水分离器，优化</w:t>
      </w:r>
      <w:r>
        <w:rPr>
          <w:rFonts w:hint="default" w:ascii="Times New Roman" w:hAnsi="Times New Roman" w:eastAsia="宋体" w:cs="Times New Roman"/>
          <w:color w:val="auto"/>
          <w:sz w:val="24"/>
          <w:szCs w:val="24"/>
          <w:u w:val="none" w:color="auto"/>
          <w:lang w:eastAsia="zh-CN"/>
        </w:rPr>
        <w:t>码头提质改造</w:t>
      </w:r>
      <w:r>
        <w:rPr>
          <w:rFonts w:hint="default" w:ascii="Times New Roman" w:hAnsi="Times New Roman" w:eastAsia="宋体" w:cs="Times New Roman"/>
          <w:color w:val="auto"/>
          <w:sz w:val="24"/>
          <w:szCs w:val="24"/>
          <w:u w:val="none" w:color="auto"/>
        </w:rPr>
        <w:t>作业方式，尽量减轻水下噪声。生活垃圾必须放入垃圾储存器内，统一收集上岸统一处理。生活污</w:t>
      </w:r>
      <w:r>
        <w:rPr>
          <w:rFonts w:hint="default" w:ascii="Times New Roman" w:hAnsi="Times New Roman" w:eastAsia="宋体" w:cs="Times New Roman"/>
          <w:color w:val="auto"/>
          <w:sz w:val="24"/>
          <w:szCs w:val="24"/>
          <w:u w:val="none" w:color="auto"/>
          <w:lang w:val="en-US" w:eastAsia="zh-CN"/>
        </w:rPr>
        <w:t>水</w:t>
      </w:r>
      <w:r>
        <w:rPr>
          <w:rFonts w:hint="default" w:ascii="Times New Roman" w:hAnsi="Times New Roman" w:eastAsia="宋体" w:cs="Times New Roman"/>
          <w:color w:val="auto"/>
          <w:sz w:val="24"/>
          <w:szCs w:val="24"/>
          <w:u w:val="none" w:color="auto"/>
        </w:rPr>
        <w:t>必须处理达标后排放，以免污染河道水质。</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应避免夜</w:t>
      </w:r>
      <w:r>
        <w:rPr>
          <w:rFonts w:hint="default" w:ascii="Times New Roman" w:hAnsi="Times New Roman" w:eastAsia="宋体" w:cs="Times New Roman"/>
          <w:color w:val="auto"/>
          <w:sz w:val="24"/>
          <w:szCs w:val="24"/>
          <w:u w:val="none" w:color="auto"/>
          <w:lang w:val="en-US" w:eastAsia="zh-CN"/>
        </w:rPr>
        <w:t>间施工</w:t>
      </w:r>
      <w:r>
        <w:rPr>
          <w:rFonts w:hint="default" w:ascii="Times New Roman" w:hAnsi="Times New Roman" w:eastAsia="宋体" w:cs="Times New Roman"/>
          <w:color w:val="auto"/>
          <w:sz w:val="24"/>
          <w:szCs w:val="24"/>
          <w:u w:val="none" w:color="auto"/>
        </w:rPr>
        <w:t>。控制</w:t>
      </w:r>
      <w:r>
        <w:rPr>
          <w:rFonts w:hint="default" w:ascii="Times New Roman" w:hAnsi="Times New Roman" w:eastAsia="宋体" w:cs="Times New Roman"/>
          <w:color w:val="auto"/>
          <w:sz w:val="24"/>
          <w:szCs w:val="24"/>
          <w:u w:val="none" w:color="auto"/>
          <w:lang w:eastAsia="zh-CN"/>
        </w:rPr>
        <w:t>鹿角交通渔政综合执法码头船</w:t>
      </w:r>
      <w:r>
        <w:rPr>
          <w:rFonts w:hint="default" w:ascii="Times New Roman" w:hAnsi="Times New Roman" w:eastAsia="宋体" w:cs="Times New Roman"/>
          <w:color w:val="auto"/>
          <w:sz w:val="24"/>
          <w:szCs w:val="24"/>
          <w:u w:val="none" w:color="auto"/>
        </w:rPr>
        <w:t>舶数量，尽可能给大型水生动物留出活动通道和空间，枯水季节尤其要特别注意控制</w:t>
      </w:r>
      <w:r>
        <w:rPr>
          <w:rFonts w:hint="default" w:ascii="Times New Roman" w:hAnsi="Times New Roman" w:eastAsia="宋体" w:cs="Times New Roman"/>
          <w:color w:val="auto"/>
          <w:sz w:val="24"/>
          <w:szCs w:val="24"/>
          <w:u w:val="none" w:color="auto"/>
          <w:lang w:eastAsia="zh-CN"/>
        </w:rPr>
        <w:t>鹿角交通渔政综合执法码头船</w:t>
      </w:r>
      <w:r>
        <w:rPr>
          <w:rFonts w:hint="default" w:ascii="Times New Roman" w:hAnsi="Times New Roman" w:eastAsia="宋体" w:cs="Times New Roman"/>
          <w:color w:val="auto"/>
          <w:sz w:val="24"/>
          <w:szCs w:val="24"/>
          <w:u w:val="none" w:color="auto"/>
        </w:rPr>
        <w:t>只密度和数量。</w:t>
      </w:r>
    </w:p>
    <w:p w14:paraId="019881BB">
      <w:pPr>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color w:val="auto"/>
          <w:sz w:val="24"/>
          <w:szCs w:val="24"/>
          <w:u w:val="none" w:color="auto"/>
        </w:rPr>
      </w:pPr>
      <w:bookmarkStart w:id="824" w:name="_Toc8183"/>
      <w:r>
        <w:rPr>
          <w:rFonts w:hint="default" w:ascii="Times New Roman" w:hAnsi="Times New Roman" w:eastAsia="宋体" w:cs="Times New Roman"/>
          <w:color w:val="auto"/>
          <w:sz w:val="24"/>
          <w:szCs w:val="24"/>
          <w:u w:val="none" w:color="auto"/>
          <w:lang w:val="en-US" w:eastAsia="zh-CN"/>
        </w:rPr>
        <w:t>三、</w:t>
      </w:r>
      <w:r>
        <w:rPr>
          <w:rFonts w:hint="default" w:ascii="Times New Roman" w:hAnsi="Times New Roman" w:eastAsia="宋体" w:cs="Times New Roman"/>
          <w:color w:val="auto"/>
          <w:sz w:val="24"/>
          <w:szCs w:val="24"/>
          <w:u w:val="none" w:color="auto"/>
        </w:rPr>
        <w:t>加强内部环保治理。</w:t>
      </w:r>
      <w:bookmarkEnd w:id="824"/>
    </w:p>
    <w:p w14:paraId="6511B3A7">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湖区各</w:t>
      </w:r>
      <w:r>
        <w:rPr>
          <w:rFonts w:hint="default" w:ascii="Times New Roman" w:hAnsi="Times New Roman" w:eastAsia="宋体" w:cs="Times New Roman"/>
          <w:color w:val="auto"/>
          <w:sz w:val="24"/>
          <w:szCs w:val="24"/>
          <w:u w:val="none" w:color="auto"/>
          <w:lang w:eastAsia="zh-CN"/>
        </w:rPr>
        <w:t>船</w:t>
      </w:r>
      <w:r>
        <w:rPr>
          <w:rFonts w:hint="default" w:ascii="Times New Roman" w:hAnsi="Times New Roman" w:eastAsia="宋体" w:cs="Times New Roman"/>
          <w:color w:val="auto"/>
          <w:sz w:val="24"/>
          <w:szCs w:val="24"/>
          <w:u w:val="none" w:color="auto"/>
        </w:rPr>
        <w:t>全部配有油污分理处理器，在湖区时间必须启动，不得将油、污水任意排放。同时，落实现场环保人员，对其生活垃圾、废料统一收集后派员统一集中上岸处理。</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lang w:val="en-US" w:eastAsia="zh-CN"/>
        </w:rPr>
        <w:t>应</w:t>
      </w:r>
      <w:r>
        <w:rPr>
          <w:rFonts w:hint="default" w:ascii="Times New Roman" w:hAnsi="Times New Roman" w:eastAsia="宋体" w:cs="Times New Roman"/>
          <w:color w:val="auto"/>
          <w:sz w:val="24"/>
          <w:szCs w:val="24"/>
          <w:u w:val="none" w:color="auto"/>
        </w:rPr>
        <w:t>安排专项资金，支付垃圾收集处理费用。另积极参与农、林部门组织的渔增殖放流、湿地保护等工作，每年安排资金作为渔业补偿经费，维护湖区水生态平衡。</w:t>
      </w:r>
    </w:p>
    <w:p w14:paraId="60F8849D">
      <w:pPr>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color w:val="auto"/>
          <w:sz w:val="24"/>
          <w:szCs w:val="24"/>
          <w:u w:val="none" w:color="auto"/>
        </w:rPr>
      </w:pPr>
      <w:bookmarkStart w:id="825" w:name="_Toc6774"/>
      <w:r>
        <w:rPr>
          <w:rFonts w:hint="default" w:ascii="Times New Roman" w:hAnsi="Times New Roman" w:eastAsia="宋体" w:cs="Times New Roman"/>
          <w:color w:val="auto"/>
          <w:sz w:val="24"/>
          <w:szCs w:val="24"/>
          <w:u w:val="none" w:color="auto"/>
          <w:lang w:val="en-US" w:eastAsia="zh-CN"/>
        </w:rPr>
        <w:t>四、</w:t>
      </w:r>
      <w:r>
        <w:rPr>
          <w:rFonts w:hint="default" w:ascii="Times New Roman" w:hAnsi="Times New Roman" w:eastAsia="宋体" w:cs="Times New Roman"/>
          <w:color w:val="auto"/>
          <w:sz w:val="24"/>
          <w:szCs w:val="24"/>
          <w:u w:val="none" w:color="auto"/>
        </w:rPr>
        <w:t>加强作业期临时救护措施。</w:t>
      </w:r>
      <w:bookmarkEnd w:id="825"/>
    </w:p>
    <w:p w14:paraId="642F2ED6">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加强对湖南东洞庭湖国家级自然保护区内水生生物的保护工作，制定水生生物保护规定，使</w:t>
      </w:r>
      <w:r>
        <w:rPr>
          <w:rFonts w:hint="default" w:ascii="Times New Roman" w:hAnsi="Times New Roman" w:eastAsia="宋体" w:cs="Times New Roman"/>
          <w:color w:val="auto"/>
          <w:sz w:val="24"/>
          <w:szCs w:val="24"/>
          <w:u w:val="none" w:color="auto"/>
          <w:lang w:val="en-US" w:eastAsia="zh-CN"/>
        </w:rPr>
        <w:t>码头工作</w:t>
      </w:r>
      <w:r>
        <w:rPr>
          <w:rFonts w:hint="default" w:ascii="Times New Roman" w:hAnsi="Times New Roman" w:eastAsia="宋体" w:cs="Times New Roman"/>
          <w:color w:val="auto"/>
          <w:sz w:val="24"/>
          <w:szCs w:val="24"/>
          <w:u w:val="none" w:color="auto"/>
        </w:rPr>
        <w:t>人员在</w:t>
      </w:r>
      <w:r>
        <w:rPr>
          <w:rFonts w:hint="default" w:ascii="Times New Roman" w:hAnsi="Times New Roman" w:eastAsia="宋体" w:cs="Times New Roman"/>
          <w:color w:val="auto"/>
          <w:sz w:val="24"/>
          <w:szCs w:val="24"/>
          <w:u w:val="none" w:color="auto"/>
          <w:lang w:val="en-US" w:eastAsia="zh-CN"/>
        </w:rPr>
        <w:t>工作</w:t>
      </w:r>
      <w:r>
        <w:rPr>
          <w:rFonts w:hint="default" w:ascii="Times New Roman" w:hAnsi="Times New Roman" w:eastAsia="宋体" w:cs="Times New Roman"/>
          <w:color w:val="auto"/>
          <w:sz w:val="24"/>
          <w:szCs w:val="24"/>
          <w:u w:val="none" w:color="auto"/>
        </w:rPr>
        <w:t>中能自觉保护珍稀水生动物，并遵守相关的生态保护规定。严禁</w:t>
      </w:r>
      <w:r>
        <w:rPr>
          <w:rFonts w:hint="default" w:ascii="Times New Roman" w:hAnsi="Times New Roman" w:eastAsia="宋体" w:cs="Times New Roman"/>
          <w:color w:val="auto"/>
          <w:sz w:val="24"/>
          <w:szCs w:val="24"/>
          <w:u w:val="none" w:color="auto"/>
          <w:lang w:eastAsia="zh-CN"/>
        </w:rPr>
        <w:t>码头</w:t>
      </w:r>
      <w:r>
        <w:rPr>
          <w:rFonts w:hint="default" w:ascii="Times New Roman" w:hAnsi="Times New Roman" w:eastAsia="宋体" w:cs="Times New Roman"/>
          <w:color w:val="auto"/>
          <w:sz w:val="24"/>
          <w:szCs w:val="24"/>
          <w:u w:val="none" w:color="auto"/>
          <w:lang w:val="en-US" w:eastAsia="zh-CN"/>
        </w:rPr>
        <w:t>工作</w:t>
      </w:r>
      <w:r>
        <w:rPr>
          <w:rFonts w:hint="default" w:ascii="Times New Roman" w:hAnsi="Times New Roman" w:eastAsia="宋体" w:cs="Times New Roman"/>
          <w:color w:val="auto"/>
          <w:sz w:val="24"/>
          <w:szCs w:val="24"/>
          <w:u w:val="none" w:color="auto"/>
        </w:rPr>
        <w:t>人员在江段进行捕鱼或从事其它有碍生态环境及鱼类保护的活动。</w:t>
      </w:r>
      <w:r>
        <w:rPr>
          <w:rFonts w:hint="default" w:ascii="Times New Roman" w:hAnsi="Times New Roman" w:eastAsia="宋体" w:cs="Times New Roman"/>
          <w:color w:val="auto"/>
          <w:sz w:val="24"/>
          <w:szCs w:val="24"/>
          <w:u w:val="none" w:color="auto"/>
          <w:lang w:val="en-US" w:eastAsia="zh-CN"/>
        </w:rPr>
        <w:t>在工作</w:t>
      </w:r>
      <w:r>
        <w:rPr>
          <w:rFonts w:hint="default" w:ascii="Times New Roman" w:hAnsi="Times New Roman" w:eastAsia="宋体" w:cs="Times New Roman"/>
          <w:color w:val="auto"/>
          <w:sz w:val="24"/>
          <w:szCs w:val="24"/>
          <w:u w:val="none" w:color="auto"/>
        </w:rPr>
        <w:t>过程中，发生直接伤害中珍稀特有鱼类及其它保护水生动物的事件，</w:t>
      </w:r>
      <w:r>
        <w:rPr>
          <w:rFonts w:hint="default" w:ascii="Times New Roman" w:hAnsi="Times New Roman" w:eastAsia="宋体" w:cs="Times New Roman"/>
          <w:color w:val="auto"/>
          <w:sz w:val="24"/>
          <w:szCs w:val="24"/>
          <w:u w:val="none" w:color="auto"/>
          <w:lang w:val="en-US" w:eastAsia="zh-CN"/>
        </w:rPr>
        <w:t>工作人员</w:t>
      </w:r>
      <w:r>
        <w:rPr>
          <w:rFonts w:hint="default" w:ascii="Times New Roman" w:hAnsi="Times New Roman" w:eastAsia="宋体" w:cs="Times New Roman"/>
          <w:color w:val="auto"/>
          <w:sz w:val="24"/>
          <w:szCs w:val="24"/>
          <w:u w:val="none" w:color="auto"/>
        </w:rPr>
        <w:t>应及时向湖南东洞庭湖国家级自然保护区管理机构报告，以便采取有效措施，对受伤珍稀特有鱼类进行救治救护。需要配备必要的救护设备。临时救护设备包括：运输设备、增氧设备、药品等医疗卫生设备、各种网具等。</w:t>
      </w:r>
    </w:p>
    <w:p w14:paraId="7148E41B">
      <w:pPr>
        <w:pStyle w:val="10"/>
        <w:pageBreakBefore w:val="0"/>
        <w:kinsoku/>
        <w:wordWrap/>
        <w:overflowPunct/>
        <w:topLinePunct w:val="0"/>
        <w:autoSpaceDE/>
        <w:autoSpaceDN/>
        <w:bidi w:val="0"/>
        <w:spacing w:beforeLines="0" w:afterLines="0" w:line="360" w:lineRule="auto"/>
        <w:textAlignment w:val="auto"/>
        <w:outlineLvl w:val="3"/>
        <w:rPr>
          <w:rFonts w:hint="default" w:ascii="Times New Roman" w:hAnsi="Times New Roman" w:eastAsia="宋体" w:cs="Times New Roman"/>
          <w:color w:val="auto"/>
          <w:sz w:val="24"/>
          <w:szCs w:val="24"/>
          <w:u w:val="none" w:color="auto"/>
        </w:rPr>
      </w:pPr>
      <w:bookmarkStart w:id="826" w:name="_Toc9473"/>
      <w:bookmarkStart w:id="827" w:name="_Toc521971302"/>
      <w:bookmarkStart w:id="828" w:name="_Toc521943221"/>
      <w:bookmarkStart w:id="829" w:name="_Toc16499"/>
      <w:r>
        <w:rPr>
          <w:rFonts w:hint="default" w:ascii="Times New Roman" w:hAnsi="Times New Roman" w:eastAsia="宋体" w:cs="Times New Roman"/>
          <w:color w:val="auto"/>
          <w:sz w:val="24"/>
          <w:szCs w:val="24"/>
          <w:u w:val="none" w:color="auto"/>
          <w:lang w:val="en-US" w:eastAsia="zh-CN"/>
        </w:rPr>
        <w:t xml:space="preserve">6.2.5.7 </w:t>
      </w:r>
      <w:r>
        <w:rPr>
          <w:rFonts w:hint="default" w:ascii="Times New Roman" w:hAnsi="Times New Roman" w:eastAsia="宋体" w:cs="Times New Roman"/>
          <w:color w:val="auto"/>
          <w:sz w:val="24"/>
          <w:szCs w:val="24"/>
          <w:u w:val="none" w:color="auto"/>
        </w:rPr>
        <w:t>生态监测与监理措施</w:t>
      </w:r>
      <w:bookmarkEnd w:id="826"/>
      <w:bookmarkEnd w:id="827"/>
      <w:bookmarkEnd w:id="828"/>
      <w:bookmarkEnd w:id="829"/>
    </w:p>
    <w:p w14:paraId="7B8E83ED">
      <w:pPr>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color w:val="auto"/>
          <w:sz w:val="24"/>
          <w:szCs w:val="24"/>
          <w:u w:val="none" w:color="auto"/>
        </w:rPr>
      </w:pPr>
      <w:bookmarkStart w:id="830" w:name="_Toc30908"/>
      <w:r>
        <w:rPr>
          <w:rFonts w:hint="default" w:ascii="Times New Roman" w:hAnsi="Times New Roman" w:eastAsia="宋体" w:cs="Times New Roman"/>
          <w:color w:val="auto"/>
          <w:sz w:val="24"/>
          <w:szCs w:val="24"/>
          <w:u w:val="none" w:color="auto"/>
          <w:lang w:val="en-US" w:eastAsia="zh-CN"/>
        </w:rPr>
        <w:t>一、</w:t>
      </w:r>
      <w:r>
        <w:rPr>
          <w:rFonts w:hint="default" w:ascii="Times New Roman" w:hAnsi="Times New Roman" w:eastAsia="宋体" w:cs="Times New Roman"/>
          <w:color w:val="auto"/>
          <w:sz w:val="24"/>
          <w:szCs w:val="24"/>
          <w:u w:val="none" w:color="auto"/>
        </w:rPr>
        <w:t>对水生生物进行跟踪监测</w:t>
      </w:r>
      <w:bookmarkEnd w:id="830"/>
    </w:p>
    <w:p w14:paraId="3CE398A5">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实施渔业生态环境和生物资源跟踪监测，提出项目所在水域渔业生态环境和生物资源跟踪监测计划。对保护区范围内进行浮游生物、底栖动物、水生维管束植物、鱼类资源、鱼类产卵场等进行监测，通过连续监测，统计分析该江段水生生物和鱼类种类组成、资源量变化趋势，分析其变化原因，对工程建设及运行的影响进行评价。</w:t>
      </w:r>
    </w:p>
    <w:p w14:paraId="6A3A512A">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水生态环境监测内容：水文、水体理化性质（石油类、氨氮、固体悬浮物）、浮游植物、浮游动物、底栖动物、水生维管束植物的种类、分布密度、生物量等的。</w:t>
      </w:r>
    </w:p>
    <w:p w14:paraId="10D1D84E">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鱼类资源监测内容：鱼类的种类组成、种群结构、资源量的时空分布及累积变化效应，监测河段为保护区干流整个江段。</w:t>
      </w:r>
    </w:p>
    <w:p w14:paraId="794E65DC">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鱼类产卵场监测内容：早期资源种类组成与比例、时空分布、早期资源量、水文要素（温度、流速、水位）、产卵场分布变化、产卵规模等参数。</w:t>
      </w:r>
    </w:p>
    <w:p w14:paraId="2C6AF912">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监测断面：设置</w:t>
      </w:r>
      <w:r>
        <w:rPr>
          <w:rFonts w:hint="default" w:ascii="Times New Roman" w:hAnsi="Times New Roman" w:eastAsia="宋体" w:cs="Times New Roman"/>
          <w:color w:val="auto"/>
          <w:sz w:val="24"/>
          <w:szCs w:val="24"/>
          <w:u w:val="none" w:color="auto"/>
          <w:lang w:val="en-US" w:eastAsia="zh-CN"/>
        </w:rPr>
        <w:t>国控鹿角断面</w:t>
      </w:r>
      <w:r>
        <w:rPr>
          <w:rFonts w:hint="default" w:ascii="Times New Roman" w:hAnsi="Times New Roman" w:eastAsia="宋体" w:cs="Times New Roman"/>
          <w:color w:val="auto"/>
          <w:sz w:val="24"/>
          <w:szCs w:val="24"/>
          <w:u w:val="none" w:color="auto"/>
        </w:rPr>
        <w:t>、工程所在地附近2个监测断面。</w:t>
      </w:r>
    </w:p>
    <w:p w14:paraId="1A23A964">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监测项目有水环境中的COD、SS、石油类等。作业水域水生生物资源监测和保护经费概算见表</w:t>
      </w:r>
      <w:r>
        <w:rPr>
          <w:rFonts w:hint="default" w:ascii="Times New Roman" w:hAnsi="Times New Roman" w:eastAsia="宋体"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w:t>
      </w:r>
    </w:p>
    <w:p w14:paraId="34ACEEF4">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ind w:leftChars="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 w:val="24"/>
          <w:szCs w:val="24"/>
          <w:u w:val="none" w:color="auto"/>
          <w:lang w:val="en-US" w:eastAsia="zh-CN"/>
        </w:rPr>
        <w:t xml:space="preserve">表6.2-3 </w:t>
      </w:r>
      <w:r>
        <w:rPr>
          <w:rFonts w:hint="default" w:ascii="Times New Roman" w:hAnsi="Times New Roman" w:eastAsia="宋体" w:cs="Times New Roman"/>
          <w:color w:val="auto"/>
          <w:sz w:val="24"/>
          <w:szCs w:val="24"/>
          <w:u w:val="none" w:color="auto"/>
        </w:rPr>
        <w:t>作业水域水生生物资源监测和保护经费概算</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33"/>
        <w:gridCol w:w="1677"/>
        <w:gridCol w:w="1181"/>
        <w:gridCol w:w="1641"/>
        <w:gridCol w:w="1488"/>
      </w:tblGrid>
      <w:tr w14:paraId="5CB8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6B2CD26F">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监测内容</w:t>
            </w:r>
          </w:p>
        </w:tc>
        <w:tc>
          <w:tcPr>
            <w:tcW w:w="1020" w:type="pct"/>
            <w:shd w:val="clear" w:color="auto" w:fill="FFFFFF"/>
            <w:noWrap w:val="0"/>
            <w:vAlign w:val="center"/>
          </w:tcPr>
          <w:p w14:paraId="16DA7073">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监测和保护区域</w:t>
            </w:r>
          </w:p>
        </w:tc>
        <w:tc>
          <w:tcPr>
            <w:tcW w:w="718" w:type="pct"/>
            <w:shd w:val="clear" w:color="auto" w:fill="FFFFFF"/>
            <w:noWrap w:val="0"/>
            <w:vAlign w:val="center"/>
          </w:tcPr>
          <w:p w14:paraId="4E913B91">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工作频率</w:t>
            </w:r>
          </w:p>
        </w:tc>
        <w:tc>
          <w:tcPr>
            <w:tcW w:w="998" w:type="pct"/>
            <w:shd w:val="clear" w:color="auto" w:fill="FFFFFF"/>
            <w:noWrap w:val="0"/>
            <w:vAlign w:val="center"/>
          </w:tcPr>
          <w:p w14:paraId="63A2E97B">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金额（万元）</w:t>
            </w:r>
          </w:p>
        </w:tc>
        <w:tc>
          <w:tcPr>
            <w:tcW w:w="904" w:type="pct"/>
            <w:shd w:val="clear" w:color="auto" w:fill="FFFFFF"/>
            <w:noWrap w:val="0"/>
            <w:vAlign w:val="center"/>
          </w:tcPr>
          <w:p w14:paraId="1A0C97DC">
            <w:pPr>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实施主体</w:t>
            </w:r>
          </w:p>
        </w:tc>
      </w:tr>
      <w:tr w14:paraId="32DE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6598791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水质监测（含应急监测）</w:t>
            </w:r>
          </w:p>
        </w:tc>
        <w:tc>
          <w:tcPr>
            <w:tcW w:w="1020" w:type="pct"/>
            <w:shd w:val="clear" w:color="auto" w:fill="FFFFFF"/>
            <w:noWrap w:val="0"/>
            <w:vAlign w:val="center"/>
          </w:tcPr>
          <w:p w14:paraId="6D7AA32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作业水域</w:t>
            </w:r>
          </w:p>
        </w:tc>
        <w:tc>
          <w:tcPr>
            <w:tcW w:w="718" w:type="pct"/>
            <w:shd w:val="clear" w:color="auto" w:fill="FFFFFF"/>
            <w:noWrap w:val="0"/>
            <w:vAlign w:val="center"/>
          </w:tcPr>
          <w:p w14:paraId="5068269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每月一次</w:t>
            </w:r>
          </w:p>
        </w:tc>
        <w:tc>
          <w:tcPr>
            <w:tcW w:w="998" w:type="pct"/>
            <w:shd w:val="clear" w:color="auto" w:fill="FFFFFF"/>
            <w:noWrap w:val="0"/>
            <w:vAlign w:val="center"/>
          </w:tcPr>
          <w:p w14:paraId="4276E5A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904" w:type="pct"/>
            <w:shd w:val="clear" w:color="auto" w:fill="FFFFFF"/>
            <w:noWrap w:val="0"/>
            <w:vAlign w:val="center"/>
          </w:tcPr>
          <w:p w14:paraId="34470CDA">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委托专业机构</w:t>
            </w:r>
          </w:p>
        </w:tc>
      </w:tr>
      <w:tr w14:paraId="3589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7EE8F55D">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鱼类资源监测</w:t>
            </w:r>
          </w:p>
        </w:tc>
        <w:tc>
          <w:tcPr>
            <w:tcW w:w="1020" w:type="pct"/>
            <w:shd w:val="clear" w:color="auto" w:fill="FFFFFF"/>
            <w:noWrap w:val="0"/>
            <w:vAlign w:val="center"/>
          </w:tcPr>
          <w:p w14:paraId="2E62DE7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c>
          <w:tcPr>
            <w:tcW w:w="718" w:type="pct"/>
            <w:shd w:val="clear" w:color="auto" w:fill="FFFFFF"/>
            <w:noWrap w:val="0"/>
            <w:vAlign w:val="center"/>
          </w:tcPr>
          <w:p w14:paraId="6E699387">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2年/次</w:t>
            </w:r>
          </w:p>
        </w:tc>
        <w:tc>
          <w:tcPr>
            <w:tcW w:w="998" w:type="pct"/>
            <w:shd w:val="clear" w:color="auto" w:fill="FFFFFF"/>
            <w:noWrap w:val="0"/>
            <w:vAlign w:val="center"/>
          </w:tcPr>
          <w:p w14:paraId="6BDCA75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904" w:type="pct"/>
            <w:shd w:val="clear" w:color="auto" w:fill="FFFFFF"/>
            <w:noWrap w:val="0"/>
            <w:vAlign w:val="center"/>
          </w:tcPr>
          <w:p w14:paraId="24B58B8E">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r>
      <w:tr w14:paraId="794C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54D846B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其他生物及环境</w:t>
            </w:r>
          </w:p>
        </w:tc>
        <w:tc>
          <w:tcPr>
            <w:tcW w:w="1020" w:type="pct"/>
            <w:shd w:val="clear" w:color="auto" w:fill="FFFFFF"/>
            <w:noWrap w:val="0"/>
            <w:vAlign w:val="center"/>
          </w:tcPr>
          <w:p w14:paraId="1CFADBC4">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c>
          <w:tcPr>
            <w:tcW w:w="718" w:type="pct"/>
            <w:shd w:val="clear" w:color="auto" w:fill="FFFFFF"/>
            <w:noWrap w:val="0"/>
            <w:vAlign w:val="center"/>
          </w:tcPr>
          <w:p w14:paraId="76F57CFC">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2年/次</w:t>
            </w:r>
          </w:p>
        </w:tc>
        <w:tc>
          <w:tcPr>
            <w:tcW w:w="998" w:type="pct"/>
            <w:shd w:val="clear" w:color="auto" w:fill="FFFFFF"/>
            <w:noWrap w:val="0"/>
            <w:vAlign w:val="center"/>
          </w:tcPr>
          <w:p w14:paraId="172115FD">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904" w:type="pct"/>
            <w:shd w:val="clear" w:color="auto" w:fill="FFFFFF"/>
            <w:noWrap w:val="0"/>
            <w:vAlign w:val="center"/>
          </w:tcPr>
          <w:p w14:paraId="028D88E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r>
      <w:tr w14:paraId="1007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6A8EAF7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江豚</w:t>
            </w:r>
            <w:r>
              <w:rPr>
                <w:rFonts w:hint="default" w:ascii="Times New Roman" w:hAnsi="Times New Roman" w:eastAsia="宋体" w:cs="Times New Roman"/>
                <w:color w:val="auto"/>
                <w:sz w:val="21"/>
                <w:szCs w:val="21"/>
                <w:u w:val="none" w:color="auto"/>
              </w:rPr>
              <w:t>监测与保护</w:t>
            </w:r>
          </w:p>
        </w:tc>
        <w:tc>
          <w:tcPr>
            <w:tcW w:w="1020" w:type="pct"/>
            <w:shd w:val="clear" w:color="auto" w:fill="FFFFFF"/>
            <w:noWrap w:val="0"/>
            <w:vAlign w:val="center"/>
          </w:tcPr>
          <w:p w14:paraId="543D34D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c>
          <w:tcPr>
            <w:tcW w:w="718" w:type="pct"/>
            <w:shd w:val="clear" w:color="auto" w:fill="FFFFFF"/>
            <w:noWrap w:val="0"/>
            <w:vAlign w:val="center"/>
          </w:tcPr>
          <w:p w14:paraId="349770C6">
            <w:pPr>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2年/次</w:t>
            </w:r>
          </w:p>
        </w:tc>
        <w:tc>
          <w:tcPr>
            <w:tcW w:w="998" w:type="pct"/>
            <w:shd w:val="clear" w:color="auto" w:fill="FFFFFF"/>
            <w:noWrap w:val="0"/>
            <w:vAlign w:val="center"/>
          </w:tcPr>
          <w:p w14:paraId="5A248CF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904" w:type="pct"/>
            <w:shd w:val="clear" w:color="auto" w:fill="FFFFFF"/>
            <w:noWrap w:val="0"/>
            <w:vAlign w:val="center"/>
          </w:tcPr>
          <w:p w14:paraId="360D2B7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同上</w:t>
            </w:r>
          </w:p>
        </w:tc>
      </w:tr>
      <w:tr w14:paraId="41ED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58" w:type="pct"/>
            <w:shd w:val="clear" w:color="auto" w:fill="FFFFFF"/>
            <w:noWrap w:val="0"/>
            <w:vAlign w:val="center"/>
          </w:tcPr>
          <w:p w14:paraId="09E3771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年合计</w:t>
            </w:r>
          </w:p>
        </w:tc>
        <w:tc>
          <w:tcPr>
            <w:tcW w:w="1020" w:type="pct"/>
            <w:shd w:val="clear" w:color="auto" w:fill="FFFFFF"/>
            <w:noWrap w:val="0"/>
            <w:vAlign w:val="center"/>
          </w:tcPr>
          <w:p w14:paraId="1C9D08FB">
            <w:pPr>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718" w:type="pct"/>
            <w:shd w:val="clear" w:color="auto" w:fill="FFFFFF"/>
            <w:noWrap w:val="0"/>
            <w:vAlign w:val="center"/>
          </w:tcPr>
          <w:p w14:paraId="30B1DC2A">
            <w:pPr>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998" w:type="pct"/>
            <w:shd w:val="clear" w:color="auto" w:fill="FFFFFF"/>
            <w:noWrap w:val="0"/>
            <w:vAlign w:val="center"/>
          </w:tcPr>
          <w:p w14:paraId="410A1DF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c>
          <w:tcPr>
            <w:tcW w:w="904" w:type="pct"/>
            <w:shd w:val="clear" w:color="auto" w:fill="FFFFFF"/>
            <w:noWrap w:val="0"/>
            <w:vAlign w:val="center"/>
          </w:tcPr>
          <w:p w14:paraId="1C57384C">
            <w:pPr>
              <w:spacing w:line="240" w:lineRule="auto"/>
              <w:ind w:firstLine="0" w:firstLineChars="0"/>
              <w:jc w:val="center"/>
              <w:rPr>
                <w:rFonts w:hint="default" w:ascii="Times New Roman" w:hAnsi="Times New Roman" w:eastAsia="宋体" w:cs="Times New Roman"/>
                <w:color w:val="auto"/>
                <w:sz w:val="21"/>
                <w:szCs w:val="21"/>
                <w:u w:val="none" w:color="auto"/>
              </w:rPr>
            </w:pPr>
          </w:p>
        </w:tc>
      </w:tr>
    </w:tbl>
    <w:p w14:paraId="1B7B357F">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480" w:leftChars="0" w:right="0" w:rightChars="0"/>
        <w:textAlignment w:val="auto"/>
        <w:outlineLvl w:val="9"/>
        <w:rPr>
          <w:rFonts w:hint="default" w:ascii="Times New Roman" w:hAnsi="Times New Roman" w:eastAsia="宋体" w:cs="Times New Roman"/>
          <w:color w:val="auto"/>
          <w:u w:val="none" w:color="auto"/>
        </w:rPr>
      </w:pPr>
      <w:bookmarkStart w:id="831" w:name="_Toc20755"/>
      <w:r>
        <w:rPr>
          <w:rFonts w:hint="default" w:ascii="Times New Roman" w:hAnsi="Times New Roman" w:eastAsia="宋体" w:cs="Times New Roman"/>
          <w:color w:val="auto"/>
          <w:u w:val="none" w:color="auto"/>
          <w:lang w:val="en-US" w:eastAsia="zh-CN"/>
        </w:rPr>
        <w:t>二、</w:t>
      </w:r>
      <w:r>
        <w:rPr>
          <w:rFonts w:hint="default" w:ascii="Times New Roman" w:hAnsi="Times New Roman" w:eastAsia="宋体" w:cs="Times New Roman"/>
          <w:color w:val="auto"/>
          <w:u w:val="none" w:color="auto"/>
        </w:rPr>
        <w:t>环境监理</w:t>
      </w:r>
      <w:bookmarkEnd w:id="831"/>
    </w:p>
    <w:p w14:paraId="4C41888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根据环境保护部办公厅文件《关于进一步推进建设项目环境监理试点工作的通知》（环办[2012]5号）、湖南省环境保护厅《关于印发《湖南省环境保护厅建设项目</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三同时</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监督管理试行办法》的通知》（湘环发〔2011〕29号）与《关于做好自然自然保护区管理有关工作的通知》（国办发〔2010〕63号），本项目应开展项目环境监理，环境监理的重点为生态环境。</w:t>
      </w:r>
    </w:p>
    <w:p w14:paraId="56A409B0">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u w:val="none" w:color="auto"/>
        </w:rPr>
      </w:pPr>
      <w:bookmarkStart w:id="832" w:name="_Toc29190"/>
      <w:r>
        <w:rPr>
          <w:rFonts w:hint="default" w:ascii="Times New Roman" w:hAnsi="Times New Roman" w:eastAsia="宋体" w:cs="Times New Roman"/>
          <w:color w:val="auto"/>
          <w:u w:val="none" w:color="auto"/>
        </w:rPr>
        <w:t>1、监理范围</w:t>
      </w:r>
      <w:bookmarkEnd w:id="832"/>
    </w:p>
    <w:p w14:paraId="0A29ED8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环境监理范围为</w:t>
      </w:r>
      <w:r>
        <w:rPr>
          <w:rFonts w:hint="default" w:ascii="Times New Roman" w:hAnsi="Times New Roman" w:eastAsia="宋体" w:cs="Times New Roman"/>
          <w:color w:val="auto"/>
          <w:u w:val="none" w:color="auto"/>
          <w:lang w:eastAsia="zh-CN"/>
        </w:rPr>
        <w:t>岳阳县鹿角交通渔政综合执法码头</w:t>
      </w:r>
      <w:r>
        <w:rPr>
          <w:rFonts w:hint="default" w:ascii="Times New Roman" w:hAnsi="Times New Roman" w:eastAsia="宋体" w:cs="Times New Roman"/>
          <w:color w:val="auto"/>
          <w:u w:val="none" w:color="auto"/>
        </w:rPr>
        <w:t>与间接影响区域，包括</w:t>
      </w:r>
      <w:r>
        <w:rPr>
          <w:rFonts w:hint="default" w:ascii="Times New Roman" w:hAnsi="Times New Roman" w:eastAsia="宋体" w:cs="Times New Roman"/>
          <w:color w:val="auto"/>
          <w:u w:val="none" w:color="auto"/>
          <w:lang w:eastAsia="zh-CN"/>
        </w:rPr>
        <w:t>岳阳县鹿角交通渔政综合执法码头</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eastAsia="zh-CN"/>
        </w:rPr>
        <w:t>趸船</w:t>
      </w:r>
      <w:r>
        <w:rPr>
          <w:rFonts w:hint="default" w:ascii="Times New Roman" w:hAnsi="Times New Roman" w:eastAsia="宋体" w:cs="Times New Roman"/>
          <w:color w:val="auto"/>
          <w:u w:val="none" w:color="auto"/>
        </w:rPr>
        <w:t>活动区等。</w:t>
      </w:r>
    </w:p>
    <w:p w14:paraId="63B918A6">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u w:val="none" w:color="auto"/>
        </w:rPr>
      </w:pPr>
      <w:bookmarkStart w:id="833" w:name="_Toc3161"/>
      <w:r>
        <w:rPr>
          <w:rFonts w:hint="default" w:ascii="Times New Roman" w:hAnsi="Times New Roman" w:eastAsia="宋体" w:cs="Times New Roman"/>
          <w:color w:val="auto"/>
          <w:u w:val="none" w:color="auto"/>
        </w:rPr>
        <w:t>2、监理工作内容</w:t>
      </w:r>
      <w:bookmarkEnd w:id="833"/>
    </w:p>
    <w:p w14:paraId="499AE96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环境监理的工作内容主要是生态保护措施与工程的监理。环境监理主要是指为落实生态保护，针对沿线及湖南东洞庭湖国家级自然保护区提出的各项软性管理措施，如生态保护意识教育、法规宣传、施工人员行为规范等，环境监理应包括各项生态补偿、生态修复工程措施等。</w:t>
      </w:r>
    </w:p>
    <w:p w14:paraId="635BE091">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u w:val="none" w:color="auto"/>
        </w:rPr>
      </w:pPr>
      <w:bookmarkStart w:id="834" w:name="_Toc600"/>
      <w:r>
        <w:rPr>
          <w:rFonts w:hint="default" w:ascii="Times New Roman" w:hAnsi="Times New Roman" w:eastAsia="宋体" w:cs="Times New Roman"/>
          <w:color w:val="auto"/>
          <w:u w:val="none" w:color="auto"/>
        </w:rPr>
        <w:t>3、监理组织机构及工作制度</w:t>
      </w:r>
      <w:bookmarkEnd w:id="834"/>
    </w:p>
    <w:p w14:paraId="18FAE75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环境监理是工程监理的一项组成，建议由专门机构实施环境监理工作。项目设立环境总监（或由总监兼任），主管工程环境监理工作，环境监理办（可由总监办兼）负责组织实施。现场环境监理工程师由专业机构环保专业人员担任。工程环境监理的工作制度主要包括：环境监理会议制度、环境监理记录和报告制度、人员培训制度、函件来往制度、环境监理奖惩制度以及环境监理资料归档制度。</w:t>
      </w:r>
    </w:p>
    <w:p w14:paraId="391BE422">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u w:val="none" w:color="auto"/>
        </w:rPr>
      </w:pPr>
      <w:bookmarkStart w:id="835" w:name="_Toc32037"/>
      <w:r>
        <w:rPr>
          <w:rFonts w:hint="default" w:ascii="Times New Roman" w:hAnsi="Times New Roman" w:eastAsia="宋体" w:cs="Times New Roman"/>
          <w:color w:val="auto"/>
          <w:u w:val="none" w:color="auto"/>
        </w:rPr>
        <w:t>4、环境监理重点</w:t>
      </w:r>
      <w:bookmarkEnd w:id="835"/>
    </w:p>
    <w:p w14:paraId="046655F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本项目环境监理的重点及监理内容要点见表</w:t>
      </w:r>
      <w:r>
        <w:rPr>
          <w:rFonts w:hint="default"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rPr>
        <w:t>。</w:t>
      </w:r>
    </w:p>
    <w:p w14:paraId="0FB626EE">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lang w:val="en-US" w:eastAsia="zh-CN"/>
        </w:rPr>
        <w:t xml:space="preserve">6.2-4 </w:t>
      </w:r>
      <w:r>
        <w:rPr>
          <w:rFonts w:hint="default" w:ascii="Times New Roman" w:hAnsi="Times New Roman" w:eastAsia="宋体" w:cs="Times New Roman"/>
          <w:color w:val="auto"/>
          <w:u w:val="none" w:color="auto"/>
        </w:rPr>
        <w:t>环境监理重点及内容一览表</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0" w:type="dxa"/>
          <w:bottom w:w="0" w:type="dxa"/>
          <w:right w:w="0" w:type="dxa"/>
        </w:tblCellMar>
      </w:tblPr>
      <w:tblGrid>
        <w:gridCol w:w="753"/>
        <w:gridCol w:w="623"/>
        <w:gridCol w:w="606"/>
        <w:gridCol w:w="6238"/>
      </w:tblGrid>
      <w:tr w14:paraId="1973CA7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330" w:hRule="atLeast"/>
          <w:tblHeader/>
          <w:jc w:val="center"/>
        </w:trPr>
        <w:tc>
          <w:tcPr>
            <w:tcW w:w="764" w:type="dxa"/>
            <w:noWrap w:val="0"/>
            <w:vAlign w:val="center"/>
          </w:tcPr>
          <w:p w14:paraId="1F24613A">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单位</w:t>
            </w:r>
          </w:p>
          <w:p w14:paraId="7E9E9C0F">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工程</w:t>
            </w:r>
          </w:p>
        </w:tc>
        <w:tc>
          <w:tcPr>
            <w:tcW w:w="632" w:type="dxa"/>
            <w:noWrap w:val="0"/>
            <w:vAlign w:val="center"/>
          </w:tcPr>
          <w:p w14:paraId="758BB20B">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监理地点</w:t>
            </w:r>
          </w:p>
        </w:tc>
        <w:tc>
          <w:tcPr>
            <w:tcW w:w="615" w:type="dxa"/>
            <w:noWrap w:val="0"/>
            <w:vAlign w:val="center"/>
          </w:tcPr>
          <w:p w14:paraId="6D51840E">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监理</w:t>
            </w:r>
          </w:p>
          <w:p w14:paraId="3E2A2E0B">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方法</w:t>
            </w:r>
          </w:p>
        </w:tc>
        <w:tc>
          <w:tcPr>
            <w:tcW w:w="6331" w:type="dxa"/>
            <w:noWrap w:val="0"/>
            <w:vAlign w:val="center"/>
          </w:tcPr>
          <w:p w14:paraId="25525856">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监理重点及内容</w:t>
            </w:r>
          </w:p>
        </w:tc>
      </w:tr>
      <w:tr w14:paraId="5FD9A56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2072" w:hRule="atLeast"/>
          <w:jc w:val="center"/>
        </w:trPr>
        <w:tc>
          <w:tcPr>
            <w:tcW w:w="764" w:type="dxa"/>
            <w:noWrap w:val="0"/>
            <w:vAlign w:val="center"/>
          </w:tcPr>
          <w:p w14:paraId="2FA0A6B8">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lang w:eastAsia="zh-CN"/>
              </w:rPr>
              <w:t>岳阳县东洞庭湖渔政监察执法局</w:t>
            </w:r>
          </w:p>
        </w:tc>
        <w:tc>
          <w:tcPr>
            <w:tcW w:w="632" w:type="dxa"/>
            <w:noWrap w:val="0"/>
            <w:vAlign w:val="center"/>
          </w:tcPr>
          <w:p w14:paraId="748B2C86">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lang w:eastAsia="zh-CN"/>
              </w:rPr>
            </w:pPr>
            <w:r>
              <w:rPr>
                <w:rFonts w:hint="default" w:ascii="Times New Roman" w:hAnsi="Times New Roman" w:eastAsia="宋体" w:cs="Times New Roman"/>
                <w:bCs/>
                <w:color w:val="auto"/>
                <w:spacing w:val="5"/>
                <w:sz w:val="21"/>
                <w:szCs w:val="21"/>
                <w:u w:val="none" w:color="auto"/>
                <w:lang w:eastAsia="zh-CN"/>
              </w:rPr>
              <w:t>岳阳县鹿角交通渔政综合执法码头</w:t>
            </w:r>
          </w:p>
        </w:tc>
        <w:tc>
          <w:tcPr>
            <w:tcW w:w="615" w:type="dxa"/>
            <w:noWrap w:val="0"/>
            <w:vAlign w:val="center"/>
          </w:tcPr>
          <w:p w14:paraId="72E0DE1E">
            <w:pPr>
              <w:snapToGrid w:val="0"/>
              <w:spacing w:line="240" w:lineRule="auto"/>
              <w:ind w:firstLine="0" w:firstLineChars="0"/>
              <w:jc w:val="center"/>
              <w:rPr>
                <w:rFonts w:hint="default" w:ascii="Times New Roman" w:hAnsi="Times New Roman" w:eastAsia="宋体" w:cs="Times New Roman"/>
                <w:bCs/>
                <w:color w:val="auto"/>
                <w:spacing w:val="5"/>
                <w:sz w:val="21"/>
                <w:szCs w:val="21"/>
                <w:u w:val="none" w:color="auto"/>
              </w:rPr>
            </w:pPr>
            <w:r>
              <w:rPr>
                <w:rFonts w:hint="default" w:ascii="Times New Roman" w:hAnsi="Times New Roman" w:eastAsia="宋体" w:cs="Times New Roman"/>
                <w:bCs/>
                <w:color w:val="auto"/>
                <w:spacing w:val="5"/>
                <w:sz w:val="21"/>
                <w:szCs w:val="21"/>
                <w:u w:val="none" w:color="auto"/>
              </w:rPr>
              <w:t>旁站现场监测巡视</w:t>
            </w:r>
          </w:p>
        </w:tc>
        <w:tc>
          <w:tcPr>
            <w:tcW w:w="6331" w:type="dxa"/>
            <w:noWrap w:val="0"/>
            <w:vAlign w:val="center"/>
          </w:tcPr>
          <w:p w14:paraId="5139591C">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1、监测有关生态保护意识教育及生态保护法规培训的落实情况。</w:t>
            </w:r>
          </w:p>
          <w:p w14:paraId="40081116">
            <w:pPr>
              <w:tabs>
                <w:tab w:val="left" w:pos="-66"/>
                <w:tab w:val="left" w:pos="177"/>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2、监理</w:t>
            </w:r>
            <w:r>
              <w:rPr>
                <w:rFonts w:hint="default" w:ascii="Times New Roman" w:hAnsi="Times New Roman" w:eastAsia="宋体" w:cs="Times New Roman"/>
                <w:color w:val="auto"/>
                <w:sz w:val="21"/>
                <w:szCs w:val="21"/>
                <w:u w:val="none" w:color="auto"/>
                <w:lang w:eastAsia="zh-CN"/>
              </w:rPr>
              <w:t xml:space="preserve">岳阳县鹿角交通渔政综合执法码头 </w:t>
            </w:r>
            <w:r>
              <w:rPr>
                <w:rFonts w:hint="default" w:ascii="Times New Roman" w:hAnsi="Times New Roman" w:eastAsia="宋体" w:cs="Times New Roman"/>
                <w:color w:val="auto"/>
                <w:sz w:val="21"/>
                <w:szCs w:val="21"/>
                <w:u w:val="none" w:color="auto"/>
              </w:rPr>
              <w:t>是否符合规范。</w:t>
            </w:r>
          </w:p>
          <w:p w14:paraId="32DB34A0">
            <w:pPr>
              <w:tabs>
                <w:tab w:val="left" w:pos="72"/>
                <w:tab w:val="left" w:pos="177"/>
                <w:tab w:val="left" w:pos="447"/>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3、现场旁站监督检查开挖作业范围控制情况与生态保护措施。</w:t>
            </w:r>
          </w:p>
          <w:p w14:paraId="0415AAD9">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监督</w:t>
            </w:r>
            <w:r>
              <w:rPr>
                <w:rFonts w:hint="default" w:ascii="Times New Roman" w:hAnsi="Times New Roman" w:eastAsia="宋体" w:cs="Times New Roman"/>
                <w:color w:val="auto"/>
                <w:sz w:val="21"/>
                <w:szCs w:val="21"/>
                <w:u w:val="none" w:color="auto"/>
                <w:lang w:eastAsia="zh-CN"/>
              </w:rPr>
              <w:t xml:space="preserve">岳阳县鹿角交通渔政综合执法码头 </w:t>
            </w:r>
            <w:r>
              <w:rPr>
                <w:rFonts w:hint="default" w:ascii="Times New Roman" w:hAnsi="Times New Roman" w:eastAsia="宋体" w:cs="Times New Roman"/>
                <w:color w:val="auto"/>
                <w:sz w:val="21"/>
                <w:szCs w:val="21"/>
                <w:u w:val="none" w:color="auto"/>
              </w:rPr>
              <w:t>前是否开展生态调查，并监督发现受保护植物、动物处置过程。</w:t>
            </w:r>
          </w:p>
          <w:p w14:paraId="7BFA1321">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4、候鸟栖息期避让，优化</w:t>
            </w:r>
            <w:r>
              <w:rPr>
                <w:rFonts w:hint="default" w:ascii="Times New Roman" w:hAnsi="Times New Roman" w:eastAsia="宋体" w:cs="Times New Roman"/>
                <w:color w:val="auto"/>
                <w:sz w:val="21"/>
                <w:szCs w:val="21"/>
                <w:u w:val="none" w:color="auto"/>
                <w:lang w:eastAsia="zh-CN"/>
              </w:rPr>
              <w:t>码头提质改造</w:t>
            </w:r>
            <w:r>
              <w:rPr>
                <w:rFonts w:hint="default" w:ascii="Times New Roman" w:hAnsi="Times New Roman" w:eastAsia="宋体" w:cs="Times New Roman"/>
                <w:color w:val="auto"/>
                <w:sz w:val="21"/>
                <w:szCs w:val="21"/>
                <w:u w:val="none" w:color="auto"/>
              </w:rPr>
              <w:t>作业时间；</w:t>
            </w:r>
          </w:p>
          <w:p w14:paraId="74C2A5DA">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5、加强生态环境保护的宣传和管理力度；</w:t>
            </w:r>
          </w:p>
          <w:p w14:paraId="2C8676D7">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6、优化</w:t>
            </w:r>
            <w:r>
              <w:rPr>
                <w:rFonts w:hint="default" w:ascii="Times New Roman" w:hAnsi="Times New Roman" w:eastAsia="宋体" w:cs="Times New Roman"/>
                <w:color w:val="auto"/>
                <w:sz w:val="21"/>
                <w:szCs w:val="21"/>
                <w:u w:val="none" w:color="auto"/>
                <w:lang w:eastAsia="zh-CN"/>
              </w:rPr>
              <w:t xml:space="preserve">岳阳县鹿角交通渔政综合执法码头 </w:t>
            </w:r>
            <w:r>
              <w:rPr>
                <w:rFonts w:hint="default" w:ascii="Times New Roman" w:hAnsi="Times New Roman" w:eastAsia="宋体" w:cs="Times New Roman"/>
                <w:color w:val="auto"/>
                <w:sz w:val="21"/>
                <w:szCs w:val="21"/>
                <w:u w:val="none" w:color="auto"/>
              </w:rPr>
              <w:t>管理和</w:t>
            </w:r>
            <w:r>
              <w:rPr>
                <w:rFonts w:hint="default" w:ascii="Times New Roman" w:hAnsi="Times New Roman" w:eastAsia="宋体" w:cs="Times New Roman"/>
                <w:color w:val="auto"/>
                <w:sz w:val="21"/>
                <w:szCs w:val="21"/>
                <w:u w:val="none" w:color="auto"/>
                <w:lang w:eastAsia="zh-CN"/>
              </w:rPr>
              <w:t>码头提质改造</w:t>
            </w:r>
            <w:r>
              <w:rPr>
                <w:rFonts w:hint="default" w:ascii="Times New Roman" w:hAnsi="Times New Roman" w:eastAsia="宋体" w:cs="Times New Roman"/>
                <w:color w:val="auto"/>
                <w:sz w:val="21"/>
                <w:szCs w:val="21"/>
                <w:u w:val="none" w:color="auto"/>
              </w:rPr>
              <w:t>作业方式的措施；</w:t>
            </w:r>
          </w:p>
          <w:p w14:paraId="03C5C150">
            <w:pPr>
              <w:tabs>
                <w:tab w:val="left" w:pos="72"/>
                <w:tab w:val="left" w:pos="147"/>
                <w:tab w:val="left" w:pos="177"/>
                <w:tab w:val="left" w:pos="228"/>
              </w:tabs>
              <w:snapToGrid w:val="0"/>
              <w:spacing w:line="240" w:lineRule="auto"/>
              <w:ind w:firstLine="0" w:firstLineChars="0"/>
              <w:jc w:val="both"/>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7、鱼类资源繁殖保护等措施</w:t>
            </w:r>
          </w:p>
        </w:tc>
      </w:tr>
    </w:tbl>
    <w:p w14:paraId="19C1A532">
      <w:pPr>
        <w:pStyle w:val="10"/>
        <w:pageBreakBefore w:val="0"/>
        <w:widowControl w:val="0"/>
        <w:kinsoku/>
        <w:wordWrap/>
        <w:overflowPunct/>
        <w:topLinePunct w:val="0"/>
        <w:autoSpaceDE/>
        <w:autoSpaceDN/>
        <w:bidi w:val="0"/>
        <w:adjustRightInd/>
        <w:snapToGrid/>
        <w:spacing w:beforeLines="0" w:afterLines="0" w:line="360" w:lineRule="auto"/>
        <w:textAlignment w:val="auto"/>
        <w:outlineLvl w:val="3"/>
        <w:rPr>
          <w:rFonts w:hint="default" w:ascii="Times New Roman" w:hAnsi="Times New Roman" w:eastAsia="宋体" w:cs="Times New Roman"/>
          <w:color w:val="auto"/>
          <w:sz w:val="24"/>
          <w:szCs w:val="24"/>
          <w:u w:val="none" w:color="auto"/>
        </w:rPr>
      </w:pPr>
      <w:bookmarkStart w:id="836" w:name="_Toc1192"/>
      <w:bookmarkStart w:id="837" w:name="_Toc12354"/>
      <w:r>
        <w:rPr>
          <w:rFonts w:hint="default" w:ascii="Times New Roman" w:hAnsi="Times New Roman" w:eastAsia="宋体" w:cs="Times New Roman"/>
          <w:color w:val="auto"/>
          <w:sz w:val="24"/>
          <w:szCs w:val="24"/>
          <w:u w:val="none" w:color="auto"/>
          <w:lang w:val="en-US" w:eastAsia="zh-CN"/>
        </w:rPr>
        <w:t xml:space="preserve">6.2.5.8 </w:t>
      </w:r>
      <w:r>
        <w:rPr>
          <w:rFonts w:hint="default" w:ascii="Times New Roman" w:hAnsi="Times New Roman" w:eastAsia="宋体" w:cs="Times New Roman"/>
          <w:color w:val="auto"/>
          <w:sz w:val="24"/>
          <w:szCs w:val="24"/>
          <w:u w:val="none" w:color="auto"/>
        </w:rPr>
        <w:t>小结</w:t>
      </w:r>
      <w:bookmarkEnd w:id="836"/>
      <w:bookmarkEnd w:id="837"/>
    </w:p>
    <w:p w14:paraId="460DC4EF">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本项目为环境</w:t>
      </w:r>
      <w:r>
        <w:rPr>
          <w:rFonts w:hint="default" w:ascii="Times New Roman" w:hAnsi="Times New Roman" w:eastAsia="宋体" w:cs="Times New Roman"/>
          <w:color w:val="auto"/>
          <w:sz w:val="24"/>
          <w:szCs w:val="24"/>
          <w:u w:val="none" w:color="auto"/>
          <w:lang w:eastAsia="zh-CN"/>
        </w:rPr>
        <w:t>规范提升</w:t>
      </w:r>
      <w:r>
        <w:rPr>
          <w:rFonts w:hint="default" w:ascii="Times New Roman" w:hAnsi="Times New Roman" w:eastAsia="宋体" w:cs="Times New Roman"/>
          <w:color w:val="auto"/>
          <w:sz w:val="24"/>
          <w:szCs w:val="24"/>
          <w:u w:val="none" w:color="auto"/>
        </w:rPr>
        <w:t>和生态恢复的公益性工程。生态补偿是以保护和可持续利用生态系统服务为目的，以经济手段为主调节相关者利益关系的制度安排。因此必须采取一定的措施把工程建设对湖南东洞庭湖国家级自然保护区自然环境的影响降到最低，把损失降到最低，修复水域生态系统，养护水生生物资源，尽可能恢复天然渔业资源量。具体保护和生态补偿措施如下：</w:t>
      </w:r>
    </w:p>
    <w:p w14:paraId="20050D9D">
      <w:pPr>
        <w:pageBreakBefore w:val="0"/>
        <w:widowControl w:val="0"/>
        <w:numPr>
          <w:ilvl w:val="0"/>
          <w:numId w:val="5"/>
        </w:numPr>
        <w:kinsoku/>
        <w:wordWrap/>
        <w:overflowPunct/>
        <w:topLinePunct w:val="0"/>
        <w:autoSpaceDE/>
        <w:autoSpaceDN/>
        <w:bidi w:val="0"/>
        <w:adjustRightInd/>
        <w:snapToGrid/>
        <w:spacing w:line="360" w:lineRule="auto"/>
        <w:ind w:left="-80" w:leftChars="0" w:firstLine="560" w:firstLineChars="0"/>
        <w:textAlignment w:val="auto"/>
        <w:outlineLvl w:val="9"/>
        <w:rPr>
          <w:rFonts w:hint="default" w:ascii="Times New Roman" w:hAnsi="Times New Roman" w:eastAsia="宋体" w:cs="Times New Roman"/>
          <w:color w:val="auto"/>
          <w:sz w:val="24"/>
          <w:szCs w:val="24"/>
          <w:u w:val="none" w:color="auto"/>
        </w:rPr>
      </w:pPr>
      <w:bookmarkStart w:id="838" w:name="_Toc9805"/>
      <w:r>
        <w:rPr>
          <w:rFonts w:hint="default" w:ascii="Times New Roman" w:hAnsi="Times New Roman" w:eastAsia="宋体" w:cs="Times New Roman"/>
          <w:color w:val="auto"/>
          <w:sz w:val="24"/>
          <w:szCs w:val="24"/>
          <w:u w:val="none" w:color="auto"/>
        </w:rPr>
        <w:t>渔业资源增殖放流</w:t>
      </w:r>
      <w:bookmarkEnd w:id="838"/>
    </w:p>
    <w:p w14:paraId="1C4A5DFF">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配备专职人员，购置鱼类检测救护设备（渔政巡护车、巡逻艇等。每年向湖南东洞庭湖国家级自然保护区江段放流四大家鱼、鳜、翘嘴鲌等苗种320万尾，补充洞庭湖四大家鱼等鱼类资源量。</w:t>
      </w:r>
    </w:p>
    <w:p w14:paraId="4783168D">
      <w:pPr>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sz w:val="24"/>
          <w:szCs w:val="24"/>
          <w:u w:val="none" w:color="auto"/>
        </w:rPr>
      </w:pPr>
      <w:bookmarkStart w:id="839" w:name="_Toc12619"/>
      <w:r>
        <w:rPr>
          <w:rFonts w:hint="default" w:ascii="Times New Roman" w:hAnsi="Times New Roman" w:eastAsia="宋体" w:cs="Times New Roman"/>
          <w:color w:val="auto"/>
          <w:sz w:val="24"/>
          <w:szCs w:val="24"/>
          <w:u w:val="none" w:color="auto"/>
        </w:rPr>
        <w:t>2、建立紧急事故预案</w:t>
      </w:r>
      <w:bookmarkEnd w:id="839"/>
    </w:p>
    <w:p w14:paraId="567F7E66">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制定救护预案，形成在施工期间对水污染、鱼类、江豚受伤等紧急情况处理机制。预留突发事件对鱼类、江豚的紧急救护资金。</w:t>
      </w:r>
    </w:p>
    <w:p w14:paraId="597231F7">
      <w:pPr>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sz w:val="24"/>
          <w:szCs w:val="24"/>
          <w:u w:val="none" w:color="auto"/>
        </w:rPr>
      </w:pPr>
      <w:bookmarkStart w:id="840" w:name="_Toc14113"/>
      <w:r>
        <w:rPr>
          <w:rFonts w:hint="default" w:ascii="Times New Roman" w:hAnsi="Times New Roman" w:eastAsia="宋体" w:cs="Times New Roman"/>
          <w:color w:val="auto"/>
          <w:sz w:val="24"/>
          <w:szCs w:val="24"/>
          <w:u w:val="none" w:color="auto"/>
        </w:rPr>
        <w:t>3、鱼类资源及水生态环境监测</w:t>
      </w:r>
      <w:bookmarkEnd w:id="840"/>
    </w:p>
    <w:p w14:paraId="33653202">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程施工期，对渔业水质和资源量进行动态监测，建立科学完善的鱼类资源量变动趋势的监测，及时掌握鱼类的种群数量、资源恢复、资源量的变动趋势，为针对性地开展鱼类研究和制定保护措施提供依据。监测湖南东洞庭湖国家级自然保护区湖区和</w:t>
      </w:r>
      <w:r>
        <w:rPr>
          <w:rFonts w:hint="default" w:ascii="Times New Roman" w:hAnsi="Times New Roman" w:eastAsia="宋体" w:cs="Times New Roman"/>
          <w:color w:val="auto"/>
          <w:sz w:val="24"/>
          <w:szCs w:val="24"/>
          <w:u w:val="none" w:color="auto"/>
          <w:lang w:eastAsia="zh-CN"/>
        </w:rPr>
        <w:t xml:space="preserve">岳阳县鹿角交通渔政综合执法码头 </w:t>
      </w:r>
      <w:r>
        <w:rPr>
          <w:rFonts w:hint="default" w:ascii="Times New Roman" w:hAnsi="Times New Roman" w:eastAsia="宋体" w:cs="Times New Roman"/>
          <w:color w:val="auto"/>
          <w:sz w:val="24"/>
          <w:szCs w:val="24"/>
          <w:u w:val="none" w:color="auto"/>
        </w:rPr>
        <w:t>上下游水文情势，满足鱼类生长和繁殖的水质、水文条件。</w:t>
      </w:r>
    </w:p>
    <w:p w14:paraId="1BA5E9D7">
      <w:pPr>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sz w:val="24"/>
          <w:szCs w:val="24"/>
          <w:u w:val="none" w:color="auto"/>
        </w:rPr>
      </w:pPr>
      <w:bookmarkStart w:id="841" w:name="_Toc31005"/>
      <w:r>
        <w:rPr>
          <w:rFonts w:hint="default" w:ascii="Times New Roman" w:hAnsi="Times New Roman" w:eastAsia="宋体" w:cs="Times New Roman"/>
          <w:color w:val="auto"/>
          <w:sz w:val="24"/>
          <w:szCs w:val="24"/>
          <w:u w:val="none" w:color="auto"/>
        </w:rPr>
        <w:t>4、渔业生态修复</w:t>
      </w:r>
      <w:bookmarkEnd w:id="841"/>
    </w:p>
    <w:p w14:paraId="215DFD0A">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渔业资源损失估算费用用于实施湖南东洞庭湖国家级自然保护区渔业生态环境修复，对产卵场等水域进行底栖动物移殖、水生植物移栽等，保护四大家鱼、鳜、翘嘴鲌等经济鱼类的产卵场、索饵场、越冬场及洄游通道等生境。岳阳市渔政局负责监督，岳阳县渔政渔港监督管理站负责各项生态补偿措施的实施。</w:t>
      </w:r>
    </w:p>
    <w:p w14:paraId="3AF4D9FD">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依据《自然保护区工程项目建设标准（试行）》（国家林业局，2012）、《湖南省环境监测服务收费标准》以及工程建设项目其他费用计算标准和办法，估算生态恢复与补偿投资。洞庭湖岳阳县</w:t>
      </w:r>
      <w:r>
        <w:rPr>
          <w:rFonts w:hint="default" w:ascii="Times New Roman" w:hAnsi="Times New Roman" w:eastAsia="宋体" w:cs="Times New Roman"/>
          <w:color w:val="auto"/>
          <w:sz w:val="24"/>
          <w:szCs w:val="24"/>
          <w:u w:val="none" w:color="auto"/>
          <w:lang w:eastAsia="zh-CN"/>
        </w:rPr>
        <w:t>岳阳县鹿角交通渔政综合执法码头</w:t>
      </w:r>
      <w:r>
        <w:rPr>
          <w:rFonts w:hint="default" w:ascii="Times New Roman" w:hAnsi="Times New Roman" w:eastAsia="宋体" w:cs="Times New Roman"/>
          <w:color w:val="auto"/>
          <w:sz w:val="24"/>
          <w:szCs w:val="24"/>
          <w:u w:val="none" w:color="auto"/>
        </w:rPr>
        <w:t>工程区域内湖南东洞庭湖国家级自然保护区生态补偿经费估算费用共计</w:t>
      </w:r>
      <w:r>
        <w:rPr>
          <w:rFonts w:hint="default" w:ascii="Times New Roman" w:hAnsi="Times New Roman" w:eastAsia="宋体" w:cs="Times New Roman"/>
          <w:color w:val="auto"/>
          <w:sz w:val="24"/>
          <w:szCs w:val="24"/>
          <w:u w:val="none" w:color="auto"/>
          <w:lang w:val="en-US" w:eastAsia="zh-CN"/>
        </w:rPr>
        <w:t>109</w:t>
      </w:r>
      <w:r>
        <w:rPr>
          <w:rFonts w:hint="default" w:ascii="Times New Roman" w:hAnsi="Times New Roman" w:eastAsia="宋体" w:cs="Times New Roman"/>
          <w:color w:val="auto"/>
          <w:sz w:val="24"/>
          <w:szCs w:val="24"/>
          <w:u w:val="none" w:color="auto"/>
        </w:rPr>
        <w:t>万元。详见表</w:t>
      </w:r>
      <w:r>
        <w:rPr>
          <w:rFonts w:hint="default" w:ascii="Times New Roman" w:hAnsi="Times New Roman" w:eastAsia="宋体" w:cs="Times New Roman"/>
          <w:color w:val="auto"/>
          <w:sz w:val="24"/>
          <w:szCs w:val="24"/>
          <w:u w:val="none" w:color="auto"/>
          <w:lang w:val="en-US" w:eastAsia="zh-CN"/>
        </w:rPr>
        <w:t>6.2-5</w:t>
      </w:r>
      <w:r>
        <w:rPr>
          <w:rFonts w:hint="default" w:ascii="Times New Roman" w:hAnsi="Times New Roman" w:eastAsia="宋体" w:cs="Times New Roman"/>
          <w:color w:val="auto"/>
          <w:sz w:val="24"/>
          <w:szCs w:val="24"/>
          <w:u w:val="none" w:color="auto"/>
        </w:rPr>
        <w:t>。</w:t>
      </w:r>
    </w:p>
    <w:p w14:paraId="112F1D79">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lang w:val="en-US" w:eastAsia="zh-CN"/>
        </w:rPr>
        <w:t xml:space="preserve">表6.2-5 </w:t>
      </w:r>
      <w:r>
        <w:rPr>
          <w:rFonts w:hint="default" w:ascii="Times New Roman" w:hAnsi="Times New Roman" w:eastAsia="宋体" w:cs="Times New Roman"/>
          <w:bCs/>
          <w:color w:val="auto"/>
          <w:sz w:val="24"/>
          <w:szCs w:val="24"/>
          <w:u w:val="none" w:color="auto"/>
          <w:lang w:eastAsia="zh-CN"/>
        </w:rPr>
        <w:t>岳阳县鹿角交通渔政综合执法码头</w:t>
      </w:r>
      <w:r>
        <w:rPr>
          <w:rFonts w:hint="default" w:ascii="Times New Roman" w:hAnsi="Times New Roman" w:eastAsia="宋体" w:cs="Times New Roman"/>
          <w:bCs/>
          <w:color w:val="auto"/>
          <w:sz w:val="24"/>
          <w:szCs w:val="24"/>
          <w:u w:val="none" w:color="auto"/>
        </w:rPr>
        <w:t>工程对保护区生态补偿费用估算</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9"/>
        <w:gridCol w:w="941"/>
        <w:gridCol w:w="1014"/>
        <w:gridCol w:w="5066"/>
      </w:tblGrid>
      <w:tr w14:paraId="0E32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4393A9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项目</w:t>
            </w:r>
          </w:p>
        </w:tc>
        <w:tc>
          <w:tcPr>
            <w:tcW w:w="566" w:type="pct"/>
            <w:tcBorders>
              <w:tl2br w:val="nil"/>
              <w:tr2bl w:val="nil"/>
            </w:tcBorders>
            <w:noWrap w:val="0"/>
            <w:vAlign w:val="center"/>
          </w:tcPr>
          <w:p w14:paraId="3F8C5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实施年限（年）</w:t>
            </w:r>
          </w:p>
        </w:tc>
        <w:tc>
          <w:tcPr>
            <w:tcW w:w="610" w:type="pct"/>
            <w:tcBorders>
              <w:tl2br w:val="nil"/>
              <w:tr2bl w:val="nil"/>
            </w:tcBorders>
            <w:noWrap w:val="0"/>
            <w:vAlign w:val="center"/>
          </w:tcPr>
          <w:p w14:paraId="7B357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预算经费</w:t>
            </w:r>
          </w:p>
          <w:p w14:paraId="00C51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（万元）</w:t>
            </w:r>
          </w:p>
        </w:tc>
        <w:tc>
          <w:tcPr>
            <w:tcW w:w="3047" w:type="pct"/>
            <w:tcBorders>
              <w:tl2br w:val="nil"/>
              <w:tr2bl w:val="nil"/>
            </w:tcBorders>
            <w:noWrap w:val="0"/>
            <w:vAlign w:val="center"/>
          </w:tcPr>
          <w:p w14:paraId="0AC35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color="auto"/>
              </w:rPr>
            </w:pPr>
            <w:r>
              <w:rPr>
                <w:rFonts w:hint="default" w:ascii="Times New Roman" w:hAnsi="Times New Roman" w:eastAsia="宋体" w:cs="Times New Roman"/>
                <w:b w:val="0"/>
                <w:bCs/>
                <w:color w:val="auto"/>
                <w:sz w:val="21"/>
                <w:szCs w:val="21"/>
                <w:u w:val="none" w:color="auto"/>
              </w:rPr>
              <w:t>备注</w:t>
            </w:r>
          </w:p>
        </w:tc>
      </w:tr>
      <w:tr w14:paraId="4881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13DCF4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一、标识牌设置安装</w:t>
            </w:r>
          </w:p>
        </w:tc>
        <w:tc>
          <w:tcPr>
            <w:tcW w:w="566" w:type="pct"/>
            <w:tcBorders>
              <w:tl2br w:val="nil"/>
              <w:tr2bl w:val="nil"/>
            </w:tcBorders>
            <w:noWrap w:val="0"/>
            <w:vAlign w:val="center"/>
          </w:tcPr>
          <w:p w14:paraId="72253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610" w:type="pct"/>
            <w:tcBorders>
              <w:tl2br w:val="nil"/>
              <w:tr2bl w:val="nil"/>
            </w:tcBorders>
            <w:noWrap w:val="0"/>
            <w:vAlign w:val="center"/>
          </w:tcPr>
          <w:p w14:paraId="417A8A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w:t>
            </w:r>
          </w:p>
        </w:tc>
        <w:tc>
          <w:tcPr>
            <w:tcW w:w="3047" w:type="pct"/>
            <w:tcBorders>
              <w:tl2br w:val="nil"/>
              <w:tr2bl w:val="nil"/>
            </w:tcBorders>
            <w:noWrap w:val="0"/>
            <w:vAlign w:val="center"/>
          </w:tcPr>
          <w:p w14:paraId="4B4A4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Cs/>
                <w:color w:val="auto"/>
                <w:kern w:val="0"/>
                <w:sz w:val="21"/>
                <w:szCs w:val="21"/>
                <w:u w:val="none" w:color="auto"/>
              </w:rPr>
              <w:t>保护区设置2块宣传牌，码头</w:t>
            </w:r>
            <w:r>
              <w:rPr>
                <w:rFonts w:hint="default" w:ascii="Times New Roman" w:hAnsi="Times New Roman" w:eastAsia="宋体" w:cs="Times New Roman"/>
                <w:bCs/>
                <w:color w:val="auto"/>
                <w:kern w:val="0"/>
                <w:sz w:val="21"/>
                <w:szCs w:val="21"/>
                <w:u w:val="none" w:color="auto"/>
                <w:lang w:val="en-US" w:eastAsia="zh-CN"/>
              </w:rPr>
              <w:t>平台</w:t>
            </w:r>
            <w:r>
              <w:rPr>
                <w:rFonts w:hint="default" w:ascii="Times New Roman" w:hAnsi="Times New Roman" w:eastAsia="宋体" w:cs="Times New Roman"/>
                <w:bCs/>
                <w:color w:val="auto"/>
                <w:kern w:val="0"/>
                <w:sz w:val="21"/>
                <w:szCs w:val="21"/>
                <w:u w:val="none" w:color="auto"/>
              </w:rPr>
              <w:t>、趸船处各一块。</w:t>
            </w:r>
            <w:r>
              <w:rPr>
                <w:rFonts w:hint="default" w:ascii="Times New Roman" w:hAnsi="Times New Roman" w:eastAsia="宋体" w:cs="Times New Roman"/>
                <w:bCs/>
                <w:color w:val="auto"/>
                <w:kern w:val="0"/>
                <w:sz w:val="21"/>
                <w:szCs w:val="21"/>
                <w:u w:val="none" w:color="auto"/>
                <w:lang w:val="en-US" w:eastAsia="zh-CN"/>
              </w:rPr>
              <w:t>1</w:t>
            </w:r>
            <w:r>
              <w:rPr>
                <w:rFonts w:hint="default" w:ascii="Times New Roman" w:hAnsi="Times New Roman" w:eastAsia="宋体" w:cs="Times New Roman"/>
                <w:bCs/>
                <w:color w:val="auto"/>
                <w:kern w:val="0"/>
                <w:sz w:val="21"/>
                <w:szCs w:val="21"/>
                <w:u w:val="none" w:color="auto"/>
              </w:rPr>
              <w:t>万元/块，计</w:t>
            </w:r>
            <w:r>
              <w:rPr>
                <w:rFonts w:hint="default" w:ascii="Times New Roman" w:hAnsi="Times New Roman" w:eastAsia="宋体" w:cs="Times New Roman"/>
                <w:bCs/>
                <w:color w:val="auto"/>
                <w:kern w:val="0"/>
                <w:sz w:val="21"/>
                <w:szCs w:val="21"/>
                <w:u w:val="none" w:color="auto"/>
                <w:lang w:val="en-US" w:eastAsia="zh-CN"/>
              </w:rPr>
              <w:t>2</w:t>
            </w:r>
            <w:r>
              <w:rPr>
                <w:rFonts w:hint="default" w:ascii="Times New Roman" w:hAnsi="Times New Roman" w:eastAsia="宋体" w:cs="Times New Roman"/>
                <w:bCs/>
                <w:color w:val="auto"/>
                <w:kern w:val="0"/>
                <w:sz w:val="21"/>
                <w:szCs w:val="21"/>
                <w:u w:val="none" w:color="auto"/>
              </w:rPr>
              <w:t>万元。</w:t>
            </w:r>
          </w:p>
        </w:tc>
      </w:tr>
      <w:tr w14:paraId="2B82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6A217D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二、超声波驱鱼设备</w:t>
            </w:r>
          </w:p>
        </w:tc>
        <w:tc>
          <w:tcPr>
            <w:tcW w:w="566" w:type="pct"/>
            <w:tcBorders>
              <w:tl2br w:val="nil"/>
              <w:tr2bl w:val="nil"/>
            </w:tcBorders>
            <w:noWrap w:val="0"/>
            <w:vAlign w:val="center"/>
          </w:tcPr>
          <w:p w14:paraId="2C885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610" w:type="pct"/>
            <w:tcBorders>
              <w:tl2br w:val="nil"/>
              <w:tr2bl w:val="nil"/>
            </w:tcBorders>
            <w:noWrap w:val="0"/>
            <w:vAlign w:val="center"/>
          </w:tcPr>
          <w:p w14:paraId="27CD07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1.5</w:t>
            </w:r>
          </w:p>
        </w:tc>
        <w:tc>
          <w:tcPr>
            <w:tcW w:w="3047" w:type="pct"/>
            <w:tcBorders>
              <w:tl2br w:val="nil"/>
              <w:tr2bl w:val="nil"/>
            </w:tcBorders>
            <w:noWrap w:val="0"/>
            <w:vAlign w:val="center"/>
          </w:tcPr>
          <w:p w14:paraId="3BF29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布设</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台超声波发生器。在船只上安装江豚声音记录仪、江豚驱赶设备。一旦发现项目周边附近有江豚游近，应立即停止作业，使用江豚驱赶设备安全驱离后恢复作业。</w:t>
            </w:r>
          </w:p>
        </w:tc>
      </w:tr>
      <w:tr w14:paraId="4935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4AE9F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三</w:t>
            </w:r>
            <w:r>
              <w:rPr>
                <w:rFonts w:hint="default" w:ascii="Times New Roman" w:hAnsi="Times New Roman" w:eastAsia="宋体" w:cs="Times New Roman"/>
                <w:color w:val="auto"/>
                <w:sz w:val="21"/>
                <w:szCs w:val="21"/>
                <w:u w:val="none" w:color="auto"/>
              </w:rPr>
              <w:t>、渔政管理</w:t>
            </w:r>
          </w:p>
        </w:tc>
        <w:tc>
          <w:tcPr>
            <w:tcW w:w="566" w:type="pct"/>
            <w:tcBorders>
              <w:tl2br w:val="nil"/>
              <w:tr2bl w:val="nil"/>
            </w:tcBorders>
            <w:noWrap w:val="0"/>
            <w:vAlign w:val="center"/>
          </w:tcPr>
          <w:p w14:paraId="5E11B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610" w:type="pct"/>
            <w:tcBorders>
              <w:tl2br w:val="nil"/>
              <w:tr2bl w:val="nil"/>
            </w:tcBorders>
            <w:noWrap w:val="0"/>
            <w:vAlign w:val="center"/>
          </w:tcPr>
          <w:p w14:paraId="417FA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3047" w:type="pct"/>
            <w:tcBorders>
              <w:tl2br w:val="nil"/>
              <w:tr2bl w:val="nil"/>
            </w:tcBorders>
            <w:noWrap w:val="0"/>
            <w:vAlign w:val="center"/>
          </w:tcPr>
          <w:p w14:paraId="67796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加强环境保护的宣传，施工期和运行期控制和制止对水生生物和保护区环境有影响的各种水上人为活动。</w:t>
            </w:r>
          </w:p>
        </w:tc>
      </w:tr>
      <w:tr w14:paraId="0883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27200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四</w:t>
            </w:r>
            <w:r>
              <w:rPr>
                <w:rFonts w:hint="default" w:ascii="Times New Roman" w:hAnsi="Times New Roman" w:eastAsia="宋体" w:cs="Times New Roman"/>
                <w:color w:val="auto"/>
                <w:sz w:val="21"/>
                <w:szCs w:val="21"/>
                <w:u w:val="none" w:color="auto"/>
              </w:rPr>
              <w:t>、生态修复</w:t>
            </w:r>
          </w:p>
        </w:tc>
        <w:tc>
          <w:tcPr>
            <w:tcW w:w="566" w:type="pct"/>
            <w:tcBorders>
              <w:tl2br w:val="nil"/>
              <w:tr2bl w:val="nil"/>
            </w:tcBorders>
            <w:noWrap w:val="0"/>
            <w:vAlign w:val="center"/>
          </w:tcPr>
          <w:p w14:paraId="41C91B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610" w:type="pct"/>
            <w:tcBorders>
              <w:tl2br w:val="nil"/>
              <w:tr2bl w:val="nil"/>
            </w:tcBorders>
            <w:noWrap w:val="0"/>
            <w:vAlign w:val="center"/>
          </w:tcPr>
          <w:p w14:paraId="39C0A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3047" w:type="pct"/>
            <w:tcBorders>
              <w:tl2br w:val="nil"/>
              <w:tr2bl w:val="nil"/>
            </w:tcBorders>
            <w:noWrap w:val="0"/>
            <w:vAlign w:val="center"/>
          </w:tcPr>
          <w:p w14:paraId="463E2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项目完工后，在码头及</w:t>
            </w:r>
            <w:r>
              <w:rPr>
                <w:rFonts w:hint="default" w:ascii="Times New Roman" w:hAnsi="Times New Roman" w:eastAsia="宋体" w:cs="Times New Roman"/>
                <w:color w:val="auto"/>
                <w:sz w:val="21"/>
                <w:szCs w:val="21"/>
                <w:u w:val="none" w:color="auto"/>
                <w:lang w:val="en-US" w:eastAsia="zh-CN"/>
              </w:rPr>
              <w:t>护岸</w:t>
            </w:r>
            <w:r>
              <w:rPr>
                <w:rFonts w:hint="default" w:ascii="Times New Roman" w:hAnsi="Times New Roman" w:eastAsia="宋体" w:cs="Times New Roman"/>
                <w:color w:val="auto"/>
                <w:sz w:val="21"/>
                <w:szCs w:val="21"/>
                <w:u w:val="none" w:color="auto"/>
              </w:rPr>
              <w:t>附近恢复水生植被，进行生态修复。</w:t>
            </w:r>
          </w:p>
        </w:tc>
      </w:tr>
      <w:tr w14:paraId="0082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38E5D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五</w:t>
            </w:r>
            <w:r>
              <w:rPr>
                <w:rFonts w:hint="default" w:ascii="Times New Roman" w:hAnsi="Times New Roman" w:eastAsia="宋体" w:cs="Times New Roman"/>
                <w:color w:val="auto"/>
                <w:sz w:val="21"/>
                <w:szCs w:val="21"/>
                <w:u w:val="none" w:color="auto"/>
              </w:rPr>
              <w:t>、应急救护</w:t>
            </w:r>
          </w:p>
        </w:tc>
        <w:tc>
          <w:tcPr>
            <w:tcW w:w="566" w:type="pct"/>
            <w:tcBorders>
              <w:tl2br w:val="nil"/>
              <w:tr2bl w:val="nil"/>
            </w:tcBorders>
            <w:noWrap w:val="0"/>
            <w:vAlign w:val="center"/>
          </w:tcPr>
          <w:p w14:paraId="63811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610" w:type="pct"/>
            <w:tcBorders>
              <w:tl2br w:val="nil"/>
              <w:tr2bl w:val="nil"/>
            </w:tcBorders>
            <w:noWrap w:val="0"/>
            <w:vAlign w:val="center"/>
          </w:tcPr>
          <w:p w14:paraId="3F1ED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3047" w:type="pct"/>
            <w:tcBorders>
              <w:tl2br w:val="nil"/>
              <w:tr2bl w:val="nil"/>
            </w:tcBorders>
            <w:noWrap w:val="0"/>
            <w:vAlign w:val="center"/>
          </w:tcPr>
          <w:p w14:paraId="147FF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珍稀水生野生动物临时救护。</w:t>
            </w:r>
          </w:p>
        </w:tc>
      </w:tr>
      <w:tr w14:paraId="47BF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5095C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六</w:t>
            </w:r>
            <w:r>
              <w:rPr>
                <w:rFonts w:hint="default" w:ascii="Times New Roman" w:hAnsi="Times New Roman" w:eastAsia="宋体" w:cs="Times New Roman"/>
                <w:color w:val="auto"/>
                <w:sz w:val="21"/>
                <w:szCs w:val="21"/>
                <w:u w:val="none" w:color="auto"/>
              </w:rPr>
              <w:t>、人工增殖放流</w:t>
            </w:r>
          </w:p>
        </w:tc>
        <w:tc>
          <w:tcPr>
            <w:tcW w:w="566" w:type="pct"/>
            <w:tcBorders>
              <w:tl2br w:val="nil"/>
              <w:tr2bl w:val="nil"/>
            </w:tcBorders>
            <w:noWrap w:val="0"/>
            <w:vAlign w:val="center"/>
          </w:tcPr>
          <w:p w14:paraId="739A9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w:t>
            </w:r>
          </w:p>
        </w:tc>
        <w:tc>
          <w:tcPr>
            <w:tcW w:w="610" w:type="pct"/>
            <w:tcBorders>
              <w:tl2br w:val="nil"/>
              <w:tr2bl w:val="nil"/>
            </w:tcBorders>
            <w:noWrap w:val="0"/>
            <w:vAlign w:val="center"/>
          </w:tcPr>
          <w:p w14:paraId="5EA46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w:t>
            </w:r>
          </w:p>
        </w:tc>
        <w:tc>
          <w:tcPr>
            <w:tcW w:w="3047" w:type="pct"/>
            <w:tcBorders>
              <w:tl2br w:val="nil"/>
              <w:tr2bl w:val="nil"/>
            </w:tcBorders>
            <w:noWrap w:val="0"/>
            <w:vAlign w:val="center"/>
          </w:tcPr>
          <w:p w14:paraId="542453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鱼类放流每年放流</w:t>
            </w:r>
            <w:r>
              <w:rPr>
                <w:rFonts w:hint="default" w:ascii="Times New Roman" w:hAnsi="Times New Roman" w:eastAsia="宋体" w:cs="Times New Roman"/>
                <w:color w:val="auto"/>
                <w:sz w:val="21"/>
                <w:szCs w:val="21"/>
                <w:u w:val="none" w:color="auto"/>
                <w:lang w:val="en-US" w:eastAsia="zh-CN"/>
              </w:rPr>
              <w:t>36</w:t>
            </w:r>
            <w:r>
              <w:rPr>
                <w:rFonts w:hint="default" w:ascii="Times New Roman" w:hAnsi="Times New Roman" w:eastAsia="宋体" w:cs="Times New Roman"/>
                <w:color w:val="auto"/>
                <w:sz w:val="21"/>
                <w:szCs w:val="21"/>
                <w:u w:val="none" w:color="auto"/>
              </w:rPr>
              <w:t>万尾，</w:t>
            </w:r>
            <w:r>
              <w:rPr>
                <w:rFonts w:hint="default"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年共需经费1万元。</w:t>
            </w:r>
          </w:p>
        </w:tc>
      </w:tr>
      <w:tr w14:paraId="621D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47F6F8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七</w:t>
            </w:r>
            <w:r>
              <w:rPr>
                <w:rFonts w:hint="default" w:ascii="Times New Roman" w:hAnsi="Times New Roman" w:eastAsia="宋体" w:cs="Times New Roman"/>
                <w:color w:val="auto"/>
                <w:sz w:val="21"/>
                <w:szCs w:val="21"/>
                <w:u w:val="none" w:color="auto"/>
              </w:rPr>
              <w:t>、水生生物监测</w:t>
            </w:r>
          </w:p>
        </w:tc>
        <w:tc>
          <w:tcPr>
            <w:tcW w:w="566" w:type="pct"/>
            <w:tcBorders>
              <w:tl2br w:val="nil"/>
              <w:tr2bl w:val="nil"/>
            </w:tcBorders>
            <w:noWrap w:val="0"/>
            <w:vAlign w:val="center"/>
          </w:tcPr>
          <w:p w14:paraId="5D9A6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w:t>
            </w:r>
          </w:p>
        </w:tc>
        <w:tc>
          <w:tcPr>
            <w:tcW w:w="610" w:type="pct"/>
            <w:tcBorders>
              <w:tl2br w:val="nil"/>
              <w:tr2bl w:val="nil"/>
            </w:tcBorders>
            <w:noWrap w:val="0"/>
            <w:vAlign w:val="center"/>
          </w:tcPr>
          <w:p w14:paraId="71B4A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3047" w:type="pct"/>
            <w:tcBorders>
              <w:tl2br w:val="nil"/>
              <w:tr2bl w:val="nil"/>
            </w:tcBorders>
            <w:noWrap w:val="0"/>
            <w:vAlign w:val="center"/>
          </w:tcPr>
          <w:p w14:paraId="0A6D7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鹿角交通渔政综合执法码头</w:t>
            </w:r>
            <w:r>
              <w:rPr>
                <w:rFonts w:hint="default" w:ascii="Times New Roman" w:hAnsi="Times New Roman" w:eastAsia="宋体" w:cs="Times New Roman"/>
                <w:color w:val="auto"/>
                <w:sz w:val="21"/>
                <w:szCs w:val="21"/>
                <w:u w:val="none" w:color="auto"/>
              </w:rPr>
              <w:t>、上游、下游3个资源监测点位。鱼类资源及水生生物监测时间为运行期2年，费用为每年</w:t>
            </w:r>
            <w:r>
              <w:rPr>
                <w:rFonts w:hint="default" w:ascii="Times New Roman" w:hAnsi="Times New Roman" w:eastAsia="宋体" w:cs="Times New Roman"/>
                <w:color w:val="auto"/>
                <w:sz w:val="21"/>
                <w:szCs w:val="21"/>
                <w:u w:val="none" w:color="auto"/>
                <w:lang w:val="en-US" w:eastAsia="zh-CN"/>
              </w:rPr>
              <w:t>10</w:t>
            </w:r>
            <w:r>
              <w:rPr>
                <w:rFonts w:hint="default" w:ascii="Times New Roman" w:hAnsi="Times New Roman" w:eastAsia="宋体" w:cs="Times New Roman"/>
                <w:color w:val="auto"/>
                <w:sz w:val="21"/>
                <w:szCs w:val="21"/>
                <w:u w:val="none" w:color="auto"/>
              </w:rPr>
              <w:t>万元。</w:t>
            </w:r>
          </w:p>
        </w:tc>
      </w:tr>
      <w:tr w14:paraId="02E5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10153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八、水生专题竣工验收</w:t>
            </w:r>
          </w:p>
        </w:tc>
        <w:tc>
          <w:tcPr>
            <w:tcW w:w="566" w:type="pct"/>
            <w:tcBorders>
              <w:tl2br w:val="nil"/>
              <w:tr2bl w:val="nil"/>
            </w:tcBorders>
            <w:noWrap w:val="0"/>
            <w:vAlign w:val="center"/>
          </w:tcPr>
          <w:p w14:paraId="341DC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610" w:type="pct"/>
            <w:tcBorders>
              <w:tl2br w:val="nil"/>
              <w:tr2bl w:val="nil"/>
            </w:tcBorders>
            <w:noWrap w:val="0"/>
            <w:vAlign w:val="center"/>
          </w:tcPr>
          <w:p w14:paraId="23FF23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3047" w:type="pct"/>
            <w:tcBorders>
              <w:tl2br w:val="nil"/>
              <w:tr2bl w:val="nil"/>
            </w:tcBorders>
            <w:noWrap w:val="0"/>
            <w:vAlign w:val="center"/>
          </w:tcPr>
          <w:p w14:paraId="27293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水生态保护资料汇总、专题竣工验收报告编制等。</w:t>
            </w:r>
          </w:p>
        </w:tc>
      </w:tr>
      <w:tr w14:paraId="229C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tcBorders>
              <w:tl2br w:val="nil"/>
              <w:tr2bl w:val="nil"/>
            </w:tcBorders>
            <w:noWrap w:val="0"/>
            <w:vAlign w:val="center"/>
          </w:tcPr>
          <w:p w14:paraId="651BEB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合计</w:t>
            </w:r>
          </w:p>
        </w:tc>
        <w:tc>
          <w:tcPr>
            <w:tcW w:w="566" w:type="pct"/>
            <w:tcBorders>
              <w:tl2br w:val="nil"/>
              <w:tr2bl w:val="nil"/>
            </w:tcBorders>
            <w:noWrap w:val="0"/>
            <w:vAlign w:val="center"/>
          </w:tcPr>
          <w:p w14:paraId="2792B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u w:val="none" w:color="auto"/>
              </w:rPr>
            </w:pPr>
          </w:p>
        </w:tc>
        <w:tc>
          <w:tcPr>
            <w:tcW w:w="610" w:type="pct"/>
            <w:tcBorders>
              <w:tl2br w:val="nil"/>
              <w:tr2bl w:val="nil"/>
            </w:tcBorders>
            <w:noWrap w:val="0"/>
            <w:vAlign w:val="center"/>
          </w:tcPr>
          <w:p w14:paraId="6B782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109</w:t>
            </w:r>
          </w:p>
        </w:tc>
        <w:tc>
          <w:tcPr>
            <w:tcW w:w="3047" w:type="pct"/>
            <w:tcBorders>
              <w:tl2br w:val="nil"/>
              <w:tr2bl w:val="nil"/>
            </w:tcBorders>
            <w:noWrap w:val="0"/>
            <w:vAlign w:val="center"/>
          </w:tcPr>
          <w:p w14:paraId="76F1F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u w:val="none" w:color="auto"/>
              </w:rPr>
            </w:pPr>
          </w:p>
        </w:tc>
      </w:tr>
    </w:tbl>
    <w:p w14:paraId="7B78A8C8">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842" w:name="_Toc25096"/>
      <w:bookmarkStart w:id="843" w:name="_Toc19879"/>
      <w:r>
        <w:rPr>
          <w:rFonts w:hint="default" w:ascii="Times New Roman" w:hAnsi="Times New Roman" w:eastAsia="宋体" w:cs="Times New Roman"/>
          <w:color w:val="auto"/>
          <w:sz w:val="28"/>
          <w:szCs w:val="28"/>
          <w:lang w:val="en-US" w:eastAsia="zh-CN"/>
        </w:rPr>
        <w:t>6.</w:t>
      </w:r>
      <w:r>
        <w:rPr>
          <w:rFonts w:hint="eastAsia" w:cs="Times New Roman"/>
          <w:color w:val="auto"/>
          <w:sz w:val="28"/>
          <w:szCs w:val="28"/>
          <w:lang w:val="en-US" w:eastAsia="zh-CN"/>
        </w:rPr>
        <w:t>3环境</w:t>
      </w:r>
      <w:r>
        <w:rPr>
          <w:rFonts w:hint="default" w:ascii="Times New Roman" w:hAnsi="Times New Roman" w:eastAsia="宋体" w:cs="Times New Roman"/>
          <w:color w:val="auto"/>
          <w:sz w:val="28"/>
          <w:szCs w:val="28"/>
          <w:lang w:val="en-US" w:eastAsia="zh-CN"/>
        </w:rPr>
        <w:t>管理措施</w:t>
      </w:r>
      <w:bookmarkEnd w:id="842"/>
      <w:bookmarkEnd w:id="843"/>
    </w:p>
    <w:p w14:paraId="4E37955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（1）业主单位应设定专人负责处理与环境保护目标（水生生态系统）之间发生的环境问题，监督在运行期间各种环境保护措施的实施。</w:t>
      </w:r>
    </w:p>
    <w:p w14:paraId="41EFC2A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（2）业主应负责编印宣传保护环境、保护水生野生动物的材料，发放给各工作人员，并监督落实对工作人员的宣传教育。</w:t>
      </w:r>
    </w:p>
    <w:p w14:paraId="7DE4808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（3）监管内容包括运行期废水、噪声、固体废弃物以及各项生态保护措施的落实情况。</w:t>
      </w:r>
    </w:p>
    <w:p w14:paraId="188C5E4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管理机构应每季度对码头现场相应环保措施落实情况与保护设施运行状况进行检查，鱼类繁殖季节应增加检查频率，保证相应保护措施的落实。</w:t>
      </w:r>
    </w:p>
    <w:p w14:paraId="58E5406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（4）监管的主要内容及要求应在《生态补偿协议》中予以明确约定。</w:t>
      </w:r>
    </w:p>
    <w:p w14:paraId="73BB00A5">
      <w:pPr>
        <w:pStyle w:val="50"/>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lang w:val="en-US" w:eastAsia="zh-CN"/>
        </w:rPr>
        <w:t>6.2-</w:t>
      </w:r>
      <w:r>
        <w:rPr>
          <w:rFonts w:hint="eastAsia" w:cs="Times New Roman"/>
          <w:bCs/>
          <w:color w:val="auto"/>
          <w:sz w:val="24"/>
          <w:szCs w:val="24"/>
          <w:u w:val="none" w:color="auto"/>
          <w:lang w:val="en-US" w:eastAsia="zh-CN"/>
        </w:rPr>
        <w:t>6</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lang w:eastAsia="zh-CN"/>
        </w:rPr>
        <w:t>监管内容及监管要求</w:t>
      </w:r>
    </w:p>
    <w:tbl>
      <w:tblPr>
        <w:tblStyle w:val="29"/>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2"/>
        <w:gridCol w:w="1687"/>
        <w:gridCol w:w="2014"/>
        <w:gridCol w:w="3527"/>
      </w:tblGrid>
      <w:tr w14:paraId="395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tcBorders>
              <w:tl2br w:val="nil"/>
              <w:tr2bl w:val="nil"/>
            </w:tcBorders>
            <w:noWrap w:val="0"/>
            <w:vAlign w:val="center"/>
          </w:tcPr>
          <w:p w14:paraId="203CD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监管项目</w:t>
            </w:r>
          </w:p>
        </w:tc>
        <w:tc>
          <w:tcPr>
            <w:tcW w:w="998" w:type="pct"/>
            <w:tcBorders>
              <w:tl2br w:val="nil"/>
              <w:tr2bl w:val="nil"/>
            </w:tcBorders>
            <w:noWrap w:val="0"/>
            <w:vAlign w:val="center"/>
          </w:tcPr>
          <w:p w14:paraId="0E2C6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监管时段</w:t>
            </w:r>
          </w:p>
        </w:tc>
        <w:tc>
          <w:tcPr>
            <w:tcW w:w="1191" w:type="pct"/>
            <w:tcBorders>
              <w:tl2br w:val="nil"/>
              <w:tr2bl w:val="nil"/>
            </w:tcBorders>
            <w:noWrap w:val="0"/>
            <w:vAlign w:val="center"/>
          </w:tcPr>
          <w:p w14:paraId="740D5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监管对象</w:t>
            </w:r>
          </w:p>
        </w:tc>
        <w:tc>
          <w:tcPr>
            <w:tcW w:w="2086" w:type="pct"/>
            <w:tcBorders>
              <w:tl2br w:val="nil"/>
              <w:tr2bl w:val="nil"/>
            </w:tcBorders>
            <w:noWrap w:val="0"/>
            <w:vAlign w:val="center"/>
          </w:tcPr>
          <w:p w14:paraId="68E65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监管内容</w:t>
            </w:r>
          </w:p>
        </w:tc>
      </w:tr>
      <w:tr w14:paraId="1952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restart"/>
            <w:tcBorders>
              <w:tl2br w:val="nil"/>
              <w:tr2bl w:val="nil"/>
            </w:tcBorders>
            <w:noWrap w:val="0"/>
            <w:vAlign w:val="center"/>
          </w:tcPr>
          <w:p w14:paraId="0785E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废水</w:t>
            </w:r>
          </w:p>
        </w:tc>
        <w:tc>
          <w:tcPr>
            <w:tcW w:w="998" w:type="pct"/>
            <w:vMerge w:val="restart"/>
            <w:tcBorders>
              <w:tl2br w:val="nil"/>
              <w:tr2bl w:val="nil"/>
            </w:tcBorders>
            <w:noWrap w:val="0"/>
            <w:vAlign w:val="center"/>
          </w:tcPr>
          <w:p w14:paraId="5A00B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施工期</w:t>
            </w:r>
          </w:p>
        </w:tc>
        <w:tc>
          <w:tcPr>
            <w:tcW w:w="1191" w:type="pct"/>
            <w:tcBorders>
              <w:tl2br w:val="nil"/>
              <w:tr2bl w:val="nil"/>
            </w:tcBorders>
            <w:noWrap w:val="0"/>
            <w:vAlign w:val="center"/>
          </w:tcPr>
          <w:p w14:paraId="33BAC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生活污水</w:t>
            </w:r>
          </w:p>
        </w:tc>
        <w:tc>
          <w:tcPr>
            <w:tcW w:w="2086" w:type="pct"/>
            <w:tcBorders>
              <w:tl2br w:val="nil"/>
              <w:tr2bl w:val="nil"/>
            </w:tcBorders>
            <w:noWrap w:val="0"/>
            <w:vAlign w:val="center"/>
          </w:tcPr>
          <w:p w14:paraId="27E88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是否统一收集处理</w:t>
            </w:r>
          </w:p>
        </w:tc>
      </w:tr>
      <w:tr w14:paraId="1182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continue"/>
            <w:tcBorders>
              <w:tl2br w:val="nil"/>
              <w:tr2bl w:val="nil"/>
            </w:tcBorders>
            <w:noWrap w:val="0"/>
            <w:vAlign w:val="center"/>
          </w:tcPr>
          <w:p w14:paraId="066EE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p>
        </w:tc>
        <w:tc>
          <w:tcPr>
            <w:tcW w:w="998" w:type="pct"/>
            <w:vMerge w:val="continue"/>
            <w:tcBorders>
              <w:tl2br w:val="nil"/>
              <w:tr2bl w:val="nil"/>
            </w:tcBorders>
            <w:noWrap w:val="0"/>
            <w:vAlign w:val="center"/>
          </w:tcPr>
          <w:p w14:paraId="58930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p>
        </w:tc>
        <w:tc>
          <w:tcPr>
            <w:tcW w:w="1191" w:type="pct"/>
            <w:tcBorders>
              <w:tl2br w:val="nil"/>
              <w:tr2bl w:val="nil"/>
            </w:tcBorders>
            <w:noWrap w:val="0"/>
            <w:vAlign w:val="center"/>
          </w:tcPr>
          <w:p w14:paraId="6D42F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生产废水</w:t>
            </w:r>
          </w:p>
        </w:tc>
        <w:tc>
          <w:tcPr>
            <w:tcW w:w="2086" w:type="pct"/>
            <w:tcBorders>
              <w:tl2br w:val="nil"/>
              <w:tr2bl w:val="nil"/>
            </w:tcBorders>
            <w:noWrap w:val="0"/>
            <w:vAlign w:val="center"/>
          </w:tcPr>
          <w:p w14:paraId="4217C6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是否统一收集处理</w:t>
            </w:r>
          </w:p>
        </w:tc>
      </w:tr>
      <w:tr w14:paraId="62E0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tcBorders>
              <w:tl2br w:val="nil"/>
              <w:tr2bl w:val="nil"/>
            </w:tcBorders>
            <w:noWrap w:val="0"/>
            <w:vAlign w:val="center"/>
          </w:tcPr>
          <w:p w14:paraId="6FEBA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噪声</w:t>
            </w:r>
          </w:p>
        </w:tc>
        <w:tc>
          <w:tcPr>
            <w:tcW w:w="998" w:type="pct"/>
            <w:vMerge w:val="continue"/>
            <w:tcBorders>
              <w:tl2br w:val="nil"/>
              <w:tr2bl w:val="nil"/>
            </w:tcBorders>
            <w:noWrap w:val="0"/>
            <w:vAlign w:val="center"/>
          </w:tcPr>
          <w:p w14:paraId="402DF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p>
        </w:tc>
        <w:tc>
          <w:tcPr>
            <w:tcW w:w="1191" w:type="pct"/>
            <w:tcBorders>
              <w:tl2br w:val="nil"/>
              <w:tr2bl w:val="nil"/>
            </w:tcBorders>
            <w:noWrap w:val="0"/>
            <w:vAlign w:val="center"/>
          </w:tcPr>
          <w:p w14:paraId="05194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施工机械</w:t>
            </w:r>
          </w:p>
        </w:tc>
        <w:tc>
          <w:tcPr>
            <w:tcW w:w="2086" w:type="pct"/>
            <w:tcBorders>
              <w:tl2br w:val="nil"/>
              <w:tr2bl w:val="nil"/>
            </w:tcBorders>
            <w:noWrap w:val="0"/>
            <w:vAlign w:val="center"/>
          </w:tcPr>
          <w:p w14:paraId="53734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施工机械降噪措施</w:t>
            </w:r>
          </w:p>
        </w:tc>
      </w:tr>
      <w:tr w14:paraId="2C15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restart"/>
            <w:tcBorders>
              <w:tl2br w:val="nil"/>
              <w:tr2bl w:val="nil"/>
            </w:tcBorders>
            <w:noWrap w:val="0"/>
            <w:vAlign w:val="center"/>
          </w:tcPr>
          <w:p w14:paraId="2C6A23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固体废弃物</w:t>
            </w:r>
          </w:p>
        </w:tc>
        <w:tc>
          <w:tcPr>
            <w:tcW w:w="998" w:type="pct"/>
            <w:vMerge w:val="continue"/>
            <w:tcBorders>
              <w:tl2br w:val="nil"/>
              <w:tr2bl w:val="nil"/>
            </w:tcBorders>
            <w:noWrap w:val="0"/>
            <w:vAlign w:val="center"/>
          </w:tcPr>
          <w:p w14:paraId="56141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p>
        </w:tc>
        <w:tc>
          <w:tcPr>
            <w:tcW w:w="1191" w:type="pct"/>
            <w:tcBorders>
              <w:tl2br w:val="nil"/>
              <w:tr2bl w:val="nil"/>
            </w:tcBorders>
            <w:noWrap w:val="0"/>
            <w:vAlign w:val="center"/>
          </w:tcPr>
          <w:p w14:paraId="2BE32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生活垃圾</w:t>
            </w:r>
          </w:p>
        </w:tc>
        <w:tc>
          <w:tcPr>
            <w:tcW w:w="2086" w:type="pct"/>
            <w:tcBorders>
              <w:tl2br w:val="nil"/>
              <w:tr2bl w:val="nil"/>
            </w:tcBorders>
            <w:noWrap w:val="0"/>
            <w:vAlign w:val="center"/>
          </w:tcPr>
          <w:p w14:paraId="3A425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有无垃圾站，是否集中处置</w:t>
            </w:r>
          </w:p>
        </w:tc>
      </w:tr>
      <w:tr w14:paraId="7909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continue"/>
            <w:tcBorders>
              <w:tl2br w:val="nil"/>
              <w:tr2bl w:val="nil"/>
            </w:tcBorders>
            <w:noWrap w:val="0"/>
            <w:vAlign w:val="center"/>
          </w:tcPr>
          <w:p w14:paraId="3E75C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998" w:type="pct"/>
            <w:vMerge w:val="continue"/>
            <w:tcBorders>
              <w:tl2br w:val="nil"/>
              <w:tr2bl w:val="nil"/>
            </w:tcBorders>
            <w:noWrap w:val="0"/>
            <w:vAlign w:val="center"/>
          </w:tcPr>
          <w:p w14:paraId="65223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p>
        </w:tc>
        <w:tc>
          <w:tcPr>
            <w:tcW w:w="1191" w:type="pct"/>
            <w:tcBorders>
              <w:tl2br w:val="nil"/>
              <w:tr2bl w:val="nil"/>
            </w:tcBorders>
            <w:noWrap w:val="0"/>
            <w:vAlign w:val="center"/>
          </w:tcPr>
          <w:p w14:paraId="55004D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固体废物</w:t>
            </w:r>
          </w:p>
        </w:tc>
        <w:tc>
          <w:tcPr>
            <w:tcW w:w="2086" w:type="pct"/>
            <w:tcBorders>
              <w:tl2br w:val="nil"/>
              <w:tr2bl w:val="nil"/>
            </w:tcBorders>
            <w:noWrap w:val="0"/>
            <w:vAlign w:val="center"/>
          </w:tcPr>
          <w:p w14:paraId="16845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弃渣、废料有无在保护区内堆放，临时渣场有无隔层，废弃物是否及时清理</w:t>
            </w:r>
          </w:p>
        </w:tc>
      </w:tr>
      <w:tr w14:paraId="167D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restart"/>
            <w:tcBorders>
              <w:tl2br w:val="nil"/>
              <w:tr2bl w:val="nil"/>
            </w:tcBorders>
            <w:noWrap w:val="0"/>
            <w:vAlign w:val="center"/>
          </w:tcPr>
          <w:p w14:paraId="2FB14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生态保护</w:t>
            </w:r>
          </w:p>
        </w:tc>
        <w:tc>
          <w:tcPr>
            <w:tcW w:w="998" w:type="pct"/>
            <w:tcBorders>
              <w:tl2br w:val="nil"/>
              <w:tr2bl w:val="nil"/>
            </w:tcBorders>
            <w:noWrap w:val="0"/>
            <w:vAlign w:val="center"/>
          </w:tcPr>
          <w:p w14:paraId="1C353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施工期</w:t>
            </w:r>
          </w:p>
        </w:tc>
        <w:tc>
          <w:tcPr>
            <w:tcW w:w="1191" w:type="pct"/>
            <w:tcBorders>
              <w:tl2br w:val="nil"/>
              <w:tr2bl w:val="nil"/>
            </w:tcBorders>
            <w:noWrap w:val="0"/>
            <w:vAlign w:val="center"/>
          </w:tcPr>
          <w:p w14:paraId="494D0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宋体" w:hAnsi="宋体" w:eastAsia="宋体" w:cs="宋体"/>
                <w:color w:val="auto"/>
                <w:kern w:val="0"/>
                <w:sz w:val="20"/>
                <w:szCs w:val="20"/>
                <w:lang w:val="en-US" w:eastAsia="zh-CN" w:bidi="ar"/>
              </w:rPr>
              <w:t>产卵场</w:t>
            </w:r>
          </w:p>
        </w:tc>
        <w:tc>
          <w:tcPr>
            <w:tcW w:w="2086" w:type="pct"/>
            <w:tcBorders>
              <w:tl2br w:val="nil"/>
              <w:tr2bl w:val="nil"/>
            </w:tcBorders>
            <w:noWrap w:val="0"/>
            <w:vAlign w:val="center"/>
          </w:tcPr>
          <w:p w14:paraId="30D4D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宋体" w:hAnsi="宋体" w:eastAsia="宋体" w:cs="宋体"/>
                <w:color w:val="auto"/>
                <w:kern w:val="0"/>
                <w:sz w:val="20"/>
                <w:szCs w:val="20"/>
                <w:lang w:val="en-US" w:eastAsia="zh-CN" w:bidi="ar"/>
              </w:rPr>
              <w:t>繁殖期避让</w:t>
            </w:r>
          </w:p>
        </w:tc>
      </w:tr>
      <w:tr w14:paraId="0121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continue"/>
            <w:tcBorders>
              <w:tl2br w:val="nil"/>
              <w:tr2bl w:val="nil"/>
            </w:tcBorders>
            <w:noWrap w:val="0"/>
            <w:vAlign w:val="center"/>
          </w:tcPr>
          <w:p w14:paraId="07EDE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998" w:type="pct"/>
            <w:tcBorders>
              <w:tl2br w:val="nil"/>
              <w:tr2bl w:val="nil"/>
            </w:tcBorders>
            <w:noWrap w:val="0"/>
            <w:vAlign w:val="center"/>
          </w:tcPr>
          <w:p w14:paraId="5B1AE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施工期、运营期</w:t>
            </w:r>
          </w:p>
        </w:tc>
        <w:tc>
          <w:tcPr>
            <w:tcW w:w="1191" w:type="pct"/>
            <w:tcBorders>
              <w:tl2br w:val="nil"/>
              <w:tr2bl w:val="nil"/>
            </w:tcBorders>
            <w:noWrap w:val="0"/>
            <w:vAlign w:val="center"/>
          </w:tcPr>
          <w:p w14:paraId="277FF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宣传教育</w:t>
            </w:r>
          </w:p>
        </w:tc>
        <w:tc>
          <w:tcPr>
            <w:tcW w:w="2086" w:type="pct"/>
            <w:tcBorders>
              <w:tl2br w:val="nil"/>
              <w:tr2bl w:val="nil"/>
            </w:tcBorders>
            <w:noWrap w:val="0"/>
            <w:vAlign w:val="center"/>
          </w:tcPr>
          <w:p w14:paraId="2088C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有无环保宣传资料，有无开展施工人员环保意识教育</w:t>
            </w:r>
          </w:p>
        </w:tc>
      </w:tr>
      <w:tr w14:paraId="405A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3" w:type="pct"/>
            <w:vMerge w:val="continue"/>
            <w:tcBorders>
              <w:tl2br w:val="nil"/>
              <w:tr2bl w:val="nil"/>
            </w:tcBorders>
            <w:noWrap w:val="0"/>
            <w:vAlign w:val="center"/>
          </w:tcPr>
          <w:p w14:paraId="0DFBC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998" w:type="pct"/>
            <w:tcBorders>
              <w:tl2br w:val="nil"/>
              <w:tr2bl w:val="nil"/>
            </w:tcBorders>
            <w:noWrap w:val="0"/>
            <w:vAlign w:val="center"/>
          </w:tcPr>
          <w:p w14:paraId="742D8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施工期、运营期</w:t>
            </w:r>
          </w:p>
        </w:tc>
        <w:tc>
          <w:tcPr>
            <w:tcW w:w="1191" w:type="pct"/>
            <w:tcBorders>
              <w:tl2br w:val="nil"/>
              <w:tr2bl w:val="nil"/>
            </w:tcBorders>
            <w:noWrap w:val="0"/>
            <w:vAlign w:val="center"/>
          </w:tcPr>
          <w:p w14:paraId="6D3D49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保护鱼类意外伤害救护预案</w:t>
            </w:r>
          </w:p>
        </w:tc>
        <w:tc>
          <w:tcPr>
            <w:tcW w:w="2086" w:type="pct"/>
            <w:tcBorders>
              <w:tl2br w:val="nil"/>
              <w:tr2bl w:val="nil"/>
            </w:tcBorders>
            <w:noWrap w:val="0"/>
            <w:vAlign w:val="center"/>
          </w:tcPr>
          <w:p w14:paraId="75E8D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是否制定紧急救护预案、有无相应设施</w:t>
            </w:r>
          </w:p>
        </w:tc>
      </w:tr>
    </w:tbl>
    <w:p w14:paraId="7FDCCA1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br w:type="page"/>
      </w:r>
    </w:p>
    <w:p w14:paraId="7558D3E8">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844" w:name="_Toc6674"/>
      <w:bookmarkStart w:id="845" w:name="_Toc5008_WPSOffice_Level1"/>
      <w:bookmarkStart w:id="846" w:name="_Toc3943"/>
      <w:bookmarkStart w:id="847" w:name="_Toc20524"/>
      <w:bookmarkStart w:id="848" w:name="_Toc19275"/>
      <w:bookmarkStart w:id="849" w:name="_Toc1073_WPSOffice_Level1"/>
      <w:bookmarkStart w:id="850" w:name="_Toc372124979"/>
      <w:bookmarkStart w:id="851" w:name="_Toc6861_WPSOffice_Level1"/>
      <w:bookmarkStart w:id="852" w:name="_Toc27555"/>
      <w:bookmarkStart w:id="853" w:name="_Toc4808_WPSOffice_Level1"/>
      <w:bookmarkStart w:id="854" w:name="_Toc10272"/>
      <w:bookmarkStart w:id="855" w:name="_Toc32224"/>
      <w:bookmarkStart w:id="856" w:name="_Toc6129_WPSOffice_Level1"/>
      <w:bookmarkStart w:id="857" w:name="_Toc343691372"/>
      <w:bookmarkStart w:id="858" w:name="_Toc11224"/>
      <w:bookmarkStart w:id="859" w:name="_Toc16697"/>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、环境经济损益分析</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09A8C0E">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860" w:name="_Toc343691373"/>
      <w:bookmarkStart w:id="861" w:name="_Toc7497_WPSOffice_Level2"/>
      <w:bookmarkStart w:id="862" w:name="_Toc5101"/>
      <w:bookmarkStart w:id="863" w:name="_Toc30381"/>
      <w:bookmarkStart w:id="864" w:name="_Toc372124980"/>
      <w:bookmarkStart w:id="865" w:name="_Toc17119"/>
      <w:bookmarkStart w:id="866" w:name="_Toc24255_WPSOffice_Level2"/>
      <w:bookmarkStart w:id="867" w:name="_Toc30012_WPSOffice_Level2"/>
      <w:bookmarkStart w:id="868" w:name="_Toc27434_WPSOffice_Level2"/>
      <w:bookmarkStart w:id="869" w:name="_Toc2011"/>
      <w:bookmarkStart w:id="870" w:name="_Toc10140"/>
      <w:bookmarkStart w:id="871" w:name="_Toc6262"/>
      <w:bookmarkStart w:id="872" w:name="_Toc1196"/>
      <w:bookmarkStart w:id="873" w:name="_Toc14993"/>
      <w:bookmarkStart w:id="874" w:name="_Toc16539_WPSOffice_Level2"/>
      <w:r>
        <w:rPr>
          <w:rFonts w:hint="eastAsia" w:cs="Times New Roman"/>
          <w:color w:val="auto"/>
          <w:sz w:val="28"/>
          <w:szCs w:val="28"/>
          <w:lang w:val="en-US" w:eastAsia="zh-CN"/>
        </w:rPr>
        <w:t>7</w:t>
      </w:r>
      <w:r>
        <w:rPr>
          <w:rFonts w:hint="default" w:ascii="Times New Roman" w:hAnsi="Times New Roman" w:eastAsia="宋体" w:cs="Times New Roman"/>
          <w:color w:val="auto"/>
          <w:sz w:val="28"/>
          <w:szCs w:val="28"/>
        </w:rPr>
        <w:t>.1环境效益分析</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6C98B0F8">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eastAsia="zh-CN" w:bidi="ar"/>
        </w:rPr>
        <w:t>总投资</w:t>
      </w:r>
      <w:r>
        <w:rPr>
          <w:rFonts w:hint="default" w:ascii="Times New Roman" w:hAnsi="Times New Roman" w:eastAsia="宋体" w:cs="Times New Roman"/>
          <w:color w:val="auto"/>
          <w:sz w:val="24"/>
          <w:szCs w:val="24"/>
          <w:lang w:val="en-US" w:eastAsia="zh-CN" w:bidi="ar"/>
        </w:rPr>
        <w:t>871.</w:t>
      </w:r>
      <w:r>
        <w:rPr>
          <w:rFonts w:hint="default" w:ascii="Times New Roman" w:hAnsi="Times New Roman" w:eastAsia="宋体" w:cs="Times New Roman"/>
          <w:color w:val="auto"/>
          <w:sz w:val="24"/>
          <w:szCs w:val="24"/>
          <w:lang w:eastAsia="zh-CN" w:bidi="ar"/>
        </w:rPr>
        <w:t>10</w:t>
      </w:r>
      <w:r>
        <w:rPr>
          <w:rFonts w:hint="default" w:ascii="Times New Roman" w:hAnsi="Times New Roman" w:eastAsia="宋体" w:cs="Times New Roman"/>
          <w:color w:val="auto"/>
          <w:sz w:val="24"/>
          <w:szCs w:val="24"/>
          <w:lang w:val="en-US" w:eastAsia="zh-CN" w:bidi="ar"/>
        </w:rPr>
        <w:t>万元。提质改造工程</w:t>
      </w:r>
      <w:r>
        <w:rPr>
          <w:rFonts w:hint="default" w:ascii="Times New Roman" w:hAnsi="Times New Roman" w:eastAsia="宋体" w:cs="Times New Roman"/>
          <w:color w:val="auto"/>
          <w:sz w:val="24"/>
          <w:szCs w:val="24"/>
          <w:lang w:bidi="ar"/>
        </w:rPr>
        <w:t>采取的环保措施及其投资估算见下表，环保投资</w:t>
      </w:r>
      <w:r>
        <w:rPr>
          <w:rFonts w:hint="default" w:ascii="Times New Roman" w:hAnsi="Times New Roman" w:eastAsia="宋体" w:cs="Times New Roman"/>
          <w:color w:val="auto"/>
          <w:sz w:val="24"/>
          <w:szCs w:val="24"/>
          <w:lang w:val="en-US" w:eastAsia="zh-CN" w:bidi="ar"/>
        </w:rPr>
        <w:t>131</w:t>
      </w:r>
      <w:r>
        <w:rPr>
          <w:rFonts w:hint="default" w:ascii="Times New Roman" w:hAnsi="Times New Roman" w:eastAsia="宋体" w:cs="Times New Roman"/>
          <w:color w:val="auto"/>
          <w:sz w:val="24"/>
          <w:szCs w:val="24"/>
          <w:lang w:bidi="ar"/>
        </w:rPr>
        <w:t>万元，占项目建设投资的比例为</w:t>
      </w:r>
      <w:r>
        <w:rPr>
          <w:rFonts w:hint="default" w:ascii="Times New Roman" w:hAnsi="Times New Roman" w:eastAsia="宋体" w:cs="Times New Roman"/>
          <w:color w:val="auto"/>
          <w:sz w:val="24"/>
          <w:szCs w:val="24"/>
          <w:lang w:val="en-US" w:eastAsia="zh-CN" w:bidi="ar"/>
        </w:rPr>
        <w:t>15.03</w:t>
      </w:r>
      <w:r>
        <w:rPr>
          <w:rFonts w:hint="default" w:ascii="Times New Roman" w:hAnsi="Times New Roman" w:eastAsia="宋体" w:cs="Times New Roman"/>
          <w:color w:val="auto"/>
          <w:sz w:val="24"/>
          <w:szCs w:val="24"/>
          <w:lang w:bidi="ar"/>
        </w:rPr>
        <w:t>％。</w:t>
      </w:r>
    </w:p>
    <w:p w14:paraId="4C4BBA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rPr>
        <w:t>.1-1环保设施投资估算表</w:t>
      </w:r>
    </w:p>
    <w:tbl>
      <w:tblPr>
        <w:tblStyle w:val="29"/>
        <w:tblW w:w="5093"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293"/>
        <w:gridCol w:w="552"/>
        <w:gridCol w:w="1727"/>
        <w:gridCol w:w="5161"/>
        <w:gridCol w:w="732"/>
      </w:tblGrid>
      <w:tr w14:paraId="5874D2C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noWrap w:val="0"/>
            <w:vAlign w:val="center"/>
          </w:tcPr>
          <w:p w14:paraId="230BD497">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类别</w:t>
            </w:r>
          </w:p>
        </w:tc>
        <w:tc>
          <w:tcPr>
            <w:tcW w:w="1020" w:type="pct"/>
            <w:noWrap w:val="0"/>
            <w:vAlign w:val="center"/>
          </w:tcPr>
          <w:p w14:paraId="3B5813AB">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3047" w:type="pct"/>
            <w:noWrap w:val="0"/>
            <w:vAlign w:val="center"/>
          </w:tcPr>
          <w:p w14:paraId="071B4A2C">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治理措施</w:t>
            </w:r>
          </w:p>
        </w:tc>
        <w:tc>
          <w:tcPr>
            <w:tcW w:w="432" w:type="pct"/>
            <w:noWrap w:val="0"/>
            <w:vAlign w:val="center"/>
          </w:tcPr>
          <w:p w14:paraId="3F3369C9">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总投资</w:t>
            </w:r>
          </w:p>
          <w:p w14:paraId="2C547E39">
            <w:pPr>
              <w:pStyle w:val="41"/>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（万元）</w:t>
            </w:r>
          </w:p>
        </w:tc>
      </w:tr>
      <w:tr w14:paraId="78112BC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restart"/>
            <w:noWrap w:val="0"/>
            <w:vAlign w:val="center"/>
          </w:tcPr>
          <w:p w14:paraId="69048B66">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施工期</w:t>
            </w:r>
          </w:p>
        </w:tc>
        <w:tc>
          <w:tcPr>
            <w:tcW w:w="325" w:type="pct"/>
            <w:noWrap w:val="0"/>
            <w:vAlign w:val="center"/>
          </w:tcPr>
          <w:p w14:paraId="09AB7425">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020" w:type="pct"/>
            <w:noWrap w:val="0"/>
            <w:vAlign w:val="center"/>
          </w:tcPr>
          <w:p w14:paraId="2CD19664">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粉尘</w:t>
            </w:r>
          </w:p>
        </w:tc>
        <w:tc>
          <w:tcPr>
            <w:tcW w:w="3047" w:type="pct"/>
            <w:noWrap w:val="0"/>
            <w:vAlign w:val="center"/>
          </w:tcPr>
          <w:p w14:paraId="4890A842">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限速行驶和保持路面场地清洁，洒水抑尘、物料遮盖</w:t>
            </w:r>
          </w:p>
        </w:tc>
        <w:tc>
          <w:tcPr>
            <w:tcW w:w="432" w:type="pct"/>
            <w:noWrap w:val="0"/>
            <w:vAlign w:val="center"/>
          </w:tcPr>
          <w:p w14:paraId="5C118812">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5</w:t>
            </w:r>
          </w:p>
        </w:tc>
      </w:tr>
      <w:tr w14:paraId="32FED5C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6C6E116E">
            <w:pPr>
              <w:pStyle w:val="41"/>
              <w:bidi w:val="0"/>
              <w:rPr>
                <w:rFonts w:hint="default" w:ascii="Times New Roman" w:hAnsi="Times New Roman" w:eastAsia="宋体" w:cs="Times New Roman"/>
                <w:color w:val="auto"/>
                <w:lang w:eastAsia="zh-CN"/>
              </w:rPr>
            </w:pPr>
          </w:p>
        </w:tc>
        <w:tc>
          <w:tcPr>
            <w:tcW w:w="325" w:type="pct"/>
            <w:vMerge w:val="restart"/>
            <w:noWrap w:val="0"/>
            <w:vAlign w:val="center"/>
          </w:tcPr>
          <w:p w14:paraId="3900143B">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废水</w:t>
            </w:r>
          </w:p>
        </w:tc>
        <w:tc>
          <w:tcPr>
            <w:tcW w:w="1020" w:type="pct"/>
            <w:noWrap w:val="0"/>
            <w:vAlign w:val="center"/>
          </w:tcPr>
          <w:p w14:paraId="306BA434">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施工废水</w:t>
            </w:r>
          </w:p>
        </w:tc>
        <w:tc>
          <w:tcPr>
            <w:tcW w:w="3047" w:type="pct"/>
            <w:noWrap w:val="0"/>
            <w:vAlign w:val="center"/>
          </w:tcPr>
          <w:p w14:paraId="20D63987">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隔油池、沉淀池处理施工机械冲洗废水，处理后回用场地洒水抑尘</w:t>
            </w:r>
          </w:p>
        </w:tc>
        <w:tc>
          <w:tcPr>
            <w:tcW w:w="432" w:type="pct"/>
            <w:noWrap w:val="0"/>
            <w:vAlign w:val="center"/>
          </w:tcPr>
          <w:p w14:paraId="2154379E">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r>
      <w:tr w14:paraId="262CC5B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31BB0394">
            <w:pPr>
              <w:pStyle w:val="41"/>
              <w:bidi w:val="0"/>
              <w:rPr>
                <w:rFonts w:hint="default" w:ascii="Times New Roman" w:hAnsi="Times New Roman" w:eastAsia="宋体" w:cs="Times New Roman"/>
                <w:color w:val="auto"/>
                <w:lang w:eastAsia="zh-CN"/>
              </w:rPr>
            </w:pPr>
          </w:p>
        </w:tc>
        <w:tc>
          <w:tcPr>
            <w:tcW w:w="325" w:type="pct"/>
            <w:vMerge w:val="continue"/>
            <w:noWrap w:val="0"/>
            <w:vAlign w:val="center"/>
          </w:tcPr>
          <w:p w14:paraId="135109EB">
            <w:pPr>
              <w:pStyle w:val="41"/>
              <w:bidi w:val="0"/>
              <w:rPr>
                <w:rFonts w:hint="default" w:ascii="Times New Roman" w:hAnsi="Times New Roman" w:eastAsia="宋体" w:cs="Times New Roman"/>
                <w:color w:val="auto"/>
                <w:lang w:eastAsia="zh-CN"/>
              </w:rPr>
            </w:pPr>
          </w:p>
        </w:tc>
        <w:tc>
          <w:tcPr>
            <w:tcW w:w="1020" w:type="pct"/>
            <w:noWrap w:val="0"/>
            <w:vAlign w:val="center"/>
          </w:tcPr>
          <w:p w14:paraId="31F981BE">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施工船舶污水</w:t>
            </w:r>
          </w:p>
        </w:tc>
        <w:tc>
          <w:tcPr>
            <w:tcW w:w="3047" w:type="pct"/>
            <w:noWrap w:val="0"/>
            <w:vAlign w:val="center"/>
          </w:tcPr>
          <w:p w14:paraId="6D66C073">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船舶污水经船主收集送</w:t>
            </w:r>
            <w:r>
              <w:rPr>
                <w:rFonts w:hint="default" w:ascii="Times New Roman" w:hAnsi="Times New Roman" w:eastAsia="宋体" w:cs="Times New Roman"/>
                <w:color w:val="auto"/>
                <w:lang w:eastAsia="zh-CN"/>
              </w:rPr>
              <w:t>交通部门</w:t>
            </w:r>
            <w:r>
              <w:rPr>
                <w:rFonts w:hint="default" w:ascii="Times New Roman" w:hAnsi="Times New Roman" w:eastAsia="宋体" w:cs="Times New Roman"/>
                <w:color w:val="auto"/>
              </w:rPr>
              <w:t>指定单位收集并负责处理。建设单位在施工招标时，应明确施工单位落实船舶油污水处理责任</w:t>
            </w:r>
          </w:p>
        </w:tc>
        <w:tc>
          <w:tcPr>
            <w:tcW w:w="432" w:type="pct"/>
            <w:noWrap w:val="0"/>
            <w:vAlign w:val="center"/>
          </w:tcPr>
          <w:p w14:paraId="2CD86763">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r>
      <w:tr w14:paraId="6C6DE30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2554F4F2">
            <w:pPr>
              <w:pStyle w:val="41"/>
              <w:bidi w:val="0"/>
              <w:rPr>
                <w:rFonts w:hint="default" w:ascii="Times New Roman" w:hAnsi="Times New Roman" w:eastAsia="宋体" w:cs="Times New Roman"/>
                <w:color w:val="auto"/>
                <w:lang w:eastAsia="zh-CN"/>
              </w:rPr>
            </w:pPr>
          </w:p>
        </w:tc>
        <w:tc>
          <w:tcPr>
            <w:tcW w:w="325" w:type="pct"/>
            <w:vMerge w:val="continue"/>
            <w:noWrap w:val="0"/>
            <w:vAlign w:val="center"/>
          </w:tcPr>
          <w:p w14:paraId="725C344B">
            <w:pPr>
              <w:pStyle w:val="41"/>
              <w:bidi w:val="0"/>
              <w:rPr>
                <w:rFonts w:hint="default" w:ascii="Times New Roman" w:hAnsi="Times New Roman" w:eastAsia="宋体" w:cs="Times New Roman"/>
                <w:color w:val="auto"/>
                <w:lang w:eastAsia="zh-CN"/>
              </w:rPr>
            </w:pPr>
          </w:p>
        </w:tc>
        <w:tc>
          <w:tcPr>
            <w:tcW w:w="1020" w:type="pct"/>
            <w:noWrap w:val="0"/>
            <w:vAlign w:val="center"/>
          </w:tcPr>
          <w:p w14:paraId="1DCA26CF">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生活污水</w:t>
            </w:r>
          </w:p>
        </w:tc>
        <w:tc>
          <w:tcPr>
            <w:tcW w:w="3047" w:type="pct"/>
            <w:noWrap w:val="0"/>
            <w:vAlign w:val="center"/>
          </w:tcPr>
          <w:p w14:paraId="2AF4F7A9">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经化粪池处理后</w:t>
            </w:r>
            <w:r>
              <w:rPr>
                <w:rFonts w:hint="default" w:ascii="Times New Roman" w:hAnsi="Times New Roman" w:eastAsia="宋体" w:cs="Times New Roman"/>
                <w:color w:val="auto"/>
                <w:lang w:val="en-US" w:eastAsia="zh-CN"/>
              </w:rPr>
              <w:t>作为绿化水回用</w:t>
            </w:r>
          </w:p>
        </w:tc>
        <w:tc>
          <w:tcPr>
            <w:tcW w:w="432" w:type="pct"/>
            <w:noWrap w:val="0"/>
            <w:vAlign w:val="center"/>
          </w:tcPr>
          <w:p w14:paraId="1D987C0A">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r>
      <w:tr w14:paraId="4C50C95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6AD9D5E1">
            <w:pPr>
              <w:pStyle w:val="41"/>
              <w:bidi w:val="0"/>
              <w:rPr>
                <w:rFonts w:hint="default" w:ascii="Times New Roman" w:hAnsi="Times New Roman" w:eastAsia="宋体" w:cs="Times New Roman"/>
                <w:color w:val="auto"/>
                <w:lang w:eastAsia="zh-CN"/>
              </w:rPr>
            </w:pPr>
          </w:p>
        </w:tc>
        <w:tc>
          <w:tcPr>
            <w:tcW w:w="325" w:type="pct"/>
            <w:vMerge w:val="restart"/>
            <w:noWrap w:val="0"/>
            <w:vAlign w:val="center"/>
          </w:tcPr>
          <w:p w14:paraId="40477A32">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固废</w:t>
            </w:r>
          </w:p>
        </w:tc>
        <w:tc>
          <w:tcPr>
            <w:tcW w:w="1020" w:type="pct"/>
            <w:noWrap w:val="0"/>
            <w:vAlign w:val="center"/>
          </w:tcPr>
          <w:p w14:paraId="35A4DDDE">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建筑垃圾</w:t>
            </w:r>
          </w:p>
        </w:tc>
        <w:tc>
          <w:tcPr>
            <w:tcW w:w="3047" w:type="pct"/>
            <w:noWrap w:val="0"/>
            <w:vAlign w:val="center"/>
          </w:tcPr>
          <w:p w14:paraId="038DAF5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尽量用于江岸护坡回填土，不能利用的经驳船运输至</w:t>
            </w:r>
            <w:r>
              <w:rPr>
                <w:rFonts w:hint="default" w:ascii="Times New Roman" w:hAnsi="Times New Roman" w:eastAsia="宋体" w:cs="Times New Roman"/>
                <w:color w:val="auto"/>
                <w:lang w:eastAsia="zh-CN"/>
              </w:rPr>
              <w:t>交通部门</w:t>
            </w:r>
            <w:r>
              <w:rPr>
                <w:rFonts w:hint="default" w:ascii="Times New Roman" w:hAnsi="Times New Roman" w:eastAsia="宋体" w:cs="Times New Roman"/>
                <w:color w:val="auto"/>
              </w:rPr>
              <w:t>指定的地方</w:t>
            </w:r>
          </w:p>
        </w:tc>
        <w:tc>
          <w:tcPr>
            <w:tcW w:w="432" w:type="pct"/>
            <w:noWrap w:val="0"/>
            <w:vAlign w:val="center"/>
          </w:tcPr>
          <w:p w14:paraId="3F67DABB">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r>
      <w:tr w14:paraId="05EB3E9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5EBB9F5E">
            <w:pPr>
              <w:pStyle w:val="41"/>
              <w:bidi w:val="0"/>
              <w:rPr>
                <w:rFonts w:hint="default" w:ascii="Times New Roman" w:hAnsi="Times New Roman" w:eastAsia="宋体" w:cs="Times New Roman"/>
                <w:color w:val="auto"/>
                <w:lang w:eastAsia="zh-CN"/>
              </w:rPr>
            </w:pPr>
          </w:p>
        </w:tc>
        <w:tc>
          <w:tcPr>
            <w:tcW w:w="325" w:type="pct"/>
            <w:vMerge w:val="continue"/>
            <w:noWrap w:val="0"/>
            <w:vAlign w:val="center"/>
          </w:tcPr>
          <w:p w14:paraId="24E75B67">
            <w:pPr>
              <w:pStyle w:val="41"/>
              <w:bidi w:val="0"/>
              <w:rPr>
                <w:rFonts w:hint="default" w:ascii="Times New Roman" w:hAnsi="Times New Roman" w:eastAsia="宋体" w:cs="Times New Roman"/>
                <w:color w:val="auto"/>
                <w:lang w:eastAsia="zh-CN"/>
              </w:rPr>
            </w:pPr>
          </w:p>
        </w:tc>
        <w:tc>
          <w:tcPr>
            <w:tcW w:w="1020" w:type="pct"/>
            <w:noWrap w:val="0"/>
            <w:vAlign w:val="center"/>
          </w:tcPr>
          <w:p w14:paraId="401B373D">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eastAsia="zh-CN"/>
              </w:rPr>
              <w:t>生活垃圾</w:t>
            </w:r>
          </w:p>
        </w:tc>
        <w:tc>
          <w:tcPr>
            <w:tcW w:w="3047" w:type="pct"/>
            <w:noWrap w:val="0"/>
            <w:vAlign w:val="center"/>
          </w:tcPr>
          <w:p w14:paraId="3D00091A">
            <w:pPr>
              <w:pStyle w:val="41"/>
              <w:bidi w:val="0"/>
              <w:rPr>
                <w:rFonts w:hint="default" w:ascii="Times New Roman" w:hAnsi="Times New Roman" w:eastAsia="宋体" w:cs="Times New Roman"/>
                <w:color w:val="auto"/>
                <w:kern w:val="0"/>
                <w:sz w:val="21"/>
                <w:szCs w:val="20"/>
              </w:rPr>
            </w:pPr>
            <w:r>
              <w:rPr>
                <w:rFonts w:hint="default" w:ascii="Times New Roman" w:hAnsi="Times New Roman" w:eastAsia="宋体" w:cs="Times New Roman"/>
                <w:color w:val="auto"/>
              </w:rPr>
              <w:t>垃圾桶收集，环卫部门统一清运</w:t>
            </w:r>
          </w:p>
        </w:tc>
        <w:tc>
          <w:tcPr>
            <w:tcW w:w="432" w:type="pct"/>
            <w:noWrap w:val="0"/>
            <w:vAlign w:val="center"/>
          </w:tcPr>
          <w:p w14:paraId="2F307222">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eastAsia="zh-CN"/>
              </w:rPr>
              <w:t>1</w:t>
            </w:r>
          </w:p>
        </w:tc>
      </w:tr>
      <w:tr w14:paraId="43A48FE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restart"/>
            <w:noWrap w:val="0"/>
            <w:vAlign w:val="center"/>
          </w:tcPr>
          <w:p w14:paraId="1594420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营运期</w:t>
            </w:r>
          </w:p>
        </w:tc>
        <w:tc>
          <w:tcPr>
            <w:tcW w:w="325" w:type="pct"/>
            <w:vMerge w:val="restart"/>
            <w:noWrap w:val="0"/>
            <w:vAlign w:val="center"/>
          </w:tcPr>
          <w:p w14:paraId="2CE47848">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废水</w:t>
            </w:r>
          </w:p>
        </w:tc>
        <w:tc>
          <w:tcPr>
            <w:tcW w:w="1020" w:type="pct"/>
            <w:noWrap w:val="0"/>
            <w:vAlign w:val="center"/>
          </w:tcPr>
          <w:p w14:paraId="0D72DC98">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eastAsia="zh-CN"/>
              </w:rPr>
              <w:t>船舶员工生活污水</w:t>
            </w:r>
          </w:p>
        </w:tc>
        <w:tc>
          <w:tcPr>
            <w:tcW w:w="3047" w:type="pct"/>
            <w:noWrap w:val="0"/>
            <w:vAlign w:val="center"/>
          </w:tcPr>
          <w:p w14:paraId="3ADA2EE8">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lang w:val="en-US" w:eastAsia="zh-CN"/>
              </w:rPr>
              <w:t>生活污水接驳管网+20m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生活污水箱+林地灌溉水回用</w:t>
            </w:r>
          </w:p>
        </w:tc>
        <w:tc>
          <w:tcPr>
            <w:tcW w:w="432" w:type="pct"/>
            <w:noWrap w:val="0"/>
            <w:vAlign w:val="center"/>
          </w:tcPr>
          <w:p w14:paraId="7E6B7734">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val="en-US" w:eastAsia="zh-CN"/>
              </w:rPr>
              <w:t>3</w:t>
            </w:r>
          </w:p>
        </w:tc>
      </w:tr>
      <w:tr w14:paraId="15467B1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61BEB957">
            <w:pPr>
              <w:pStyle w:val="41"/>
              <w:bidi w:val="0"/>
              <w:rPr>
                <w:rFonts w:hint="default" w:ascii="Times New Roman" w:hAnsi="Times New Roman" w:eastAsia="宋体" w:cs="Times New Roman"/>
                <w:color w:val="auto"/>
              </w:rPr>
            </w:pPr>
          </w:p>
        </w:tc>
        <w:tc>
          <w:tcPr>
            <w:tcW w:w="325" w:type="pct"/>
            <w:vMerge w:val="continue"/>
            <w:noWrap w:val="0"/>
            <w:vAlign w:val="center"/>
          </w:tcPr>
          <w:p w14:paraId="3A0FF7DE">
            <w:pPr>
              <w:pStyle w:val="41"/>
              <w:bidi w:val="0"/>
              <w:rPr>
                <w:rFonts w:hint="default" w:ascii="Times New Roman" w:hAnsi="Times New Roman" w:eastAsia="宋体" w:cs="Times New Roman"/>
                <w:color w:val="auto"/>
                <w:lang w:eastAsia="zh-CN"/>
              </w:rPr>
            </w:pPr>
          </w:p>
        </w:tc>
        <w:tc>
          <w:tcPr>
            <w:tcW w:w="1020" w:type="pct"/>
            <w:noWrap w:val="0"/>
            <w:vAlign w:val="center"/>
          </w:tcPr>
          <w:p w14:paraId="009DD59F">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eastAsia="zh-CN"/>
              </w:rPr>
              <w:t>船舶含油污水</w:t>
            </w:r>
          </w:p>
        </w:tc>
        <w:tc>
          <w:tcPr>
            <w:tcW w:w="3047" w:type="pct"/>
            <w:noWrap w:val="0"/>
            <w:vAlign w:val="center"/>
          </w:tcPr>
          <w:p w14:paraId="4BEB29F7">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lang w:val="en-US" w:eastAsia="zh-CN"/>
              </w:rPr>
              <w:t>由斜坡道上含油污水箱收集后由有资质单位接收处置</w:t>
            </w:r>
          </w:p>
        </w:tc>
        <w:tc>
          <w:tcPr>
            <w:tcW w:w="432" w:type="pct"/>
            <w:noWrap w:val="0"/>
            <w:vAlign w:val="center"/>
          </w:tcPr>
          <w:p w14:paraId="6145F8ED">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lang w:eastAsia="zh-CN"/>
              </w:rPr>
              <w:t>5</w:t>
            </w:r>
          </w:p>
        </w:tc>
      </w:tr>
      <w:tr w14:paraId="0962774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12F70A15">
            <w:pPr>
              <w:pStyle w:val="41"/>
              <w:bidi w:val="0"/>
              <w:rPr>
                <w:rFonts w:hint="default" w:ascii="Times New Roman" w:hAnsi="Times New Roman" w:eastAsia="宋体" w:cs="Times New Roman"/>
                <w:color w:val="auto"/>
              </w:rPr>
            </w:pPr>
          </w:p>
        </w:tc>
        <w:tc>
          <w:tcPr>
            <w:tcW w:w="325" w:type="pct"/>
            <w:vMerge w:val="restart"/>
            <w:noWrap w:val="0"/>
            <w:vAlign w:val="center"/>
          </w:tcPr>
          <w:p w14:paraId="1DB599A1">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固体</w:t>
            </w:r>
          </w:p>
          <w:p w14:paraId="5BC37CC9">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废物</w:t>
            </w:r>
          </w:p>
        </w:tc>
        <w:tc>
          <w:tcPr>
            <w:tcW w:w="1020" w:type="pct"/>
            <w:noWrap w:val="0"/>
            <w:vAlign w:val="center"/>
          </w:tcPr>
          <w:p w14:paraId="4D890F11">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rPr>
              <w:t>船舶员工生活垃圾</w:t>
            </w:r>
          </w:p>
        </w:tc>
        <w:tc>
          <w:tcPr>
            <w:tcW w:w="3047" w:type="pct"/>
            <w:noWrap w:val="0"/>
            <w:vAlign w:val="center"/>
          </w:tcPr>
          <w:p w14:paraId="392A4C45">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lang w:eastAsia="zh-CN"/>
              </w:rPr>
              <w:t>趸船生活垃圾箱收集后交有</w:t>
            </w:r>
            <w:r>
              <w:rPr>
                <w:rFonts w:hint="default" w:ascii="Times New Roman" w:hAnsi="Times New Roman" w:eastAsia="宋体" w:cs="Times New Roman"/>
                <w:color w:val="auto"/>
                <w:lang w:val="en-US" w:eastAsia="zh-CN"/>
              </w:rPr>
              <w:t>环卫部门处理</w:t>
            </w:r>
          </w:p>
        </w:tc>
        <w:tc>
          <w:tcPr>
            <w:tcW w:w="432" w:type="pct"/>
            <w:vMerge w:val="restart"/>
            <w:noWrap w:val="0"/>
            <w:vAlign w:val="center"/>
          </w:tcPr>
          <w:p w14:paraId="622F594C">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kern w:val="0"/>
                <w:sz w:val="21"/>
                <w:szCs w:val="20"/>
                <w:lang w:val="en-US" w:eastAsia="zh-CN"/>
              </w:rPr>
              <w:t>2</w:t>
            </w:r>
          </w:p>
        </w:tc>
      </w:tr>
      <w:tr w14:paraId="16F6F02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23FA9367">
            <w:pPr>
              <w:pStyle w:val="41"/>
              <w:bidi w:val="0"/>
              <w:rPr>
                <w:rFonts w:hint="default" w:ascii="Times New Roman" w:hAnsi="Times New Roman" w:eastAsia="宋体" w:cs="Times New Roman"/>
                <w:color w:val="auto"/>
                <w:lang w:eastAsia="zh-CN"/>
              </w:rPr>
            </w:pPr>
          </w:p>
        </w:tc>
        <w:tc>
          <w:tcPr>
            <w:tcW w:w="325" w:type="pct"/>
            <w:vMerge w:val="continue"/>
            <w:noWrap w:val="0"/>
            <w:vAlign w:val="center"/>
          </w:tcPr>
          <w:p w14:paraId="2523F895">
            <w:pPr>
              <w:pStyle w:val="41"/>
              <w:bidi w:val="0"/>
              <w:rPr>
                <w:rFonts w:hint="default" w:ascii="Times New Roman" w:hAnsi="Times New Roman" w:eastAsia="宋体" w:cs="Times New Roman"/>
                <w:color w:val="auto"/>
                <w:lang w:eastAsia="zh-CN"/>
              </w:rPr>
            </w:pPr>
          </w:p>
        </w:tc>
        <w:tc>
          <w:tcPr>
            <w:tcW w:w="1020" w:type="pct"/>
            <w:noWrap w:val="0"/>
            <w:vAlign w:val="center"/>
          </w:tcPr>
          <w:p w14:paraId="5CA86C05">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rPr>
              <w:t>码头员工生活垃圾</w:t>
            </w:r>
          </w:p>
        </w:tc>
        <w:tc>
          <w:tcPr>
            <w:tcW w:w="3047" w:type="pct"/>
            <w:noWrap w:val="0"/>
            <w:vAlign w:val="center"/>
          </w:tcPr>
          <w:p w14:paraId="0019E40D">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lang w:eastAsia="zh-CN"/>
              </w:rPr>
              <w:t>码头生活垃圾收集系统收集后交环卫部门清运</w:t>
            </w:r>
          </w:p>
        </w:tc>
        <w:tc>
          <w:tcPr>
            <w:tcW w:w="432" w:type="pct"/>
            <w:vMerge w:val="continue"/>
            <w:noWrap w:val="0"/>
            <w:vAlign w:val="center"/>
          </w:tcPr>
          <w:p w14:paraId="17633B81">
            <w:pPr>
              <w:pStyle w:val="41"/>
              <w:bidi w:val="0"/>
              <w:rPr>
                <w:rFonts w:hint="default" w:ascii="Times New Roman" w:hAnsi="Times New Roman" w:eastAsia="宋体" w:cs="Times New Roman"/>
                <w:color w:val="auto"/>
                <w:lang w:eastAsia="zh-CN"/>
              </w:rPr>
            </w:pPr>
          </w:p>
        </w:tc>
      </w:tr>
      <w:tr w14:paraId="092D462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1B4727BC">
            <w:pPr>
              <w:pStyle w:val="41"/>
              <w:bidi w:val="0"/>
              <w:rPr>
                <w:rFonts w:hint="default" w:ascii="Times New Roman" w:hAnsi="Times New Roman" w:eastAsia="宋体" w:cs="Times New Roman"/>
                <w:color w:val="auto"/>
              </w:rPr>
            </w:pPr>
          </w:p>
        </w:tc>
        <w:tc>
          <w:tcPr>
            <w:tcW w:w="325" w:type="pct"/>
            <w:vMerge w:val="restart"/>
            <w:noWrap w:val="0"/>
            <w:vAlign w:val="center"/>
          </w:tcPr>
          <w:p w14:paraId="2E5B9822">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风险</w:t>
            </w:r>
          </w:p>
        </w:tc>
        <w:tc>
          <w:tcPr>
            <w:tcW w:w="1020" w:type="pct"/>
            <w:noWrap w:val="0"/>
            <w:vAlign w:val="center"/>
          </w:tcPr>
          <w:p w14:paraId="3628D6CB">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kern w:val="0"/>
                <w:sz w:val="21"/>
                <w:szCs w:val="20"/>
                <w:lang w:val="en-US" w:eastAsia="zh-CN"/>
              </w:rPr>
              <w:t>风险措施</w:t>
            </w:r>
          </w:p>
        </w:tc>
        <w:tc>
          <w:tcPr>
            <w:tcW w:w="3047" w:type="pct"/>
            <w:noWrap w:val="0"/>
            <w:vAlign w:val="center"/>
          </w:tcPr>
          <w:p w14:paraId="0982C87C">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kern w:val="0"/>
                <w:sz w:val="21"/>
                <w:szCs w:val="20"/>
                <w:lang w:val="en-US" w:eastAsia="zh-CN"/>
              </w:rPr>
              <w:t>设置围油栏、收油机</w:t>
            </w:r>
          </w:p>
        </w:tc>
        <w:tc>
          <w:tcPr>
            <w:tcW w:w="432" w:type="pct"/>
            <w:noWrap w:val="0"/>
            <w:vAlign w:val="center"/>
          </w:tcPr>
          <w:p w14:paraId="085EA7A8">
            <w:pPr>
              <w:pStyle w:val="41"/>
              <w:bidi w:val="0"/>
              <w:rPr>
                <w:rFonts w:hint="default" w:ascii="Times New Roman" w:hAnsi="Times New Roman" w:eastAsia="宋体" w:cs="Times New Roman"/>
                <w:color w:val="auto"/>
                <w:kern w:val="0"/>
                <w:sz w:val="21"/>
                <w:szCs w:val="20"/>
                <w:lang w:val="en-US" w:eastAsia="zh-CN"/>
              </w:rPr>
            </w:pPr>
            <w:r>
              <w:rPr>
                <w:rFonts w:hint="default" w:ascii="Times New Roman" w:hAnsi="Times New Roman" w:eastAsia="宋体" w:cs="Times New Roman"/>
                <w:color w:val="auto"/>
                <w:kern w:val="0"/>
                <w:sz w:val="21"/>
                <w:szCs w:val="20"/>
                <w:lang w:val="en-US" w:eastAsia="zh-CN"/>
              </w:rPr>
              <w:t>5</w:t>
            </w:r>
          </w:p>
        </w:tc>
      </w:tr>
      <w:tr w14:paraId="135FC1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125F0E3F">
            <w:pPr>
              <w:pStyle w:val="41"/>
              <w:bidi w:val="0"/>
              <w:rPr>
                <w:rFonts w:hint="default" w:ascii="Times New Roman" w:hAnsi="Times New Roman" w:eastAsia="宋体" w:cs="Times New Roman"/>
                <w:color w:val="auto"/>
              </w:rPr>
            </w:pPr>
          </w:p>
        </w:tc>
        <w:tc>
          <w:tcPr>
            <w:tcW w:w="325" w:type="pct"/>
            <w:vMerge w:val="continue"/>
            <w:noWrap w:val="0"/>
            <w:vAlign w:val="center"/>
          </w:tcPr>
          <w:p w14:paraId="4BB190BB">
            <w:pPr>
              <w:pStyle w:val="41"/>
              <w:bidi w:val="0"/>
              <w:rPr>
                <w:rFonts w:hint="default" w:ascii="Times New Roman" w:hAnsi="Times New Roman" w:eastAsia="宋体" w:cs="Times New Roman"/>
                <w:color w:val="auto"/>
              </w:rPr>
            </w:pPr>
          </w:p>
        </w:tc>
        <w:tc>
          <w:tcPr>
            <w:tcW w:w="1020" w:type="pct"/>
            <w:noWrap w:val="0"/>
            <w:vAlign w:val="center"/>
          </w:tcPr>
          <w:p w14:paraId="024A464D">
            <w:pPr>
              <w:pStyle w:val="41"/>
              <w:bidi w:val="0"/>
              <w:rPr>
                <w:rFonts w:hint="default" w:ascii="Times New Roman" w:hAnsi="Times New Roman" w:eastAsia="宋体" w:cs="Times New Roman"/>
                <w:color w:val="auto"/>
                <w:kern w:val="0"/>
                <w:sz w:val="21"/>
                <w:szCs w:val="20"/>
              </w:rPr>
            </w:pPr>
            <w:r>
              <w:rPr>
                <w:rFonts w:hint="default" w:ascii="Times New Roman" w:hAnsi="Times New Roman" w:eastAsia="宋体" w:cs="Times New Roman"/>
                <w:color w:val="auto"/>
              </w:rPr>
              <w:t>应急预案</w:t>
            </w:r>
          </w:p>
        </w:tc>
        <w:tc>
          <w:tcPr>
            <w:tcW w:w="3047" w:type="pct"/>
            <w:noWrap w:val="0"/>
            <w:vAlign w:val="center"/>
          </w:tcPr>
          <w:p w14:paraId="70D809CE">
            <w:pPr>
              <w:pStyle w:val="41"/>
              <w:bidi w:val="0"/>
              <w:rPr>
                <w:rFonts w:hint="default" w:ascii="Times New Roman" w:hAnsi="Times New Roman" w:eastAsia="宋体" w:cs="Times New Roman"/>
                <w:color w:val="auto"/>
                <w:kern w:val="0"/>
                <w:sz w:val="21"/>
                <w:szCs w:val="20"/>
                <w:lang w:eastAsia="zh-CN"/>
              </w:rPr>
            </w:pPr>
            <w:r>
              <w:rPr>
                <w:rFonts w:hint="default" w:ascii="Times New Roman" w:hAnsi="Times New Roman" w:eastAsia="宋体" w:cs="Times New Roman"/>
                <w:color w:val="auto"/>
                <w:lang w:eastAsia="zh-CN"/>
              </w:rPr>
              <w:t>制定环境风险应急预案</w:t>
            </w:r>
          </w:p>
        </w:tc>
        <w:tc>
          <w:tcPr>
            <w:tcW w:w="432" w:type="pct"/>
            <w:noWrap w:val="0"/>
            <w:vAlign w:val="center"/>
          </w:tcPr>
          <w:p w14:paraId="460BC767">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10</w:t>
            </w:r>
          </w:p>
        </w:tc>
      </w:tr>
      <w:tr w14:paraId="22CF75C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73" w:type="pct"/>
            <w:vMerge w:val="continue"/>
            <w:noWrap w:val="0"/>
            <w:vAlign w:val="center"/>
          </w:tcPr>
          <w:p w14:paraId="6A248A96">
            <w:pPr>
              <w:pStyle w:val="41"/>
              <w:bidi w:val="0"/>
              <w:rPr>
                <w:rFonts w:hint="default" w:ascii="Times New Roman" w:hAnsi="Times New Roman" w:eastAsia="宋体" w:cs="Times New Roman"/>
                <w:color w:val="auto"/>
              </w:rPr>
            </w:pPr>
          </w:p>
        </w:tc>
        <w:tc>
          <w:tcPr>
            <w:tcW w:w="325" w:type="pct"/>
            <w:noWrap w:val="0"/>
            <w:vAlign w:val="center"/>
          </w:tcPr>
          <w:p w14:paraId="7ADEDC1C">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环境</w:t>
            </w:r>
          </w:p>
          <w:p w14:paraId="2B9F19DD">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管理</w:t>
            </w:r>
          </w:p>
        </w:tc>
        <w:tc>
          <w:tcPr>
            <w:tcW w:w="1020" w:type="pct"/>
            <w:noWrap w:val="0"/>
            <w:vAlign w:val="center"/>
          </w:tcPr>
          <w:p w14:paraId="7D89AE00">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培训</w:t>
            </w:r>
          </w:p>
        </w:tc>
        <w:tc>
          <w:tcPr>
            <w:tcW w:w="3047" w:type="pct"/>
            <w:noWrap w:val="0"/>
            <w:vAlign w:val="center"/>
          </w:tcPr>
          <w:p w14:paraId="34D7B243">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环保培训、规章及实施</w:t>
            </w:r>
          </w:p>
        </w:tc>
        <w:tc>
          <w:tcPr>
            <w:tcW w:w="432" w:type="pct"/>
            <w:noWrap w:val="0"/>
            <w:vAlign w:val="center"/>
          </w:tcPr>
          <w:p w14:paraId="3D4DCAA5">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r>
      <w:tr w14:paraId="08D8BA4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restart"/>
            <w:noWrap w:val="0"/>
            <w:vAlign w:val="center"/>
          </w:tcPr>
          <w:p w14:paraId="6A6391F6">
            <w:pPr>
              <w:pStyle w:val="41"/>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生态</w:t>
            </w:r>
          </w:p>
        </w:tc>
        <w:tc>
          <w:tcPr>
            <w:tcW w:w="1020" w:type="pct"/>
            <w:noWrap w:val="0"/>
            <w:vAlign w:val="center"/>
          </w:tcPr>
          <w:p w14:paraId="65CBF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rPr>
              <w:t>一、标识牌设置安装</w:t>
            </w:r>
          </w:p>
        </w:tc>
        <w:tc>
          <w:tcPr>
            <w:tcW w:w="3047" w:type="pct"/>
            <w:noWrap w:val="0"/>
            <w:vAlign w:val="center"/>
          </w:tcPr>
          <w:p w14:paraId="26488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kern w:val="0"/>
                <w:sz w:val="21"/>
                <w:szCs w:val="21"/>
                <w:u w:val="none" w:color="auto"/>
              </w:rPr>
              <w:t>保护区设置2块宣传牌，码头</w:t>
            </w:r>
            <w:r>
              <w:rPr>
                <w:rFonts w:hint="default" w:ascii="Times New Roman" w:hAnsi="Times New Roman" w:eastAsia="宋体" w:cs="Times New Roman"/>
                <w:bCs/>
                <w:color w:val="auto"/>
                <w:kern w:val="0"/>
                <w:sz w:val="21"/>
                <w:szCs w:val="21"/>
                <w:u w:val="none" w:color="auto"/>
                <w:lang w:val="en-US" w:eastAsia="zh-CN"/>
              </w:rPr>
              <w:t>平台</w:t>
            </w:r>
            <w:r>
              <w:rPr>
                <w:rFonts w:hint="default" w:ascii="Times New Roman" w:hAnsi="Times New Roman" w:eastAsia="宋体" w:cs="Times New Roman"/>
                <w:bCs/>
                <w:color w:val="auto"/>
                <w:kern w:val="0"/>
                <w:sz w:val="21"/>
                <w:szCs w:val="21"/>
                <w:u w:val="none" w:color="auto"/>
              </w:rPr>
              <w:t>、趸船处各一块。</w:t>
            </w:r>
            <w:r>
              <w:rPr>
                <w:rFonts w:hint="default" w:ascii="Times New Roman" w:hAnsi="Times New Roman" w:eastAsia="宋体" w:cs="Times New Roman"/>
                <w:bCs/>
                <w:color w:val="auto"/>
                <w:kern w:val="0"/>
                <w:sz w:val="21"/>
                <w:szCs w:val="21"/>
                <w:u w:val="none" w:color="auto"/>
                <w:lang w:val="en-US" w:eastAsia="zh-CN"/>
              </w:rPr>
              <w:t>1</w:t>
            </w:r>
            <w:r>
              <w:rPr>
                <w:rFonts w:hint="default" w:ascii="Times New Roman" w:hAnsi="Times New Roman" w:eastAsia="宋体" w:cs="Times New Roman"/>
                <w:bCs/>
                <w:color w:val="auto"/>
                <w:kern w:val="0"/>
                <w:sz w:val="21"/>
                <w:szCs w:val="21"/>
                <w:u w:val="none" w:color="auto"/>
              </w:rPr>
              <w:t>万元/块，计</w:t>
            </w:r>
            <w:r>
              <w:rPr>
                <w:rFonts w:hint="default" w:ascii="Times New Roman" w:hAnsi="Times New Roman" w:eastAsia="宋体" w:cs="Times New Roman"/>
                <w:bCs/>
                <w:color w:val="auto"/>
                <w:kern w:val="0"/>
                <w:sz w:val="21"/>
                <w:szCs w:val="21"/>
                <w:u w:val="none" w:color="auto"/>
                <w:lang w:val="en-US" w:eastAsia="zh-CN"/>
              </w:rPr>
              <w:t>2</w:t>
            </w:r>
            <w:r>
              <w:rPr>
                <w:rFonts w:hint="default" w:ascii="Times New Roman" w:hAnsi="Times New Roman" w:eastAsia="宋体" w:cs="Times New Roman"/>
                <w:bCs/>
                <w:color w:val="auto"/>
                <w:kern w:val="0"/>
                <w:sz w:val="21"/>
                <w:szCs w:val="21"/>
                <w:u w:val="none" w:color="auto"/>
              </w:rPr>
              <w:t>万元。</w:t>
            </w:r>
          </w:p>
        </w:tc>
        <w:tc>
          <w:tcPr>
            <w:tcW w:w="432" w:type="pct"/>
            <w:noWrap w:val="0"/>
            <w:vAlign w:val="center"/>
          </w:tcPr>
          <w:p w14:paraId="2DED3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lang w:val="en-US" w:eastAsia="zh-CN"/>
              </w:rPr>
              <w:t>2</w:t>
            </w:r>
          </w:p>
        </w:tc>
      </w:tr>
      <w:tr w14:paraId="047F506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63B4A0B1">
            <w:pPr>
              <w:pStyle w:val="41"/>
              <w:bidi w:val="0"/>
              <w:rPr>
                <w:rFonts w:hint="default" w:ascii="Times New Roman" w:hAnsi="Times New Roman" w:eastAsia="宋体" w:cs="Times New Roman"/>
                <w:color w:val="auto"/>
                <w:lang w:eastAsia="zh-CN"/>
              </w:rPr>
            </w:pPr>
          </w:p>
        </w:tc>
        <w:tc>
          <w:tcPr>
            <w:tcW w:w="1020" w:type="pct"/>
            <w:noWrap w:val="0"/>
            <w:vAlign w:val="center"/>
          </w:tcPr>
          <w:p w14:paraId="48B57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rPr>
              <w:t>二、超声波驱鱼设备</w:t>
            </w:r>
          </w:p>
        </w:tc>
        <w:tc>
          <w:tcPr>
            <w:tcW w:w="3047" w:type="pct"/>
            <w:noWrap w:val="0"/>
            <w:vAlign w:val="center"/>
          </w:tcPr>
          <w:p w14:paraId="3AE94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rPr>
              <w:t>布设</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台超声波发生器。在船只上安装江豚声音记录仪、江豚驱赶设备。一旦发现项目周边附近有江豚游近，应立即停止作业，使用江豚驱赶设备安全驱离后恢复作业。</w:t>
            </w:r>
          </w:p>
        </w:tc>
        <w:tc>
          <w:tcPr>
            <w:tcW w:w="432" w:type="pct"/>
            <w:noWrap w:val="0"/>
            <w:vAlign w:val="center"/>
          </w:tcPr>
          <w:p w14:paraId="6D74F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rPr>
              <w:t>1.5</w:t>
            </w:r>
          </w:p>
        </w:tc>
      </w:tr>
      <w:tr w14:paraId="337E68C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542A2CB7">
            <w:pPr>
              <w:pStyle w:val="41"/>
              <w:bidi w:val="0"/>
              <w:rPr>
                <w:rFonts w:hint="default" w:ascii="Times New Roman" w:hAnsi="Times New Roman" w:eastAsia="宋体" w:cs="Times New Roman"/>
                <w:color w:val="auto"/>
                <w:lang w:eastAsia="zh-CN"/>
              </w:rPr>
            </w:pPr>
          </w:p>
        </w:tc>
        <w:tc>
          <w:tcPr>
            <w:tcW w:w="1020" w:type="pct"/>
            <w:noWrap w:val="0"/>
            <w:vAlign w:val="center"/>
          </w:tcPr>
          <w:p w14:paraId="47C68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三</w:t>
            </w:r>
            <w:r>
              <w:rPr>
                <w:rFonts w:hint="default" w:ascii="Times New Roman" w:hAnsi="Times New Roman" w:eastAsia="宋体" w:cs="Times New Roman"/>
                <w:color w:val="auto"/>
                <w:sz w:val="21"/>
                <w:szCs w:val="21"/>
                <w:u w:val="none" w:color="auto"/>
              </w:rPr>
              <w:t>、渔政管理</w:t>
            </w:r>
          </w:p>
        </w:tc>
        <w:tc>
          <w:tcPr>
            <w:tcW w:w="3047" w:type="pct"/>
            <w:noWrap w:val="0"/>
            <w:vAlign w:val="center"/>
          </w:tcPr>
          <w:p w14:paraId="52FFA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rPr>
              <w:t>加强环境保护的宣传，施工期和运行期控制和制止对水生生物和保护区环境有影响的各种水上人为活动。</w:t>
            </w:r>
          </w:p>
        </w:tc>
        <w:tc>
          <w:tcPr>
            <w:tcW w:w="432" w:type="pct"/>
            <w:noWrap w:val="0"/>
            <w:vAlign w:val="center"/>
          </w:tcPr>
          <w:p w14:paraId="18338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rPr>
              <w:t>3</w:t>
            </w:r>
          </w:p>
        </w:tc>
      </w:tr>
      <w:tr w14:paraId="54EE389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468D64D9">
            <w:pPr>
              <w:pStyle w:val="41"/>
              <w:bidi w:val="0"/>
              <w:rPr>
                <w:rFonts w:hint="default" w:ascii="Times New Roman" w:hAnsi="Times New Roman" w:eastAsia="宋体" w:cs="Times New Roman"/>
                <w:color w:val="auto"/>
                <w:lang w:eastAsia="zh-CN"/>
              </w:rPr>
            </w:pPr>
          </w:p>
        </w:tc>
        <w:tc>
          <w:tcPr>
            <w:tcW w:w="1020" w:type="pct"/>
            <w:noWrap w:val="0"/>
            <w:vAlign w:val="center"/>
          </w:tcPr>
          <w:p w14:paraId="30CFF6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四</w:t>
            </w:r>
            <w:r>
              <w:rPr>
                <w:rFonts w:hint="default" w:ascii="Times New Roman" w:hAnsi="Times New Roman" w:eastAsia="宋体" w:cs="Times New Roman"/>
                <w:color w:val="auto"/>
                <w:sz w:val="21"/>
                <w:szCs w:val="21"/>
                <w:u w:val="none" w:color="auto"/>
              </w:rPr>
              <w:t>、生态修复</w:t>
            </w:r>
          </w:p>
        </w:tc>
        <w:tc>
          <w:tcPr>
            <w:tcW w:w="3047" w:type="pct"/>
            <w:noWrap w:val="0"/>
            <w:vAlign w:val="center"/>
          </w:tcPr>
          <w:p w14:paraId="2B6E51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rPr>
              <w:t>项目完工后，在码头及</w:t>
            </w:r>
            <w:r>
              <w:rPr>
                <w:rFonts w:hint="default" w:ascii="Times New Roman" w:hAnsi="Times New Roman" w:eastAsia="宋体" w:cs="Times New Roman"/>
                <w:color w:val="auto"/>
                <w:sz w:val="21"/>
                <w:szCs w:val="21"/>
                <w:u w:val="none" w:color="auto"/>
                <w:lang w:val="en-US" w:eastAsia="zh-CN"/>
              </w:rPr>
              <w:t>护岸</w:t>
            </w:r>
            <w:r>
              <w:rPr>
                <w:rFonts w:hint="default" w:ascii="Times New Roman" w:hAnsi="Times New Roman" w:eastAsia="宋体" w:cs="Times New Roman"/>
                <w:color w:val="auto"/>
                <w:sz w:val="21"/>
                <w:szCs w:val="21"/>
                <w:u w:val="none" w:color="auto"/>
              </w:rPr>
              <w:t>附近恢复水生植被，进行生态修复。</w:t>
            </w:r>
          </w:p>
        </w:tc>
        <w:tc>
          <w:tcPr>
            <w:tcW w:w="432" w:type="pct"/>
            <w:noWrap w:val="0"/>
            <w:vAlign w:val="center"/>
          </w:tcPr>
          <w:p w14:paraId="6A58A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lang w:val="en-US" w:eastAsia="zh-CN"/>
              </w:rPr>
              <w:t>1.5</w:t>
            </w:r>
          </w:p>
        </w:tc>
      </w:tr>
      <w:tr w14:paraId="4E03B3B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228577B4">
            <w:pPr>
              <w:pStyle w:val="41"/>
              <w:bidi w:val="0"/>
              <w:rPr>
                <w:rFonts w:hint="default" w:ascii="Times New Roman" w:hAnsi="Times New Roman" w:eastAsia="宋体" w:cs="Times New Roman"/>
                <w:color w:val="auto"/>
                <w:lang w:eastAsia="zh-CN"/>
              </w:rPr>
            </w:pPr>
          </w:p>
        </w:tc>
        <w:tc>
          <w:tcPr>
            <w:tcW w:w="1020" w:type="pct"/>
            <w:noWrap w:val="0"/>
            <w:vAlign w:val="center"/>
          </w:tcPr>
          <w:p w14:paraId="05824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五</w:t>
            </w:r>
            <w:r>
              <w:rPr>
                <w:rFonts w:hint="default" w:ascii="Times New Roman" w:hAnsi="Times New Roman" w:eastAsia="宋体" w:cs="Times New Roman"/>
                <w:color w:val="auto"/>
                <w:sz w:val="21"/>
                <w:szCs w:val="21"/>
                <w:u w:val="none" w:color="auto"/>
              </w:rPr>
              <w:t>、应急救护</w:t>
            </w:r>
          </w:p>
        </w:tc>
        <w:tc>
          <w:tcPr>
            <w:tcW w:w="3047" w:type="pct"/>
            <w:noWrap w:val="0"/>
            <w:vAlign w:val="center"/>
          </w:tcPr>
          <w:p w14:paraId="7038E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rPr>
              <w:t>珍稀水生野生动物临时救护。</w:t>
            </w:r>
          </w:p>
        </w:tc>
        <w:tc>
          <w:tcPr>
            <w:tcW w:w="432" w:type="pct"/>
            <w:noWrap w:val="0"/>
            <w:vAlign w:val="center"/>
          </w:tcPr>
          <w:p w14:paraId="1052F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rPr>
              <w:t>1</w:t>
            </w:r>
          </w:p>
        </w:tc>
      </w:tr>
      <w:tr w14:paraId="74E6AB3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68FC964A">
            <w:pPr>
              <w:pStyle w:val="41"/>
              <w:bidi w:val="0"/>
              <w:rPr>
                <w:rFonts w:hint="default" w:ascii="Times New Roman" w:hAnsi="Times New Roman" w:eastAsia="宋体" w:cs="Times New Roman"/>
                <w:color w:val="auto"/>
                <w:lang w:eastAsia="zh-CN"/>
              </w:rPr>
            </w:pPr>
          </w:p>
        </w:tc>
        <w:tc>
          <w:tcPr>
            <w:tcW w:w="1020" w:type="pct"/>
            <w:noWrap w:val="0"/>
            <w:vAlign w:val="center"/>
          </w:tcPr>
          <w:p w14:paraId="47B53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六</w:t>
            </w:r>
            <w:r>
              <w:rPr>
                <w:rFonts w:hint="default" w:ascii="Times New Roman" w:hAnsi="Times New Roman" w:eastAsia="宋体" w:cs="Times New Roman"/>
                <w:color w:val="auto"/>
                <w:sz w:val="21"/>
                <w:szCs w:val="21"/>
                <w:u w:val="none" w:color="auto"/>
              </w:rPr>
              <w:t>、人工增殖放流</w:t>
            </w:r>
          </w:p>
        </w:tc>
        <w:tc>
          <w:tcPr>
            <w:tcW w:w="3047" w:type="pct"/>
            <w:noWrap w:val="0"/>
            <w:vAlign w:val="center"/>
          </w:tcPr>
          <w:p w14:paraId="20B96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rPr>
              <w:t>鱼类放流每年放流</w:t>
            </w:r>
            <w:r>
              <w:rPr>
                <w:rFonts w:hint="default" w:ascii="Times New Roman" w:hAnsi="Times New Roman" w:eastAsia="宋体" w:cs="Times New Roman"/>
                <w:color w:val="auto"/>
                <w:sz w:val="21"/>
                <w:szCs w:val="21"/>
                <w:u w:val="none" w:color="auto"/>
                <w:lang w:val="en-US" w:eastAsia="zh-CN"/>
              </w:rPr>
              <w:t>36</w:t>
            </w:r>
            <w:r>
              <w:rPr>
                <w:rFonts w:hint="default" w:ascii="Times New Roman" w:hAnsi="Times New Roman" w:eastAsia="宋体" w:cs="Times New Roman"/>
                <w:color w:val="auto"/>
                <w:sz w:val="21"/>
                <w:szCs w:val="21"/>
                <w:u w:val="none" w:color="auto"/>
              </w:rPr>
              <w:t>万尾，</w:t>
            </w:r>
            <w:r>
              <w:rPr>
                <w:rFonts w:hint="default"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年共需经费1万元。</w:t>
            </w:r>
          </w:p>
        </w:tc>
        <w:tc>
          <w:tcPr>
            <w:tcW w:w="432" w:type="pct"/>
            <w:noWrap w:val="0"/>
            <w:vAlign w:val="center"/>
          </w:tcPr>
          <w:p w14:paraId="1232E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lang w:val="en-US" w:eastAsia="zh-CN"/>
              </w:rPr>
              <w:t>50</w:t>
            </w:r>
          </w:p>
        </w:tc>
      </w:tr>
      <w:tr w14:paraId="3ECB2C3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5A7B2FD0">
            <w:pPr>
              <w:pStyle w:val="41"/>
              <w:bidi w:val="0"/>
              <w:rPr>
                <w:rFonts w:hint="default" w:ascii="Times New Roman" w:hAnsi="Times New Roman" w:eastAsia="宋体" w:cs="Times New Roman"/>
                <w:color w:val="auto"/>
                <w:lang w:eastAsia="zh-CN"/>
              </w:rPr>
            </w:pPr>
          </w:p>
        </w:tc>
        <w:tc>
          <w:tcPr>
            <w:tcW w:w="1020" w:type="pct"/>
            <w:noWrap w:val="0"/>
            <w:vAlign w:val="center"/>
          </w:tcPr>
          <w:p w14:paraId="67003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七</w:t>
            </w:r>
            <w:r>
              <w:rPr>
                <w:rFonts w:hint="default" w:ascii="Times New Roman" w:hAnsi="Times New Roman" w:eastAsia="宋体" w:cs="Times New Roman"/>
                <w:color w:val="auto"/>
                <w:sz w:val="21"/>
                <w:szCs w:val="21"/>
                <w:u w:val="none" w:color="auto"/>
              </w:rPr>
              <w:t>、水生生物监测</w:t>
            </w:r>
          </w:p>
        </w:tc>
        <w:tc>
          <w:tcPr>
            <w:tcW w:w="3047" w:type="pct"/>
            <w:noWrap w:val="0"/>
            <w:vAlign w:val="center"/>
          </w:tcPr>
          <w:p w14:paraId="4F484E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lang w:val="en-US" w:eastAsia="zh-CN"/>
              </w:rPr>
              <w:t>鹿角交通渔政综合执法码头</w:t>
            </w:r>
            <w:r>
              <w:rPr>
                <w:rFonts w:hint="default" w:ascii="Times New Roman" w:hAnsi="Times New Roman" w:eastAsia="宋体" w:cs="Times New Roman"/>
                <w:color w:val="auto"/>
                <w:sz w:val="21"/>
                <w:szCs w:val="21"/>
                <w:u w:val="none" w:color="auto"/>
              </w:rPr>
              <w:t>、上游、下游3个资源监测点位。鱼类资源及水生生物监测时间为运行期2年，费用为每年</w:t>
            </w:r>
            <w:r>
              <w:rPr>
                <w:rFonts w:hint="default" w:ascii="Times New Roman" w:hAnsi="Times New Roman" w:eastAsia="宋体" w:cs="Times New Roman"/>
                <w:color w:val="auto"/>
                <w:sz w:val="21"/>
                <w:szCs w:val="21"/>
                <w:u w:val="none" w:color="auto"/>
                <w:lang w:val="en-US" w:eastAsia="zh-CN"/>
              </w:rPr>
              <w:t>10</w:t>
            </w:r>
            <w:r>
              <w:rPr>
                <w:rFonts w:hint="default" w:ascii="Times New Roman" w:hAnsi="Times New Roman" w:eastAsia="宋体" w:cs="Times New Roman"/>
                <w:color w:val="auto"/>
                <w:sz w:val="21"/>
                <w:szCs w:val="21"/>
                <w:u w:val="none" w:color="auto"/>
              </w:rPr>
              <w:t>万元。</w:t>
            </w:r>
          </w:p>
        </w:tc>
        <w:tc>
          <w:tcPr>
            <w:tcW w:w="432" w:type="pct"/>
            <w:noWrap w:val="0"/>
            <w:vAlign w:val="center"/>
          </w:tcPr>
          <w:p w14:paraId="678F51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lang w:val="en-US" w:eastAsia="zh-CN"/>
              </w:rPr>
              <w:t>10</w:t>
            </w:r>
          </w:p>
        </w:tc>
      </w:tr>
      <w:tr w14:paraId="3D838E6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99" w:type="pct"/>
            <w:gridSpan w:val="2"/>
            <w:vMerge w:val="continue"/>
            <w:noWrap w:val="0"/>
            <w:vAlign w:val="center"/>
          </w:tcPr>
          <w:p w14:paraId="021E11AC">
            <w:pPr>
              <w:pStyle w:val="41"/>
              <w:bidi w:val="0"/>
              <w:rPr>
                <w:rFonts w:hint="default" w:ascii="Times New Roman" w:hAnsi="Times New Roman" w:eastAsia="宋体" w:cs="Times New Roman"/>
                <w:color w:val="auto"/>
                <w:lang w:eastAsia="zh-CN"/>
              </w:rPr>
            </w:pPr>
          </w:p>
        </w:tc>
        <w:tc>
          <w:tcPr>
            <w:tcW w:w="1020" w:type="pct"/>
            <w:noWrap w:val="0"/>
            <w:vAlign w:val="center"/>
          </w:tcPr>
          <w:p w14:paraId="21A8E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u w:val="none" w:color="auto"/>
                <w:lang w:eastAsia="zh-CN"/>
              </w:rPr>
              <w:t>八、水生专题竣工验收</w:t>
            </w:r>
          </w:p>
        </w:tc>
        <w:tc>
          <w:tcPr>
            <w:tcW w:w="3047" w:type="pct"/>
            <w:noWrap w:val="0"/>
            <w:vAlign w:val="center"/>
          </w:tcPr>
          <w:p w14:paraId="2238B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u w:val="none" w:color="auto"/>
                <w:lang w:eastAsia="zh-CN"/>
              </w:rPr>
              <w:t>水生态保护资料汇总、专题竣工验收报告编制等。</w:t>
            </w:r>
          </w:p>
        </w:tc>
        <w:tc>
          <w:tcPr>
            <w:tcW w:w="432" w:type="pct"/>
            <w:noWrap w:val="0"/>
            <w:vAlign w:val="center"/>
          </w:tcPr>
          <w:p w14:paraId="20084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u w:val="none" w:color="auto"/>
                <w:lang w:val="en-US" w:eastAsia="zh-CN"/>
              </w:rPr>
              <w:t>10</w:t>
            </w:r>
          </w:p>
        </w:tc>
      </w:tr>
      <w:tr w14:paraId="20BBC01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567" w:type="pct"/>
            <w:gridSpan w:val="4"/>
            <w:noWrap w:val="0"/>
            <w:vAlign w:val="center"/>
          </w:tcPr>
          <w:p w14:paraId="2DC94EFB">
            <w:pPr>
              <w:pStyle w:val="41"/>
              <w:bidi w:val="0"/>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432" w:type="pct"/>
            <w:noWrap w:val="0"/>
            <w:vAlign w:val="center"/>
          </w:tcPr>
          <w:p w14:paraId="4412E948">
            <w:pPr>
              <w:pStyle w:val="4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131</w:t>
            </w:r>
          </w:p>
        </w:tc>
      </w:tr>
    </w:tbl>
    <w:p w14:paraId="2CBE7581">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本项目环保治理环境收益主要表现在废气、噪声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废水等能够达标排放，固废也能得到有效暂存，环境风险得到控制。工程对废气、废水、固体废弃物以及噪声采取的污染防治措施减少了污染物排放对环境的危害，体现了较好的环境效益。</w:t>
      </w:r>
    </w:p>
    <w:p w14:paraId="79059CCC">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875" w:name="_Toc343691376"/>
      <w:bookmarkStart w:id="876" w:name="_Toc12182"/>
      <w:bookmarkStart w:id="877" w:name="_Toc13949"/>
      <w:bookmarkStart w:id="878" w:name="_Toc18007_WPSOffice_Level2"/>
      <w:bookmarkStart w:id="879" w:name="_Toc23901"/>
      <w:bookmarkStart w:id="880" w:name="_Toc1916"/>
      <w:bookmarkStart w:id="881" w:name="_Toc24057"/>
      <w:bookmarkStart w:id="882" w:name="_Toc17638"/>
      <w:bookmarkStart w:id="883" w:name="_Toc372124983"/>
      <w:bookmarkStart w:id="884" w:name="_Toc29255_WPSOffice_Level2"/>
      <w:bookmarkStart w:id="885" w:name="_Toc9787"/>
      <w:bookmarkStart w:id="886" w:name="_Toc6978_WPSOffice_Level2"/>
      <w:bookmarkStart w:id="887" w:name="_Toc30088_WPSOffice_Level2"/>
      <w:bookmarkStart w:id="888" w:name="_Toc26455_WPSOffice_Level2"/>
      <w:bookmarkStart w:id="889" w:name="_Toc28515"/>
      <w:r>
        <w:rPr>
          <w:rFonts w:hint="eastAsia" w:cs="Times New Roman"/>
          <w:color w:val="auto"/>
          <w:sz w:val="28"/>
          <w:szCs w:val="28"/>
          <w:lang w:val="en-US" w:eastAsia="zh-CN"/>
        </w:rPr>
        <w:t>7</w:t>
      </w:r>
      <w:r>
        <w:rPr>
          <w:rFonts w:hint="default" w:ascii="Times New Roman" w:hAnsi="Times New Roman" w:eastAsia="宋体" w:cs="Times New Roman"/>
          <w:color w:val="auto"/>
          <w:sz w:val="28"/>
          <w:szCs w:val="28"/>
        </w:rPr>
        <w:t>.2综合分析</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16177F4F">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由以上分析可知，本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环保投资估算为</w:t>
      </w:r>
      <w:r>
        <w:rPr>
          <w:rFonts w:hint="default" w:ascii="Times New Roman" w:hAnsi="Times New Roman" w:eastAsia="宋体" w:cs="Times New Roman"/>
          <w:color w:val="auto"/>
          <w:sz w:val="24"/>
          <w:szCs w:val="24"/>
          <w:lang w:val="en-US" w:eastAsia="zh-CN"/>
        </w:rPr>
        <w:t>131</w:t>
      </w:r>
      <w:r>
        <w:rPr>
          <w:rFonts w:hint="default" w:ascii="Times New Roman" w:hAnsi="Times New Roman" w:eastAsia="宋体" w:cs="Times New Roman"/>
          <w:color w:val="auto"/>
          <w:sz w:val="24"/>
          <w:szCs w:val="24"/>
          <w:lang w:eastAsia="zh-CN"/>
        </w:rPr>
        <w:t>万元</w:t>
      </w:r>
      <w:r>
        <w:rPr>
          <w:rFonts w:hint="default" w:ascii="Times New Roman" w:hAnsi="Times New Roman" w:eastAsia="宋体" w:cs="Times New Roman"/>
          <w:color w:val="auto"/>
          <w:sz w:val="24"/>
          <w:szCs w:val="24"/>
        </w:rPr>
        <w:t>，占项目建设投资的比例为</w:t>
      </w:r>
      <w:r>
        <w:rPr>
          <w:rFonts w:hint="default" w:ascii="Times New Roman" w:hAnsi="Times New Roman" w:eastAsia="宋体" w:cs="Times New Roman"/>
          <w:color w:val="auto"/>
          <w:sz w:val="24"/>
          <w:szCs w:val="24"/>
          <w:lang w:val="en-US" w:eastAsia="zh-CN" w:bidi="ar"/>
        </w:rPr>
        <w:t>15.03</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rPr>
        <w:t>。通过采取一系列的环保措施可以使</w:t>
      </w:r>
      <w:r>
        <w:rPr>
          <w:rFonts w:hint="default" w:ascii="Times New Roman" w:hAnsi="Times New Roman" w:eastAsia="宋体" w:cs="Times New Roman"/>
          <w:color w:val="auto"/>
          <w:sz w:val="24"/>
          <w:szCs w:val="24"/>
          <w:lang w:eastAsia="zh-CN"/>
        </w:rPr>
        <w:t>噪声</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废水做到达标排放，固废得到合理处置，外排的污染物可达到国家排放标准，具有较好的环境效益。因此项目采取的环保措施是经济可行的。</w:t>
      </w:r>
    </w:p>
    <w:p w14:paraId="606F4D9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综上所述，该建设项目的建成具有较好的环境效益，从环境经济角度来看本项目是可行的。</w:t>
      </w:r>
    </w:p>
    <w:p w14:paraId="39506060">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br w:type="page"/>
      </w:r>
    </w:p>
    <w:p w14:paraId="7184A7D7">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890" w:name="_Toc21803"/>
      <w:bookmarkStart w:id="891" w:name="_Toc8385_WPSOffice_Level1"/>
      <w:bookmarkStart w:id="892" w:name="_Toc32721"/>
      <w:bookmarkStart w:id="893" w:name="_Toc28714_WPSOffice_Level1"/>
      <w:bookmarkStart w:id="894" w:name="_Toc28667"/>
      <w:bookmarkStart w:id="895" w:name="_Toc8439"/>
      <w:bookmarkStart w:id="896" w:name="_Toc22646_WPSOffice_Level1"/>
      <w:bookmarkStart w:id="897" w:name="_Toc23780_WPSOffice_Level1"/>
      <w:bookmarkStart w:id="898" w:name="_Toc6877_WPSOffice_Level1"/>
      <w:bookmarkStart w:id="899" w:name="_Toc21696"/>
      <w:bookmarkStart w:id="900" w:name="_Toc24237"/>
      <w:bookmarkStart w:id="901" w:name="_Toc20813"/>
      <w:bookmarkStart w:id="902" w:name="_Toc19379"/>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、环境管理与监测</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67F17CD9">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903" w:name="_Toc18441"/>
      <w:bookmarkStart w:id="904" w:name="_Toc30993_WPSOffice_Level2"/>
      <w:bookmarkStart w:id="905" w:name="_Toc4353"/>
      <w:bookmarkStart w:id="906" w:name="_Toc25168"/>
      <w:bookmarkStart w:id="907" w:name="_Toc8830"/>
      <w:bookmarkStart w:id="908" w:name="_Toc6152_WPSOffice_Level2"/>
      <w:bookmarkStart w:id="909" w:name="_Toc18173"/>
      <w:bookmarkStart w:id="910" w:name="_Toc29117_WPSOffice_Level2"/>
      <w:bookmarkStart w:id="911" w:name="_Toc6804_WPSOffice_Level2"/>
      <w:bookmarkStart w:id="912" w:name="_Toc20218"/>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rPr>
        <w:t>.1环境管理</w:t>
      </w:r>
      <w:bookmarkEnd w:id="903"/>
      <w:bookmarkEnd w:id="904"/>
      <w:bookmarkEnd w:id="905"/>
      <w:bookmarkEnd w:id="906"/>
      <w:bookmarkEnd w:id="907"/>
      <w:bookmarkEnd w:id="908"/>
      <w:bookmarkEnd w:id="909"/>
      <w:bookmarkEnd w:id="910"/>
      <w:bookmarkEnd w:id="911"/>
      <w:bookmarkEnd w:id="912"/>
    </w:p>
    <w:p w14:paraId="112AE8F7">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bookmarkStart w:id="913" w:name="_Toc30960"/>
      <w:bookmarkStart w:id="914" w:name="_Toc17700_WPSOffice_Level3"/>
      <w:bookmarkStart w:id="915" w:name="_Toc29927"/>
      <w:bookmarkStart w:id="916" w:name="_Toc19659"/>
      <w:bookmarkStart w:id="917" w:name="_Toc11282_WPSOffice_Level3"/>
      <w:r>
        <w:rPr>
          <w:rFonts w:hint="default" w:ascii="Times New Roman" w:hAnsi="Times New Roman" w:eastAsia="宋体" w:cs="Times New Roman"/>
          <w:color w:val="auto"/>
        </w:rPr>
        <w:t>环境管理是以环境科学理论为基础，运用经济、法律、技术、行政、教育等手段对 经济、社会发展过程中施加给环境的污染和破坏影响进行调节控制、实现经济、社会和 环境效益的和谐统一。本环境管理计划依据环评报告书提出的主要环境问题、环保工程 措施及省、地市生态环境部门对企业环境管理的要求，提出该项目的环境管理和监测计划，供各级生态环境部门对该项目进行环境管理时参考，并作为企业项目设计、建设及运营阶段环境保护管理工作的依据。</w:t>
      </w:r>
    </w:p>
    <w:p w14:paraId="6AA6C943">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918" w:name="_Toc14850"/>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.1施工前环境管理</w:t>
      </w:r>
      <w:bookmarkEnd w:id="918"/>
    </w:p>
    <w:p w14:paraId="0A3AF2F7">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在施工前，施工单位应详细编制施工组织计划并建立环境管理制度，要有专人负责施工期间的环境保护工作，对施工中产生的“三废”应作出相应的防治措施及处置方法。环境管理要做到贯彻国家的环保法规标准，建立各项环保管理制度，做到有章可循，科学管理。工程建设时应保证环保投资落实到位，使各项环保设施达到设计规定的效率和要求。</w:t>
      </w:r>
    </w:p>
    <w:p w14:paraId="1B93070F">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919" w:name="_Toc19343"/>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施工</w:t>
      </w:r>
      <w:r>
        <w:rPr>
          <w:rFonts w:hint="eastAsia" w:cs="Times New Roman"/>
          <w:color w:val="auto"/>
          <w:sz w:val="24"/>
          <w:szCs w:val="24"/>
          <w:lang w:val="en-US" w:eastAsia="zh-CN"/>
        </w:rPr>
        <w:t>期</w:t>
      </w:r>
      <w:r>
        <w:rPr>
          <w:rFonts w:hint="default" w:ascii="Times New Roman" w:hAnsi="Times New Roman" w:eastAsia="宋体" w:cs="Times New Roman"/>
          <w:color w:val="auto"/>
          <w:sz w:val="24"/>
          <w:szCs w:val="24"/>
          <w:lang w:val="en-US" w:eastAsia="zh-CN"/>
        </w:rPr>
        <w:t>环境管理</w:t>
      </w:r>
      <w:bookmarkEnd w:id="919"/>
    </w:p>
    <w:p w14:paraId="23B9D065">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项目施工期间应做好如下管理措施：</w:t>
      </w:r>
    </w:p>
    <w:p w14:paraId="7FFF3AEC">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①工程项目的施工承包合同中，应包括环境保护的条款。其中应包括施工中在环境污染预防和治理方面对承包的具体要求，如施工噪声污染，废水、扬尘和废气等排放治理，施工垃圾处理处置等内容。</w:t>
      </w:r>
    </w:p>
    <w:p w14:paraId="20FBAA62">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②建设单位应设置兼职环保员参加施工场地的环境监测和环境管理工作。</w:t>
      </w:r>
    </w:p>
    <w:p w14:paraId="7811AB4C">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③加强对施工人员的环境保护宣传教育，增强施工人员环境保护和劳动安全意识，杜绝人为引发环境污染事件的发生。</w:t>
      </w:r>
    </w:p>
    <w:p w14:paraId="3F98AEE3">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④定时监测施工场地和附近地带大气中TSP和飘尘的浓度，定时检查施工现场污水排放情况和施工机械和噪声水平，以便及时采取措施，减少环境污染。</w:t>
      </w:r>
    </w:p>
    <w:p w14:paraId="4B1A86CC">
      <w:pPr>
        <w:pStyle w:val="9"/>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lang w:val="en-US" w:eastAsia="zh-CN"/>
        </w:rPr>
      </w:pPr>
      <w:bookmarkStart w:id="920" w:name="_Toc19374"/>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3运营期</w:t>
      </w:r>
      <w:r>
        <w:rPr>
          <w:rFonts w:hint="default" w:ascii="Times New Roman" w:hAnsi="Times New Roman" w:eastAsia="宋体" w:cs="Times New Roman"/>
          <w:color w:val="auto"/>
          <w:sz w:val="24"/>
          <w:szCs w:val="24"/>
          <w:lang w:val="en-US" w:eastAsia="zh-CN"/>
        </w:rPr>
        <w:t>环境管理</w:t>
      </w:r>
      <w:bookmarkEnd w:id="920"/>
    </w:p>
    <w:p w14:paraId="1A3525F5">
      <w:pPr>
        <w:pStyle w:val="10"/>
        <w:pageBreakBefore w:val="0"/>
        <w:kinsoku/>
        <w:wordWrap/>
        <w:overflowPunct/>
        <w:topLinePunct w:val="0"/>
        <w:autoSpaceDE/>
        <w:autoSpaceDN/>
        <w:bidi w:val="0"/>
        <w:spacing w:beforeLines="0" w:afterLines="0" w:line="360" w:lineRule="auto"/>
        <w:textAlignment w:val="auto"/>
        <w:outlineLvl w:val="3"/>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 xml:space="preserve">8.1.3.1 </w:t>
      </w:r>
      <w:r>
        <w:rPr>
          <w:rFonts w:hint="default" w:ascii="Times New Roman" w:hAnsi="Times New Roman" w:eastAsia="宋体" w:cs="Times New Roman"/>
          <w:color w:val="auto"/>
          <w:sz w:val="24"/>
          <w:szCs w:val="24"/>
          <w:u w:val="none" w:color="auto"/>
          <w:lang w:val="en-US" w:eastAsia="zh-CN"/>
        </w:rPr>
        <w:t>机构职责</w:t>
      </w:r>
    </w:p>
    <w:p w14:paraId="7FD2D5A7">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建设单位需构建有效的环境管理机构和体系，设置专门的环保安全机构，配备专职环保人员，负责环境管理、环境监测和事故应急处理，对工作人员实行培训后持证上岗，制定工作人员岗位责任制，增强操作人员的环境保护意识。其主要职责为：</w:t>
      </w:r>
    </w:p>
    <w:p w14:paraId="785CEBFB">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（1）贯彻落实国家和地方有关的环保法律法规标准；</w:t>
      </w:r>
    </w:p>
    <w:p w14:paraId="0A0AAB01">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（2）组织制定公司的环境保护管理规章制度，并监督检查其执行情况；</w:t>
      </w:r>
    </w:p>
    <w:p w14:paraId="423F91F0">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（3）针对公司的具体情况，制定并组织实施环境保护规划和年度工作计划；</w:t>
      </w:r>
    </w:p>
    <w:p w14:paraId="25C74D1A">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（4）负责开展日常的环境监测工作，建立健全原始记录，分析掌握污染动态以及“三废”的综合处置情况；</w:t>
      </w:r>
    </w:p>
    <w:p w14:paraId="306F5F6B">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（5）建立环保档案，做好企业环境管理台账记录和资料的统计整理工作，及时向当地环保部门上报工作表以及提供相应的技术数据；</w:t>
      </w:r>
    </w:p>
    <w:p w14:paraId="70018C6B">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（6）监督检查环保设施及自动报警装置等运行、维护和管理工作；</w:t>
      </w:r>
    </w:p>
    <w:p w14:paraId="1B1288C2">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（7）检查落实安全消防措施，开展环保、知识教育，对从事与工作有关的特殊岗位（如承担环保设施运行与维护）的员工技能进定期培训和考核；</w:t>
      </w:r>
    </w:p>
    <w:p w14:paraId="0467FB44">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（8）负责处理各类污染事故和突发紧急事件，组织抢救和善后工作；</w:t>
      </w:r>
    </w:p>
    <w:p w14:paraId="13118344">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（9）做好企业环境管理信息公开工作，信息公开内容及方式按照《企业事业单位环境信息公开办法》（环境保护部令第31号）及《国家重点监控企业自行监测及信息公开办法（试行）》（环发[2013]81号）执行。</w:t>
      </w:r>
    </w:p>
    <w:p w14:paraId="3E4AA343">
      <w:pPr>
        <w:pStyle w:val="10"/>
        <w:pageBreakBefore w:val="0"/>
        <w:kinsoku/>
        <w:wordWrap/>
        <w:overflowPunct/>
        <w:topLinePunct w:val="0"/>
        <w:autoSpaceDE/>
        <w:autoSpaceDN/>
        <w:bidi w:val="0"/>
        <w:spacing w:beforeLines="0" w:afterLines="0" w:line="360" w:lineRule="auto"/>
        <w:textAlignment w:val="auto"/>
        <w:outlineLvl w:val="3"/>
        <w:rPr>
          <w:rFonts w:hint="default" w:cs="Times New Roman"/>
          <w:color w:val="auto"/>
          <w:sz w:val="24"/>
          <w:szCs w:val="24"/>
          <w:u w:val="none" w:color="auto"/>
          <w:lang w:val="en-US" w:eastAsia="zh-CN"/>
        </w:rPr>
      </w:pPr>
      <w:r>
        <w:rPr>
          <w:rFonts w:hint="eastAsia" w:cs="Times New Roman"/>
          <w:color w:val="auto"/>
          <w:sz w:val="24"/>
          <w:szCs w:val="24"/>
          <w:u w:val="none" w:color="auto"/>
          <w:lang w:val="en-US" w:eastAsia="zh-CN"/>
        </w:rPr>
        <w:t>8.1.3.2</w:t>
      </w:r>
      <w:r>
        <w:rPr>
          <w:rFonts w:hint="default" w:cs="Times New Roman"/>
          <w:color w:val="auto"/>
          <w:sz w:val="24"/>
          <w:szCs w:val="24"/>
          <w:u w:val="none" w:color="auto"/>
          <w:lang w:val="en-US" w:eastAsia="zh-CN"/>
        </w:rPr>
        <w:t>环境管理制度</w:t>
      </w:r>
    </w:p>
    <w:p w14:paraId="14EF8992">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（1）对码头的环境保护工作实行统一监督管理，贯彻执行国家和地方有关环境保护法规；</w:t>
      </w:r>
    </w:p>
    <w:p w14:paraId="0BE3CCF2">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（2）建立各种管理制度，并经常检查督促；</w:t>
      </w:r>
    </w:p>
    <w:p w14:paraId="45FAA370">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（3）编制环境保护规划和计划，并组织实施；</w:t>
      </w:r>
    </w:p>
    <w:p w14:paraId="5A4CA839">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（4）领导和组织项目的环境监测工作，建立监控档案；</w:t>
      </w:r>
    </w:p>
    <w:p w14:paraId="54969A04">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（5）搞好环境教育和技术培训，提高工作人员的素质；</w:t>
      </w:r>
    </w:p>
    <w:p w14:paraId="524C9D82">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（6）维护环保设施正常运转，协同市、区生态环境局解答和处理与码头环境保护有关公众提出的意见和问题；</w:t>
      </w:r>
    </w:p>
    <w:p w14:paraId="37040680">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（7）与政府环境保护机构密切配合，接受各级政府环境保护机构的检查和指导；</w:t>
      </w:r>
    </w:p>
    <w:p w14:paraId="52A6B1E4">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（8）监督建设单位执行“三同时”规定的情况，使环保工程措施与主体工程同时设计、同时施工、同时投产，以有效控制污染。</w:t>
      </w:r>
    </w:p>
    <w:p w14:paraId="0CA018BB">
      <w:pPr>
        <w:pStyle w:val="10"/>
        <w:pageBreakBefore w:val="0"/>
        <w:kinsoku/>
        <w:wordWrap/>
        <w:overflowPunct/>
        <w:topLinePunct w:val="0"/>
        <w:autoSpaceDE/>
        <w:autoSpaceDN/>
        <w:bidi w:val="0"/>
        <w:spacing w:beforeLines="0" w:afterLines="0" w:line="360" w:lineRule="auto"/>
        <w:textAlignment w:val="auto"/>
        <w:outlineLvl w:val="3"/>
        <w:rPr>
          <w:rFonts w:hint="eastAsia" w:cs="Times New Roman"/>
          <w:color w:val="auto"/>
          <w:sz w:val="24"/>
          <w:szCs w:val="24"/>
          <w:u w:val="none" w:color="auto"/>
          <w:lang w:val="en-US" w:eastAsia="zh-CN"/>
        </w:rPr>
      </w:pPr>
      <w:r>
        <w:rPr>
          <w:rFonts w:hint="eastAsia" w:cs="Times New Roman"/>
          <w:color w:val="auto"/>
          <w:sz w:val="24"/>
          <w:szCs w:val="24"/>
          <w:u w:val="none" w:color="auto"/>
          <w:lang w:val="en-US" w:eastAsia="zh-CN"/>
        </w:rPr>
        <w:t>8.1.3.3环境管理计划</w:t>
      </w:r>
    </w:p>
    <w:p w14:paraId="2375CD69">
      <w:pPr>
        <w:tabs>
          <w:tab w:val="left" w:pos="480"/>
        </w:tabs>
        <w:ind w:firstLine="480"/>
        <w:rPr>
          <w:color w:val="auto"/>
        </w:rPr>
      </w:pPr>
      <w:r>
        <w:rPr>
          <w:color w:val="auto"/>
        </w:rPr>
        <w:t>环境管理计划要从项目建设全过程进行，从设计阶段污染防范、施工阶段污染防治、运营后环保设施环境管理、信息反馈和群众监督各方面形成网络管理，使环境管理工作 贯穿于生产的全过程中。</w:t>
      </w:r>
    </w:p>
    <w:p w14:paraId="606942ED">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rPr>
      </w:pPr>
      <w:r>
        <w:rPr>
          <w:color w:val="auto"/>
        </w:rPr>
        <w:t>本项目环境管理工作计划见下表。在环境管理大方案下，本项目环境管理工作重点应从减少污染物排放，降低对环境影响等方面进行分项控制。</w:t>
      </w:r>
    </w:p>
    <w:p w14:paraId="745CD1C4">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表</w:t>
      </w:r>
      <w:r>
        <w:rPr>
          <w:rFonts w:hint="eastAsia" w:cs="Times New Roman"/>
          <w:color w:val="auto"/>
          <w:sz w:val="24"/>
          <w:szCs w:val="24"/>
          <w:u w:val="none" w:color="auto"/>
          <w:lang w:val="en-US" w:eastAsia="zh-CN"/>
        </w:rPr>
        <w:t>8.1-1</w:t>
      </w:r>
      <w:r>
        <w:rPr>
          <w:rFonts w:hint="default" w:ascii="Times New Roman" w:hAnsi="Times New Roman" w:eastAsia="宋体" w:cs="Times New Roman"/>
          <w:color w:val="auto"/>
          <w:sz w:val="24"/>
          <w:szCs w:val="24"/>
          <w:u w:val="none" w:color="auto"/>
          <w:lang w:val="en-US" w:eastAsia="zh-CN"/>
        </w:rPr>
        <w:t xml:space="preserve"> 环境管理工作计划表</w:t>
      </w:r>
    </w:p>
    <w:tbl>
      <w:tblPr>
        <w:tblStyle w:val="4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6929"/>
      </w:tblGrid>
      <w:tr w14:paraId="30ED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1404" w:type="dxa"/>
            <w:vAlign w:val="center"/>
          </w:tcPr>
          <w:p w14:paraId="3DB4A60B">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情况</w:t>
            </w:r>
          </w:p>
        </w:tc>
        <w:tc>
          <w:tcPr>
            <w:tcW w:w="7637" w:type="dxa"/>
            <w:vAlign w:val="center"/>
          </w:tcPr>
          <w:p w14:paraId="295AB3D0">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环境管理工作内容</w:t>
            </w:r>
          </w:p>
        </w:tc>
      </w:tr>
      <w:tr w14:paraId="1F5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404" w:type="dxa"/>
            <w:vAlign w:val="center"/>
          </w:tcPr>
          <w:p w14:paraId="3999DC4A">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企业环境管理总要求</w:t>
            </w:r>
          </w:p>
        </w:tc>
        <w:tc>
          <w:tcPr>
            <w:tcW w:w="7637" w:type="dxa"/>
            <w:vAlign w:val="center"/>
          </w:tcPr>
          <w:p w14:paraId="7199EFA1">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根据国家建设项目环境保护管理规定，认真落实各项环保手续</w:t>
            </w:r>
          </w:p>
          <w:p w14:paraId="346F1193">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①可研阶段，委托评价单位进行环境影响评价工作；</w:t>
            </w:r>
          </w:p>
          <w:p w14:paraId="5926721E">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②开工前，履行“三同时”手续；</w:t>
            </w:r>
          </w:p>
          <w:p w14:paraId="1D9A5A9E">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③生产装置投产后进行环保设施竣工验收；</w:t>
            </w:r>
          </w:p>
          <w:p w14:paraId="56EE9BBA">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④生产中，定期请当地生态环境部门监督、检查，协助主管部门做好环境管理工作，对不达标装置及时整改。</w:t>
            </w:r>
          </w:p>
        </w:tc>
      </w:tr>
      <w:tr w14:paraId="2606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404" w:type="dxa"/>
            <w:vAlign w:val="center"/>
          </w:tcPr>
          <w:p w14:paraId="4CF9B99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设计阶段</w:t>
            </w:r>
          </w:p>
        </w:tc>
        <w:tc>
          <w:tcPr>
            <w:tcW w:w="7637" w:type="dxa"/>
            <w:vAlign w:val="center"/>
          </w:tcPr>
          <w:p w14:paraId="6E664F8A">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设计中充分考虑批复后环评报告书中提出的环保设施和措施</w:t>
            </w:r>
          </w:p>
          <w:p w14:paraId="02071B8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①设计委托合同中标明环保设施设计；</w:t>
            </w:r>
          </w:p>
          <w:p w14:paraId="15820F25">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②设计部门充分调研，比较提出先进、合理的环保设备和设施。</w:t>
            </w:r>
          </w:p>
        </w:tc>
      </w:tr>
      <w:tr w14:paraId="0E1D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04" w:type="dxa"/>
            <w:vAlign w:val="center"/>
          </w:tcPr>
          <w:p w14:paraId="51566840">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施工阶段</w:t>
            </w:r>
          </w:p>
        </w:tc>
        <w:tc>
          <w:tcPr>
            <w:tcW w:w="7637" w:type="dxa"/>
            <w:vAlign w:val="center"/>
          </w:tcPr>
          <w:p w14:paraId="55986E12">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①工程合同中明确要求及时清理施工垃圾、废水；</w:t>
            </w:r>
          </w:p>
          <w:p w14:paraId="3022556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②保证施工期噪声不扰民；</w:t>
            </w:r>
          </w:p>
          <w:p w14:paraId="41D956F2">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③施工期运输车辆需加盖蓬布。</w:t>
            </w:r>
          </w:p>
        </w:tc>
      </w:tr>
      <w:tr w14:paraId="77F3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1404" w:type="dxa"/>
            <w:vAlign w:val="center"/>
          </w:tcPr>
          <w:p w14:paraId="7268B0D2">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生产运营阶段</w:t>
            </w:r>
          </w:p>
        </w:tc>
        <w:tc>
          <w:tcPr>
            <w:tcW w:w="7637" w:type="dxa"/>
            <w:vAlign w:val="center"/>
          </w:tcPr>
          <w:p w14:paraId="556C61F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保证环保设施正常运行，主动接受环保部门监督，备有事故应急措施</w:t>
            </w:r>
          </w:p>
          <w:p w14:paraId="61E7788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①主管副经理全面负责环保工作；</w:t>
            </w:r>
          </w:p>
          <w:p w14:paraId="69C0361D">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②环保科负责厂内环保设施的管理和维护；</w:t>
            </w:r>
          </w:p>
          <w:p w14:paraId="05D3C770">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③对废气的治理、废水的治理及减振降噪设施，建立环保设施档案；</w:t>
            </w:r>
          </w:p>
          <w:p w14:paraId="2E32ECD5">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④定期组织污染源和厂区环境监测；</w:t>
            </w:r>
          </w:p>
          <w:p w14:paraId="182A203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⑤事故应急方案合理，应急设备设施齐备、完好。</w:t>
            </w:r>
          </w:p>
        </w:tc>
      </w:tr>
      <w:tr w14:paraId="207C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1404" w:type="dxa"/>
            <w:vAlign w:val="center"/>
          </w:tcPr>
          <w:p w14:paraId="1A508555">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信息反馈和群众监督</w:t>
            </w:r>
          </w:p>
        </w:tc>
        <w:tc>
          <w:tcPr>
            <w:tcW w:w="7637" w:type="dxa"/>
            <w:vAlign w:val="center"/>
          </w:tcPr>
          <w:p w14:paraId="2CD067DB">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反馈监测数据，加强群众监督，改进污染治理工作。</w:t>
            </w:r>
          </w:p>
          <w:p w14:paraId="44BFBF7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①建立奖惩制度，保证环保设施正常运转；</w:t>
            </w:r>
          </w:p>
          <w:p w14:paraId="00A383E6">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②归纳整理监测数据，技术部门配合进行工艺改进；</w:t>
            </w:r>
          </w:p>
          <w:p w14:paraId="01B472D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③聘请附近村民为监督员，收集附近村民意见；</w:t>
            </w:r>
          </w:p>
          <w:p w14:paraId="0363107F">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④配合生态环境部门的检查验收。</w:t>
            </w:r>
          </w:p>
        </w:tc>
      </w:tr>
      <w:bookmarkEnd w:id="913"/>
      <w:bookmarkEnd w:id="914"/>
      <w:bookmarkEnd w:id="915"/>
      <w:bookmarkEnd w:id="916"/>
      <w:bookmarkEnd w:id="917"/>
    </w:tbl>
    <w:p w14:paraId="27F027F1">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eastAsia" w:ascii="Times New Roman" w:hAnsi="Times New Roman" w:eastAsia="宋体" w:cs="Times New Roman"/>
          <w:color w:val="auto"/>
          <w:sz w:val="28"/>
          <w:szCs w:val="28"/>
          <w:lang w:eastAsia="zh-CN"/>
        </w:rPr>
      </w:pPr>
      <w:bookmarkStart w:id="921" w:name="_Toc21800_WPSOffice_Level2"/>
      <w:bookmarkStart w:id="922" w:name="_Toc745_WPSOffice_Level2"/>
      <w:bookmarkStart w:id="923" w:name="_Toc15039"/>
      <w:bookmarkStart w:id="924" w:name="_Toc13301_WPSOffice_Level2"/>
      <w:bookmarkStart w:id="925" w:name="_Toc447875882"/>
      <w:bookmarkStart w:id="926" w:name="_Toc22719_WPSOffice_Level2"/>
      <w:bookmarkStart w:id="927" w:name="_Toc23826"/>
      <w:bookmarkStart w:id="928" w:name="_Toc23354"/>
      <w:bookmarkStart w:id="929" w:name="_Toc23479"/>
      <w:bookmarkStart w:id="930" w:name="_Toc3557"/>
      <w:bookmarkStart w:id="931" w:name="_Toc26350"/>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rPr>
        <w:t>.2环境</w:t>
      </w:r>
      <w:bookmarkEnd w:id="921"/>
      <w:bookmarkEnd w:id="922"/>
      <w:bookmarkEnd w:id="923"/>
      <w:bookmarkEnd w:id="924"/>
      <w:bookmarkEnd w:id="925"/>
      <w:bookmarkEnd w:id="926"/>
      <w:bookmarkEnd w:id="927"/>
      <w:bookmarkEnd w:id="928"/>
      <w:bookmarkEnd w:id="929"/>
      <w:r>
        <w:rPr>
          <w:rFonts w:hint="eastAsia" w:cs="Times New Roman"/>
          <w:color w:val="auto"/>
          <w:sz w:val="28"/>
          <w:szCs w:val="28"/>
          <w:lang w:val="en-US" w:eastAsia="zh-CN"/>
        </w:rPr>
        <w:t>监测</w:t>
      </w:r>
      <w:bookmarkEnd w:id="930"/>
      <w:bookmarkEnd w:id="931"/>
    </w:p>
    <w:p w14:paraId="5F14D0C6">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rPr>
        <w:t>为了加强环境管理，贯彻实施污染物达标排放要求，地方环保部门和建设单位均须对项目周边环境质量和运行期的污染物排放情况进行监测。建设单位必要时也可委托第三方环境监测机构进行监测。</w:t>
      </w:r>
    </w:p>
    <w:p w14:paraId="60437BF7">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auto"/>
          <w:lang w:val="en-US"/>
        </w:rPr>
      </w:pPr>
      <w:bookmarkStart w:id="932" w:name="_Toc10936"/>
      <w:r>
        <w:rPr>
          <w:rFonts w:hint="default" w:ascii="Times New Roman" w:hAnsi="Times New Roman" w:eastAsia="宋体" w:cs="Times New Roman"/>
          <w:b/>
          <w:bCs/>
          <w:color w:val="auto"/>
          <w:lang w:val="en-US" w:eastAsia="zh-CN"/>
        </w:rPr>
        <w:t>1、</w:t>
      </w:r>
      <w:r>
        <w:rPr>
          <w:rFonts w:hint="eastAsia" w:cs="Times New Roman"/>
          <w:b/>
          <w:bCs/>
          <w:color w:val="auto"/>
          <w:lang w:val="en-US" w:eastAsia="zh-CN"/>
        </w:rPr>
        <w:t>施工期</w:t>
      </w:r>
      <w:r>
        <w:rPr>
          <w:rFonts w:hint="default" w:ascii="Times New Roman" w:hAnsi="Times New Roman" w:eastAsia="宋体" w:cs="Times New Roman"/>
          <w:b/>
          <w:bCs/>
          <w:color w:val="auto"/>
          <w:lang w:val="en-US"/>
        </w:rPr>
        <w:t>环境监测</w:t>
      </w:r>
      <w:bookmarkEnd w:id="932"/>
    </w:p>
    <w:p w14:paraId="476F8151">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工程施工中环境影响因素主要是建设场地对周围声环境敏感点噪声的影响、大气污染的影响及趸船安装期间对水环境、生态环境的影响。</w:t>
      </w:r>
    </w:p>
    <w:p w14:paraId="3864ABC0">
      <w:pPr>
        <w:pStyle w:val="50"/>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宋体" w:cs="Times New Roman"/>
          <w:color w:val="auto"/>
          <w:u w:val="none" w:color="auto"/>
        </w:rPr>
      </w:pPr>
      <w:r>
        <w:rPr>
          <w:rFonts w:hint="eastAsia"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 xml:space="preserve">-2  </w:t>
      </w:r>
      <w:r>
        <w:rPr>
          <w:rFonts w:hint="default" w:ascii="Times New Roman" w:hAnsi="Times New Roman" w:eastAsia="宋体" w:cs="Times New Roman"/>
          <w:color w:val="auto"/>
          <w:sz w:val="24"/>
          <w:szCs w:val="24"/>
          <w:u w:val="none" w:color="auto"/>
        </w:rPr>
        <w:t>施工期环境监测计划</w:t>
      </w:r>
    </w:p>
    <w:tbl>
      <w:tblPr>
        <w:tblStyle w:val="2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93"/>
        <w:gridCol w:w="2071"/>
        <w:gridCol w:w="2534"/>
        <w:gridCol w:w="2122"/>
      </w:tblGrid>
      <w:tr w14:paraId="2D82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908" w:type="pct"/>
            <w:shd w:val="clear" w:color="auto" w:fill="FFFFFF"/>
            <w:noWrap w:val="0"/>
            <w:vAlign w:val="center"/>
          </w:tcPr>
          <w:p w14:paraId="31A6A438">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rPr>
              <w:t>监测要素</w:t>
            </w:r>
          </w:p>
        </w:tc>
        <w:tc>
          <w:tcPr>
            <w:tcW w:w="1259" w:type="pct"/>
            <w:shd w:val="clear" w:color="auto" w:fill="FFFFFF"/>
            <w:noWrap w:val="0"/>
            <w:vAlign w:val="center"/>
          </w:tcPr>
          <w:p w14:paraId="79FDA3D7">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rPr>
              <w:t>监测位置</w:t>
            </w:r>
          </w:p>
        </w:tc>
        <w:tc>
          <w:tcPr>
            <w:tcW w:w="1541" w:type="pct"/>
            <w:shd w:val="clear" w:color="auto" w:fill="FFFFFF"/>
            <w:noWrap w:val="0"/>
            <w:vAlign w:val="center"/>
          </w:tcPr>
          <w:p w14:paraId="18A58329">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rPr>
              <w:t>监测频率</w:t>
            </w:r>
          </w:p>
        </w:tc>
        <w:tc>
          <w:tcPr>
            <w:tcW w:w="1290" w:type="pct"/>
            <w:shd w:val="clear" w:color="auto" w:fill="FFFFFF"/>
            <w:noWrap w:val="0"/>
            <w:vAlign w:val="center"/>
          </w:tcPr>
          <w:p w14:paraId="4EF7560C">
            <w:pPr>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rPr>
              <w:t>监测项目</w:t>
            </w:r>
          </w:p>
        </w:tc>
      </w:tr>
      <w:tr w14:paraId="7B61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908" w:type="pct"/>
            <w:shd w:val="clear" w:color="auto" w:fill="FFFFFF"/>
            <w:noWrap w:val="0"/>
            <w:vAlign w:val="center"/>
          </w:tcPr>
          <w:p w14:paraId="311D815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噪声</w:t>
            </w:r>
          </w:p>
        </w:tc>
        <w:tc>
          <w:tcPr>
            <w:tcW w:w="1259" w:type="pct"/>
            <w:shd w:val="clear" w:color="auto" w:fill="FFFFFF"/>
            <w:noWrap w:val="0"/>
            <w:vAlign w:val="center"/>
          </w:tcPr>
          <w:p w14:paraId="3C6050CC">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厂界四周、敏感点</w:t>
            </w:r>
          </w:p>
        </w:tc>
        <w:tc>
          <w:tcPr>
            <w:tcW w:w="1541" w:type="pct"/>
            <w:shd w:val="clear" w:color="auto" w:fill="FFFFFF"/>
            <w:noWrap w:val="0"/>
            <w:vAlign w:val="center"/>
          </w:tcPr>
          <w:p w14:paraId="18D2AF3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每1个施工月监测1次</w:t>
            </w:r>
          </w:p>
        </w:tc>
        <w:tc>
          <w:tcPr>
            <w:tcW w:w="1290" w:type="pct"/>
            <w:shd w:val="clear" w:color="auto" w:fill="FFFFFF"/>
            <w:noWrap w:val="0"/>
            <w:vAlign w:val="center"/>
          </w:tcPr>
          <w:p w14:paraId="582497D5">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等效连续声级Leq（A）</w:t>
            </w:r>
          </w:p>
        </w:tc>
      </w:tr>
      <w:tr w14:paraId="686C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908" w:type="pct"/>
            <w:shd w:val="clear" w:color="auto" w:fill="FFFFFF"/>
            <w:noWrap w:val="0"/>
            <w:vAlign w:val="center"/>
          </w:tcPr>
          <w:p w14:paraId="031A2A8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扬尘</w:t>
            </w:r>
          </w:p>
        </w:tc>
        <w:tc>
          <w:tcPr>
            <w:tcW w:w="1259" w:type="pct"/>
            <w:shd w:val="clear" w:color="auto" w:fill="FFFFFF"/>
            <w:noWrap w:val="0"/>
            <w:vAlign w:val="center"/>
          </w:tcPr>
          <w:p w14:paraId="4590BCE5">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建设地</w:t>
            </w:r>
          </w:p>
        </w:tc>
        <w:tc>
          <w:tcPr>
            <w:tcW w:w="1541" w:type="pct"/>
            <w:shd w:val="clear" w:color="auto" w:fill="FFFFFF"/>
            <w:noWrap w:val="0"/>
            <w:vAlign w:val="center"/>
          </w:tcPr>
          <w:p w14:paraId="6931FC3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每1个施工月监测1次</w:t>
            </w:r>
          </w:p>
        </w:tc>
        <w:tc>
          <w:tcPr>
            <w:tcW w:w="1290" w:type="pct"/>
            <w:shd w:val="clear" w:color="auto" w:fill="FFFFFF"/>
            <w:noWrap w:val="0"/>
            <w:vAlign w:val="center"/>
          </w:tcPr>
          <w:p w14:paraId="486310A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扬尘（TSP/PM</w:t>
            </w:r>
            <w:r>
              <w:rPr>
                <w:rFonts w:hint="default" w:ascii="Times New Roman" w:hAnsi="Times New Roman" w:eastAsia="宋体" w:cs="Times New Roman"/>
                <w:color w:val="auto"/>
                <w:sz w:val="21"/>
                <w:szCs w:val="21"/>
                <w:u w:val="none" w:color="auto"/>
                <w:vertAlign w:val="subscript"/>
                <w:lang w:val="en-US"/>
              </w:rPr>
              <w:t>10</w:t>
            </w:r>
            <w:r>
              <w:rPr>
                <w:rFonts w:hint="default" w:ascii="Times New Roman" w:hAnsi="Times New Roman" w:eastAsia="宋体" w:cs="Times New Roman"/>
                <w:color w:val="auto"/>
                <w:sz w:val="21"/>
                <w:szCs w:val="21"/>
                <w:u w:val="none" w:color="auto"/>
                <w:lang w:val="en-US"/>
              </w:rPr>
              <w:t>）</w:t>
            </w:r>
          </w:p>
        </w:tc>
      </w:tr>
    </w:tbl>
    <w:p w14:paraId="397D6C6D">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施工承担单位应至少配备1名专职人员，负责巡视和记录施工期间各种污染物产生情况，出现异常情况时及时向建设单位和环境监测部门报告。建设单位应随时对施工单位的环境保护情况进行检查。由于施工的暂时性，环境监测可自行监测及可委托专业环境监测部门实施。</w:t>
      </w:r>
    </w:p>
    <w:p w14:paraId="37B39E85">
      <w:pPr>
        <w:pStyle w:val="38"/>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auto"/>
          <w:lang w:val="en-US"/>
        </w:rPr>
      </w:pPr>
      <w:r>
        <w:rPr>
          <w:rFonts w:hint="eastAsia"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运营期</w:t>
      </w:r>
      <w:r>
        <w:rPr>
          <w:rFonts w:hint="default" w:ascii="Times New Roman" w:hAnsi="Times New Roman" w:eastAsia="宋体" w:cs="Times New Roman"/>
          <w:b/>
          <w:bCs/>
          <w:color w:val="auto"/>
          <w:lang w:val="en-US"/>
        </w:rPr>
        <w:t>环境监测</w:t>
      </w:r>
    </w:p>
    <w:p w14:paraId="671D628E">
      <w:pPr>
        <w:pStyle w:val="3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rPr>
        <w:t>本项目运营期环境质量监测工作计划可参考以下方案进行，监测计划见下表。</w:t>
      </w:r>
    </w:p>
    <w:p w14:paraId="78DBCCA3">
      <w:pPr>
        <w:pStyle w:val="4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.2-1</w:t>
      </w:r>
      <w:r>
        <w:rPr>
          <w:rFonts w:hint="default" w:ascii="Times New Roman" w:hAnsi="Times New Roman" w:eastAsia="宋体" w:cs="Times New Roman"/>
          <w:b/>
          <w:bCs/>
          <w:color w:val="auto"/>
          <w:sz w:val="24"/>
          <w:szCs w:val="24"/>
          <w:lang w:eastAsia="zh-CN"/>
        </w:rPr>
        <w:t xml:space="preserve">  本项目</w:t>
      </w:r>
      <w:r>
        <w:rPr>
          <w:rFonts w:hint="default" w:ascii="Times New Roman" w:hAnsi="Times New Roman" w:eastAsia="宋体" w:cs="Times New Roman"/>
          <w:b/>
          <w:bCs/>
          <w:color w:val="auto"/>
          <w:sz w:val="24"/>
          <w:szCs w:val="24"/>
        </w:rPr>
        <w:t>环境监测</w:t>
      </w:r>
      <w:r>
        <w:rPr>
          <w:rFonts w:hint="default" w:ascii="Times New Roman" w:hAnsi="Times New Roman" w:eastAsia="宋体" w:cs="Times New Roman"/>
          <w:b/>
          <w:bCs/>
          <w:color w:val="auto"/>
          <w:sz w:val="24"/>
          <w:szCs w:val="24"/>
          <w:lang w:eastAsia="zh-CN"/>
        </w:rPr>
        <w:t>内容</w:t>
      </w:r>
      <w:r>
        <w:rPr>
          <w:rFonts w:hint="default" w:ascii="Times New Roman" w:hAnsi="Times New Roman" w:eastAsia="宋体" w:cs="Times New Roman"/>
          <w:b/>
          <w:bCs/>
          <w:color w:val="auto"/>
          <w:sz w:val="24"/>
          <w:szCs w:val="24"/>
        </w:rPr>
        <w:t>一览表</w:t>
      </w:r>
    </w:p>
    <w:tbl>
      <w:tblPr>
        <w:tblStyle w:val="4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560"/>
        <w:gridCol w:w="1860"/>
        <w:gridCol w:w="1531"/>
        <w:gridCol w:w="2406"/>
      </w:tblGrid>
      <w:tr w14:paraId="1A75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vAlign w:val="center"/>
          </w:tcPr>
          <w:p w14:paraId="15AAD74C">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一、污染源监测计划</w:t>
            </w:r>
          </w:p>
        </w:tc>
      </w:tr>
      <w:tr w14:paraId="17AA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4B9B016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项目</w:t>
            </w:r>
          </w:p>
        </w:tc>
        <w:tc>
          <w:tcPr>
            <w:tcW w:w="1560" w:type="dxa"/>
            <w:vAlign w:val="center"/>
          </w:tcPr>
          <w:p w14:paraId="15F036E2">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监测位置</w:t>
            </w:r>
          </w:p>
        </w:tc>
        <w:tc>
          <w:tcPr>
            <w:tcW w:w="1860" w:type="dxa"/>
            <w:vAlign w:val="center"/>
          </w:tcPr>
          <w:p w14:paraId="460F398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监测项目</w:t>
            </w:r>
          </w:p>
        </w:tc>
        <w:tc>
          <w:tcPr>
            <w:tcW w:w="1531" w:type="dxa"/>
            <w:vAlign w:val="center"/>
          </w:tcPr>
          <w:p w14:paraId="5C9A671C">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监测频率</w:t>
            </w:r>
          </w:p>
        </w:tc>
        <w:tc>
          <w:tcPr>
            <w:tcW w:w="2406" w:type="dxa"/>
            <w:vAlign w:val="center"/>
          </w:tcPr>
          <w:p w14:paraId="4C20EC21">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执行标准</w:t>
            </w:r>
          </w:p>
        </w:tc>
      </w:tr>
      <w:tr w14:paraId="513A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7B557C6D">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废气</w:t>
            </w:r>
          </w:p>
        </w:tc>
        <w:tc>
          <w:tcPr>
            <w:tcW w:w="1560" w:type="dxa"/>
            <w:vAlign w:val="center"/>
          </w:tcPr>
          <w:p w14:paraId="5EF43B3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厂界</w:t>
            </w:r>
          </w:p>
        </w:tc>
        <w:tc>
          <w:tcPr>
            <w:tcW w:w="1860" w:type="dxa"/>
            <w:vAlign w:val="center"/>
          </w:tcPr>
          <w:p w14:paraId="676E3656">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TSP</w:t>
            </w:r>
          </w:p>
        </w:tc>
        <w:tc>
          <w:tcPr>
            <w:tcW w:w="1531" w:type="dxa"/>
            <w:vAlign w:val="center"/>
          </w:tcPr>
          <w:p w14:paraId="041EF7B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半年</w:t>
            </w:r>
          </w:p>
          <w:p w14:paraId="58BF7B0D">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一次</w:t>
            </w:r>
          </w:p>
        </w:tc>
        <w:tc>
          <w:tcPr>
            <w:tcW w:w="2406" w:type="dxa"/>
            <w:vAlign w:val="center"/>
          </w:tcPr>
          <w:p w14:paraId="45B3455C">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《大气污染物综合排放标准》（GB16297-1996）中无组织排放监控浓度限值</w:t>
            </w:r>
          </w:p>
        </w:tc>
      </w:tr>
      <w:tr w14:paraId="05DD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5060754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噪声</w:t>
            </w:r>
          </w:p>
        </w:tc>
        <w:tc>
          <w:tcPr>
            <w:tcW w:w="1560" w:type="dxa"/>
            <w:vAlign w:val="center"/>
          </w:tcPr>
          <w:p w14:paraId="1D5FB6F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厂界外1m</w:t>
            </w:r>
          </w:p>
        </w:tc>
        <w:tc>
          <w:tcPr>
            <w:tcW w:w="1860" w:type="dxa"/>
            <w:vAlign w:val="center"/>
          </w:tcPr>
          <w:p w14:paraId="59FF8DD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Leq(A)</w:t>
            </w:r>
          </w:p>
        </w:tc>
        <w:tc>
          <w:tcPr>
            <w:tcW w:w="1531" w:type="dxa"/>
            <w:vAlign w:val="center"/>
          </w:tcPr>
          <w:p w14:paraId="0CB4E7D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每季度一次</w:t>
            </w:r>
            <w:r>
              <w:rPr>
                <w:rFonts w:hint="default" w:ascii="Times New Roman" w:hAnsi="Times New Roman" w:eastAsia="宋体" w:cs="Times New Roman"/>
                <w:color w:val="auto"/>
                <w:sz w:val="21"/>
                <w:szCs w:val="21"/>
                <w:u w:val="none" w:color="auto"/>
                <w:lang w:val="en-US"/>
              </w:rPr>
              <w:t>，每次2天，分昼夜两个时段</w:t>
            </w:r>
          </w:p>
        </w:tc>
        <w:tc>
          <w:tcPr>
            <w:tcW w:w="2406" w:type="dxa"/>
            <w:vAlign w:val="center"/>
          </w:tcPr>
          <w:p w14:paraId="3055A3B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《工业企业厂界环境噪声排放标准》（GB12348-2008）3类、4类标准</w:t>
            </w:r>
          </w:p>
        </w:tc>
      </w:tr>
      <w:tr w14:paraId="1FCE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dxa"/>
            <w:gridSpan w:val="2"/>
            <w:vAlign w:val="center"/>
          </w:tcPr>
          <w:p w14:paraId="238B16F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固体废物</w:t>
            </w:r>
          </w:p>
        </w:tc>
        <w:tc>
          <w:tcPr>
            <w:tcW w:w="1860" w:type="dxa"/>
            <w:vAlign w:val="center"/>
          </w:tcPr>
          <w:p w14:paraId="1D939EF8">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统计固废产生量及去向</w:t>
            </w:r>
          </w:p>
        </w:tc>
        <w:tc>
          <w:tcPr>
            <w:tcW w:w="1531" w:type="dxa"/>
            <w:vAlign w:val="center"/>
          </w:tcPr>
          <w:p w14:paraId="5DA6657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台账统计，年报一次</w:t>
            </w:r>
          </w:p>
        </w:tc>
        <w:tc>
          <w:tcPr>
            <w:tcW w:w="2406" w:type="dxa"/>
            <w:vAlign w:val="center"/>
          </w:tcPr>
          <w:p w14:paraId="02D3CBF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p>
        </w:tc>
      </w:tr>
      <w:tr w14:paraId="582E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vAlign w:val="center"/>
          </w:tcPr>
          <w:p w14:paraId="6BA62F38">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二、环境风险事故监测</w:t>
            </w:r>
          </w:p>
        </w:tc>
      </w:tr>
      <w:tr w14:paraId="033F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0EA7C272">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项目</w:t>
            </w:r>
          </w:p>
        </w:tc>
        <w:tc>
          <w:tcPr>
            <w:tcW w:w="1560" w:type="dxa"/>
            <w:vAlign w:val="center"/>
          </w:tcPr>
          <w:p w14:paraId="7C1B6AD4">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监测位置</w:t>
            </w:r>
          </w:p>
        </w:tc>
        <w:tc>
          <w:tcPr>
            <w:tcW w:w="1860" w:type="dxa"/>
            <w:vAlign w:val="center"/>
          </w:tcPr>
          <w:p w14:paraId="2B2F35E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监测项目</w:t>
            </w:r>
          </w:p>
        </w:tc>
        <w:tc>
          <w:tcPr>
            <w:tcW w:w="1531" w:type="dxa"/>
            <w:vAlign w:val="center"/>
          </w:tcPr>
          <w:p w14:paraId="4127F7E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监测频率</w:t>
            </w:r>
          </w:p>
        </w:tc>
        <w:tc>
          <w:tcPr>
            <w:tcW w:w="2406" w:type="dxa"/>
            <w:vAlign w:val="center"/>
          </w:tcPr>
          <w:p w14:paraId="6881B0B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执行标准</w:t>
            </w:r>
          </w:p>
        </w:tc>
      </w:tr>
      <w:tr w14:paraId="125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09AA1A4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地表水环境</w:t>
            </w:r>
          </w:p>
        </w:tc>
        <w:tc>
          <w:tcPr>
            <w:tcW w:w="1560" w:type="dxa"/>
            <w:vAlign w:val="center"/>
          </w:tcPr>
          <w:p w14:paraId="6E210E6C">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码头上、下游</w:t>
            </w:r>
          </w:p>
        </w:tc>
        <w:tc>
          <w:tcPr>
            <w:tcW w:w="1860" w:type="dxa"/>
            <w:vAlign w:val="center"/>
          </w:tcPr>
          <w:p w14:paraId="4D7EAEC2">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COD、石油类</w:t>
            </w:r>
          </w:p>
        </w:tc>
        <w:tc>
          <w:tcPr>
            <w:tcW w:w="1531" w:type="dxa"/>
            <w:vAlign w:val="center"/>
          </w:tcPr>
          <w:p w14:paraId="546A990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应急</w:t>
            </w:r>
          </w:p>
          <w:p w14:paraId="627DFCC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w:t>
            </w:r>
          </w:p>
        </w:tc>
        <w:tc>
          <w:tcPr>
            <w:tcW w:w="2406" w:type="dxa"/>
            <w:vAlign w:val="center"/>
          </w:tcPr>
          <w:p w14:paraId="10C758B8">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《地表水环境质量标准》（GB3838-2002）III类标准</w:t>
            </w:r>
          </w:p>
        </w:tc>
      </w:tr>
      <w:tr w14:paraId="484D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vAlign w:val="center"/>
          </w:tcPr>
          <w:p w14:paraId="092CE498">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三、环境质量现状监测</w:t>
            </w:r>
          </w:p>
        </w:tc>
      </w:tr>
      <w:tr w14:paraId="42DE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5D510235">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项目</w:t>
            </w:r>
          </w:p>
        </w:tc>
        <w:tc>
          <w:tcPr>
            <w:tcW w:w="1560" w:type="dxa"/>
            <w:vAlign w:val="center"/>
          </w:tcPr>
          <w:p w14:paraId="19382BBE">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监测位置</w:t>
            </w:r>
          </w:p>
        </w:tc>
        <w:tc>
          <w:tcPr>
            <w:tcW w:w="1860" w:type="dxa"/>
            <w:vAlign w:val="center"/>
          </w:tcPr>
          <w:p w14:paraId="72A49D9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监测项目</w:t>
            </w:r>
          </w:p>
        </w:tc>
        <w:tc>
          <w:tcPr>
            <w:tcW w:w="1531" w:type="dxa"/>
            <w:vAlign w:val="center"/>
          </w:tcPr>
          <w:p w14:paraId="0CAD9F5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监测频率</w:t>
            </w:r>
          </w:p>
        </w:tc>
        <w:tc>
          <w:tcPr>
            <w:tcW w:w="2406" w:type="dxa"/>
            <w:vAlign w:val="center"/>
          </w:tcPr>
          <w:p w14:paraId="392D2388">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执行标准</w:t>
            </w:r>
          </w:p>
        </w:tc>
      </w:tr>
      <w:tr w14:paraId="7BC2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19B37C92">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环境</w:t>
            </w:r>
          </w:p>
          <w:p w14:paraId="46FCC4FE">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空气</w:t>
            </w:r>
          </w:p>
        </w:tc>
        <w:tc>
          <w:tcPr>
            <w:tcW w:w="1560" w:type="dxa"/>
            <w:vAlign w:val="center"/>
          </w:tcPr>
          <w:p w14:paraId="7EDEFD4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码头上风向及下风向各布一个监测点</w:t>
            </w:r>
          </w:p>
        </w:tc>
        <w:tc>
          <w:tcPr>
            <w:tcW w:w="1860" w:type="dxa"/>
            <w:vAlign w:val="center"/>
          </w:tcPr>
          <w:p w14:paraId="280D35C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TSP、PM</w:t>
            </w:r>
            <w:r>
              <w:rPr>
                <w:rFonts w:hint="default" w:ascii="Times New Roman" w:hAnsi="Times New Roman" w:eastAsia="宋体" w:cs="Times New Roman"/>
                <w:color w:val="auto"/>
                <w:sz w:val="21"/>
                <w:szCs w:val="21"/>
                <w:u w:val="none" w:color="auto"/>
                <w:vertAlign w:val="subscript"/>
                <w:lang w:val="en-US"/>
              </w:rPr>
              <w:t>10</w:t>
            </w:r>
          </w:p>
        </w:tc>
        <w:tc>
          <w:tcPr>
            <w:tcW w:w="1531" w:type="dxa"/>
            <w:vAlign w:val="center"/>
          </w:tcPr>
          <w:p w14:paraId="5FCD9312">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每季度一次</w:t>
            </w:r>
          </w:p>
        </w:tc>
        <w:tc>
          <w:tcPr>
            <w:tcW w:w="2406" w:type="dxa"/>
            <w:vAlign w:val="center"/>
          </w:tcPr>
          <w:p w14:paraId="7EE7CF10">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《环境空气质量标准》</w:t>
            </w:r>
          </w:p>
          <w:p w14:paraId="135F6D4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（GB3095-2012）二级标准</w:t>
            </w:r>
          </w:p>
        </w:tc>
      </w:tr>
      <w:tr w14:paraId="6D6D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60695555">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地表</w:t>
            </w:r>
          </w:p>
          <w:p w14:paraId="50AFF074">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水环境</w:t>
            </w:r>
          </w:p>
        </w:tc>
        <w:tc>
          <w:tcPr>
            <w:tcW w:w="1560" w:type="dxa"/>
            <w:vAlign w:val="center"/>
          </w:tcPr>
          <w:p w14:paraId="0A7CC97D">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码头上游500m和下游1.0km处</w:t>
            </w:r>
          </w:p>
        </w:tc>
        <w:tc>
          <w:tcPr>
            <w:tcW w:w="1860" w:type="dxa"/>
            <w:vAlign w:val="center"/>
          </w:tcPr>
          <w:p w14:paraId="689E71F1">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pH、SS、COD、</w:t>
            </w:r>
          </w:p>
          <w:p w14:paraId="5A70F7D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BOD</w:t>
            </w:r>
            <w:r>
              <w:rPr>
                <w:rFonts w:hint="default" w:ascii="Times New Roman" w:hAnsi="Times New Roman" w:eastAsia="宋体" w:cs="Times New Roman"/>
                <w:color w:val="auto"/>
                <w:sz w:val="21"/>
                <w:szCs w:val="21"/>
                <w:u w:val="none" w:color="auto"/>
                <w:vertAlign w:val="subscript"/>
                <w:lang w:val="en-US"/>
              </w:rPr>
              <w:t>5</w:t>
            </w:r>
            <w:r>
              <w:rPr>
                <w:rFonts w:hint="default" w:ascii="Times New Roman" w:hAnsi="Times New Roman" w:eastAsia="宋体" w:cs="Times New Roman"/>
                <w:color w:val="auto"/>
                <w:sz w:val="21"/>
                <w:szCs w:val="21"/>
                <w:u w:val="none" w:color="auto"/>
                <w:lang w:val="en-US"/>
              </w:rPr>
              <w:t>、NH</w:t>
            </w:r>
            <w:r>
              <w:rPr>
                <w:rFonts w:hint="default" w:ascii="Times New Roman" w:hAnsi="Times New Roman" w:eastAsia="宋体" w:cs="Times New Roman"/>
                <w:color w:val="auto"/>
                <w:sz w:val="21"/>
                <w:szCs w:val="21"/>
                <w:u w:val="none" w:color="auto"/>
                <w:vertAlign w:val="subscript"/>
                <w:lang w:val="en-US"/>
              </w:rPr>
              <w:t>3</w:t>
            </w:r>
            <w:r>
              <w:rPr>
                <w:rFonts w:hint="default" w:ascii="Times New Roman" w:hAnsi="Times New Roman" w:eastAsia="宋体" w:cs="Times New Roman"/>
                <w:color w:val="auto"/>
                <w:sz w:val="21"/>
                <w:szCs w:val="21"/>
                <w:u w:val="none" w:color="auto"/>
                <w:lang w:val="en-US"/>
              </w:rPr>
              <w:t>-N、石油类</w:t>
            </w:r>
          </w:p>
        </w:tc>
        <w:tc>
          <w:tcPr>
            <w:tcW w:w="1531" w:type="dxa"/>
            <w:vAlign w:val="center"/>
          </w:tcPr>
          <w:p w14:paraId="59A8394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每年平、枯水期各一次</w:t>
            </w:r>
          </w:p>
        </w:tc>
        <w:tc>
          <w:tcPr>
            <w:tcW w:w="2406" w:type="dxa"/>
            <w:vAlign w:val="center"/>
          </w:tcPr>
          <w:p w14:paraId="14229E3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《地表水环境质量标准》（GB3838-2002）III类标准</w:t>
            </w:r>
          </w:p>
        </w:tc>
      </w:tr>
      <w:tr w14:paraId="073B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501DD75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声环境</w:t>
            </w:r>
          </w:p>
        </w:tc>
        <w:tc>
          <w:tcPr>
            <w:tcW w:w="1560" w:type="dxa"/>
            <w:vAlign w:val="center"/>
          </w:tcPr>
          <w:p w14:paraId="5EA09B76">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港界</w:t>
            </w:r>
          </w:p>
        </w:tc>
        <w:tc>
          <w:tcPr>
            <w:tcW w:w="1860" w:type="dxa"/>
            <w:vAlign w:val="center"/>
          </w:tcPr>
          <w:p w14:paraId="29DB4CA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Leq(A)</w:t>
            </w:r>
          </w:p>
        </w:tc>
        <w:tc>
          <w:tcPr>
            <w:tcW w:w="1531" w:type="dxa"/>
            <w:vAlign w:val="center"/>
          </w:tcPr>
          <w:p w14:paraId="2148B59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每季度一次</w:t>
            </w:r>
            <w:r>
              <w:rPr>
                <w:rFonts w:hint="default" w:ascii="Times New Roman" w:hAnsi="Times New Roman" w:eastAsia="宋体" w:cs="Times New Roman"/>
                <w:color w:val="auto"/>
                <w:sz w:val="21"/>
                <w:szCs w:val="21"/>
                <w:u w:val="none" w:color="auto"/>
                <w:lang w:val="en-US"/>
              </w:rPr>
              <w:t>，每次2天，分昼夜两个时段</w:t>
            </w:r>
          </w:p>
        </w:tc>
        <w:tc>
          <w:tcPr>
            <w:tcW w:w="2406" w:type="dxa"/>
            <w:vAlign w:val="center"/>
          </w:tcPr>
          <w:p w14:paraId="20CEE286">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《声环境质量标准》（GB3096-2008）3类、4a类标准</w:t>
            </w:r>
          </w:p>
        </w:tc>
      </w:tr>
      <w:tr w14:paraId="6D04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vAlign w:val="center"/>
          </w:tcPr>
          <w:p w14:paraId="3B416D3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四、生态监测</w:t>
            </w:r>
          </w:p>
        </w:tc>
      </w:tr>
      <w:tr w14:paraId="71E4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6465DE9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项目</w:t>
            </w:r>
          </w:p>
        </w:tc>
        <w:tc>
          <w:tcPr>
            <w:tcW w:w="1560" w:type="dxa"/>
            <w:vAlign w:val="center"/>
          </w:tcPr>
          <w:p w14:paraId="5C04341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监测位置</w:t>
            </w:r>
          </w:p>
        </w:tc>
        <w:tc>
          <w:tcPr>
            <w:tcW w:w="3391" w:type="dxa"/>
            <w:gridSpan w:val="2"/>
            <w:vAlign w:val="center"/>
          </w:tcPr>
          <w:p w14:paraId="331CB1B7">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监测项目</w:t>
            </w:r>
          </w:p>
        </w:tc>
        <w:tc>
          <w:tcPr>
            <w:tcW w:w="2406" w:type="dxa"/>
            <w:vAlign w:val="center"/>
          </w:tcPr>
          <w:p w14:paraId="07CB7E01">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监测频率</w:t>
            </w:r>
          </w:p>
        </w:tc>
      </w:tr>
      <w:tr w14:paraId="705A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0003392A">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水生生态</w:t>
            </w:r>
          </w:p>
        </w:tc>
        <w:tc>
          <w:tcPr>
            <w:tcW w:w="1560" w:type="dxa"/>
            <w:vAlign w:val="center"/>
          </w:tcPr>
          <w:p w14:paraId="010888E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码头、码头上游、码头下游</w:t>
            </w:r>
          </w:p>
        </w:tc>
        <w:tc>
          <w:tcPr>
            <w:tcW w:w="3391" w:type="dxa"/>
            <w:gridSpan w:val="2"/>
            <w:vAlign w:val="center"/>
          </w:tcPr>
          <w:p w14:paraId="42D414E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浮游植物、浮游动物、底栖动物的种类、生物量和密度；水生维管束植物种类及数量；鱼类的种类组成、资源量的时空分布及累积变化效应、鱼类“三场”</w:t>
            </w:r>
          </w:p>
        </w:tc>
        <w:tc>
          <w:tcPr>
            <w:tcW w:w="2406" w:type="dxa"/>
            <w:vAlign w:val="center"/>
          </w:tcPr>
          <w:p w14:paraId="0088978B">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运营期第1年至第3年，每年5月、9月各监测1次，共监测3年（6次）</w:t>
            </w:r>
          </w:p>
        </w:tc>
      </w:tr>
      <w:tr w14:paraId="22A6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Align w:val="center"/>
          </w:tcPr>
          <w:p w14:paraId="1217A3F3">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陆生生态</w:t>
            </w:r>
          </w:p>
        </w:tc>
        <w:tc>
          <w:tcPr>
            <w:tcW w:w="1560" w:type="dxa"/>
            <w:vAlign w:val="center"/>
          </w:tcPr>
          <w:p w14:paraId="3D1DE261">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码头影响区域</w:t>
            </w:r>
          </w:p>
        </w:tc>
        <w:tc>
          <w:tcPr>
            <w:tcW w:w="3391" w:type="dxa"/>
            <w:gridSpan w:val="2"/>
            <w:vAlign w:val="center"/>
          </w:tcPr>
          <w:p w14:paraId="4EB5F4DF">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植物：种类及组成、种群密度、覆盖度、外来种等；动物：种类、分布、密度和季节动态变化；重点保护野生动物的种类、数量、栖息地、觅食地等</w:t>
            </w:r>
          </w:p>
        </w:tc>
        <w:tc>
          <w:tcPr>
            <w:tcW w:w="2406" w:type="dxa"/>
            <w:vAlign w:val="center"/>
          </w:tcPr>
          <w:p w14:paraId="25FBB5B9">
            <w:pPr>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运营期第1年起，每年6~8月开展1次植物、两栖类、爬行类、兽类监测，监测3年（3次）；运营期第1年起，3月~7月鸟类繁殖期，10月~次年3月鸟类繁越冬期，各进行1次监测，共监测3年（6次）</w:t>
            </w:r>
          </w:p>
        </w:tc>
      </w:tr>
    </w:tbl>
    <w:p w14:paraId="2506E42D">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933" w:name="_Toc21636"/>
      <w:bookmarkStart w:id="934" w:name="_Toc7442"/>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rPr>
        <w:t>.</w:t>
      </w:r>
      <w:r>
        <w:rPr>
          <w:rFonts w:hint="eastAsia" w:cs="Times New Roman"/>
          <w:color w:val="auto"/>
          <w:sz w:val="28"/>
          <w:szCs w:val="28"/>
          <w:lang w:val="en-US" w:eastAsia="zh-CN"/>
        </w:rPr>
        <w:t>3总量控制</w:t>
      </w:r>
      <w:bookmarkEnd w:id="933"/>
      <w:bookmarkEnd w:id="934"/>
    </w:p>
    <w:p w14:paraId="45A96CB2">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根据《国家环境保护标准“十三五”发展规划》和《国务院关于印发水污染防治行动计划的通知》中对主要污染物排放总量控制的要求，并结合本工程污染排放特点，本项目不设总量控制指标。</w:t>
      </w:r>
    </w:p>
    <w:p w14:paraId="1548ECB6">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p>
    <w:p w14:paraId="2B745E1A">
      <w:pPr>
        <w:pStyle w:val="3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p>
    <w:p w14:paraId="0243EB6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br w:type="page"/>
      </w:r>
    </w:p>
    <w:p w14:paraId="570F1798">
      <w:pPr>
        <w:pStyle w:val="7"/>
        <w:pageBreakBefore w:val="0"/>
        <w:widowControl/>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Times New Roman" w:hAnsi="Times New Roman" w:eastAsia="宋体" w:cs="Times New Roman"/>
          <w:color w:val="auto"/>
          <w:lang w:val="en-US" w:eastAsia="zh-CN"/>
        </w:rPr>
      </w:pPr>
      <w:bookmarkStart w:id="935" w:name="_Toc19914"/>
      <w:bookmarkStart w:id="936" w:name="_Toc3855"/>
      <w:bookmarkStart w:id="937" w:name="_Toc23024"/>
      <w:bookmarkStart w:id="938" w:name="_Toc23563_WPSOffice_Level1"/>
      <w:bookmarkStart w:id="939" w:name="_Toc22326"/>
      <w:bookmarkStart w:id="940" w:name="_Toc31080_WPSOffice_Level1"/>
      <w:bookmarkStart w:id="941" w:name="_Toc511"/>
      <w:bookmarkStart w:id="942" w:name="_Toc29078_WPSOffice_Level1"/>
      <w:bookmarkStart w:id="943" w:name="_Toc32651_WPSOffice_Level1"/>
      <w:bookmarkStart w:id="944" w:name="_Toc11468"/>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、建议及结论</w:t>
      </w:r>
      <w:bookmarkEnd w:id="935"/>
      <w:bookmarkEnd w:id="936"/>
      <w:bookmarkEnd w:id="937"/>
      <w:bookmarkEnd w:id="938"/>
      <w:bookmarkEnd w:id="939"/>
      <w:bookmarkEnd w:id="940"/>
      <w:bookmarkEnd w:id="941"/>
      <w:bookmarkEnd w:id="942"/>
      <w:bookmarkEnd w:id="943"/>
      <w:bookmarkEnd w:id="944"/>
    </w:p>
    <w:p w14:paraId="5FEEAA2C">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945" w:name="_Toc15529"/>
      <w:bookmarkStart w:id="946" w:name="_Toc32253_WPSOffice_Level2"/>
      <w:bookmarkStart w:id="947" w:name="_Toc30380_WPSOffice_Level2"/>
      <w:bookmarkStart w:id="948" w:name="_Toc11835_WPSOffice_Level2"/>
      <w:bookmarkStart w:id="949" w:name="_Toc25235"/>
      <w:bookmarkStart w:id="950" w:name="_Toc27173_WPSOffice_Level2"/>
      <w:bookmarkStart w:id="951" w:name="_Toc23457"/>
      <w:bookmarkStart w:id="952" w:name="_Toc19214"/>
      <w:bookmarkStart w:id="953" w:name="_Toc32492"/>
      <w:bookmarkStart w:id="954" w:name="_Toc30634"/>
      <w:bookmarkStart w:id="955" w:name="_Toc27536_WPSOffice_Level2"/>
      <w:bookmarkStart w:id="956" w:name="_Toc4207"/>
      <w:bookmarkStart w:id="957" w:name="_Toc393721005"/>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.1项目概况</w:t>
      </w:r>
      <w:bookmarkEnd w:id="945"/>
      <w:bookmarkEnd w:id="946"/>
      <w:bookmarkEnd w:id="947"/>
      <w:bookmarkEnd w:id="948"/>
      <w:bookmarkEnd w:id="949"/>
      <w:bookmarkEnd w:id="950"/>
      <w:bookmarkEnd w:id="951"/>
      <w:bookmarkEnd w:id="952"/>
      <w:bookmarkEnd w:id="953"/>
      <w:bookmarkEnd w:id="954"/>
      <w:bookmarkEnd w:id="955"/>
      <w:bookmarkEnd w:id="956"/>
      <w:bookmarkEnd w:id="957"/>
    </w:p>
    <w:p w14:paraId="31A3FF17">
      <w:pPr>
        <w:pageBreakBefore w:val="0"/>
        <w:widowControl/>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Cs/>
          <w:color w:val="auto"/>
          <w:sz w:val="24"/>
          <w:szCs w:val="24"/>
        </w:rPr>
      </w:pPr>
      <w:bookmarkStart w:id="958" w:name="_Toc5285_WPSOffice_Level2"/>
      <w:bookmarkStart w:id="959" w:name="_Toc18091"/>
      <w:bookmarkStart w:id="960" w:name="_Toc20680"/>
      <w:bookmarkStart w:id="961" w:name="_Toc5096"/>
      <w:bookmarkStart w:id="962" w:name="_Toc19630_WPSOffice_Level2"/>
      <w:bookmarkStart w:id="963" w:name="_Toc14347"/>
      <w:bookmarkStart w:id="964" w:name="_Toc5883_WPSOffice_Level2"/>
      <w:bookmarkStart w:id="965" w:name="_Toc3233_WPSOffice_Level2"/>
      <w:bookmarkStart w:id="966" w:name="_Toc1985_WPSOffice_Level2"/>
      <w:r>
        <w:rPr>
          <w:rFonts w:hint="default" w:ascii="Times New Roman" w:hAnsi="Times New Roman" w:eastAsia="宋体" w:cs="Times New Roman"/>
          <w:bCs/>
          <w:color w:val="auto"/>
          <w:sz w:val="24"/>
          <w:szCs w:val="24"/>
        </w:rPr>
        <w:t>项目名称：岳阳县</w:t>
      </w:r>
      <w:r>
        <w:rPr>
          <w:rFonts w:hint="default" w:ascii="Times New Roman" w:hAnsi="Times New Roman" w:eastAsia="宋体" w:cs="Times New Roman"/>
          <w:bCs/>
          <w:color w:val="auto"/>
          <w:sz w:val="24"/>
          <w:szCs w:val="24"/>
          <w:lang w:eastAsia="zh-CN"/>
        </w:rPr>
        <w:t>鹿角交通渔政综合执法码头</w:t>
      </w:r>
      <w:r>
        <w:rPr>
          <w:rFonts w:hint="default" w:ascii="Times New Roman" w:hAnsi="Times New Roman" w:eastAsia="宋体" w:cs="Times New Roman"/>
          <w:bCs/>
          <w:color w:val="auto"/>
          <w:sz w:val="24"/>
          <w:szCs w:val="24"/>
        </w:rPr>
        <w:t>提质改造工程</w:t>
      </w:r>
    </w:p>
    <w:p w14:paraId="379222A0">
      <w:pPr>
        <w:pageBreakBefore w:val="0"/>
        <w:widowControl/>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建设单位：</w:t>
      </w:r>
      <w:r>
        <w:rPr>
          <w:rFonts w:hint="default" w:ascii="Times New Roman" w:hAnsi="Times New Roman" w:eastAsia="宋体" w:cs="Times New Roman"/>
          <w:color w:val="auto"/>
          <w:spacing w:val="0"/>
          <w:w w:val="100"/>
          <w:position w:val="0"/>
          <w:sz w:val="24"/>
          <w:szCs w:val="24"/>
        </w:rPr>
        <w:t>岳阳县东洞庭湖渔政监察执法局</w:t>
      </w:r>
    </w:p>
    <w:p w14:paraId="65435241">
      <w:pPr>
        <w:pageBreakBefore w:val="0"/>
        <w:widowControl/>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拟建地点：</w:t>
      </w:r>
      <w:r>
        <w:rPr>
          <w:rFonts w:hint="default" w:ascii="Times New Roman" w:hAnsi="Times New Roman" w:eastAsia="宋体" w:cs="Times New Roman"/>
          <w:bCs/>
          <w:color w:val="auto"/>
          <w:sz w:val="24"/>
          <w:szCs w:val="24"/>
          <w:lang w:val="en-US" w:eastAsia="zh-CN"/>
        </w:rPr>
        <w:t>岳阳县原鹿角镇杨庙村的湘江右岸河段，陆路距岳阳县城10公里，水路距城陵矶港30公里</w:t>
      </w:r>
      <w:r>
        <w:rPr>
          <w:rFonts w:hint="default" w:ascii="Times New Roman" w:hAnsi="Times New Roman" w:eastAsia="宋体" w:cs="Times New Roman"/>
          <w:bCs/>
          <w:color w:val="auto"/>
          <w:sz w:val="24"/>
          <w:szCs w:val="24"/>
        </w:rPr>
        <w:t>，东经：</w:t>
      </w:r>
      <w:r>
        <w:rPr>
          <w:rFonts w:hint="default" w:ascii="Times New Roman" w:hAnsi="Times New Roman" w:eastAsia="宋体" w:cs="Times New Roman"/>
          <w:bCs/>
          <w:color w:val="auto"/>
          <w:sz w:val="24"/>
          <w:szCs w:val="24"/>
          <w:lang w:val="en-US" w:eastAsia="zh-CN"/>
        </w:rPr>
        <w:t>112.9995893</w:t>
      </w:r>
      <w:r>
        <w:rPr>
          <w:rFonts w:hint="default" w:ascii="Times New Roman" w:hAnsi="Times New Roman" w:eastAsia="宋体" w:cs="Times New Roman"/>
          <w:bCs/>
          <w:color w:val="auto"/>
          <w:sz w:val="24"/>
          <w:szCs w:val="24"/>
        </w:rPr>
        <w:t>°，北纬：</w:t>
      </w:r>
      <w:r>
        <w:rPr>
          <w:rFonts w:hint="default" w:ascii="Times New Roman" w:hAnsi="Times New Roman" w:eastAsia="宋体" w:cs="Times New Roman"/>
          <w:bCs/>
          <w:color w:val="auto"/>
          <w:sz w:val="24"/>
          <w:szCs w:val="24"/>
          <w:lang w:val="en-US" w:eastAsia="zh-CN"/>
        </w:rPr>
        <w:t>29.1672122</w:t>
      </w:r>
      <w:r>
        <w:rPr>
          <w:rFonts w:hint="default" w:ascii="Times New Roman" w:hAnsi="Times New Roman" w:eastAsia="宋体" w:cs="Times New Roman"/>
          <w:bCs/>
          <w:color w:val="auto"/>
          <w:sz w:val="24"/>
          <w:szCs w:val="24"/>
        </w:rPr>
        <w:t>°。</w:t>
      </w:r>
    </w:p>
    <w:p w14:paraId="441D9906">
      <w:pPr>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建设性质：</w:t>
      </w:r>
      <w:r>
        <w:rPr>
          <w:rFonts w:hint="eastAsia" w:cs="Times New Roman"/>
          <w:color w:val="auto"/>
          <w:sz w:val="24"/>
          <w:szCs w:val="24"/>
          <w:lang w:val="en-US" w:eastAsia="zh-CN" w:bidi="ar"/>
        </w:rPr>
        <w:t>改建</w:t>
      </w:r>
    </w:p>
    <w:p w14:paraId="76265AB5">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967" w:name="_Toc18444"/>
      <w:bookmarkStart w:id="968" w:name="_Toc18617"/>
      <w:bookmarkStart w:id="969" w:name="_Toc30149"/>
      <w:bookmarkStart w:id="970" w:name="_Toc14437"/>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.2环境</w:t>
      </w:r>
      <w:bookmarkStart w:id="971" w:name="_Toc331278443"/>
      <w:r>
        <w:rPr>
          <w:rFonts w:hint="default" w:ascii="Times New Roman" w:hAnsi="Times New Roman" w:eastAsia="宋体" w:cs="Times New Roman"/>
          <w:color w:val="auto"/>
          <w:sz w:val="28"/>
          <w:szCs w:val="28"/>
        </w:rPr>
        <w:t>质量现状</w:t>
      </w:r>
      <w:bookmarkEnd w:id="958"/>
      <w:bookmarkEnd w:id="959"/>
      <w:bookmarkEnd w:id="960"/>
      <w:bookmarkEnd w:id="961"/>
      <w:bookmarkEnd w:id="962"/>
      <w:bookmarkEnd w:id="963"/>
      <w:bookmarkEnd w:id="964"/>
      <w:bookmarkEnd w:id="965"/>
      <w:bookmarkEnd w:id="966"/>
      <w:bookmarkEnd w:id="967"/>
      <w:bookmarkEnd w:id="968"/>
      <w:bookmarkEnd w:id="969"/>
      <w:bookmarkEnd w:id="970"/>
    </w:p>
    <w:bookmarkEnd w:id="971"/>
    <w:p w14:paraId="4057E266">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rPr>
      </w:pPr>
      <w:bookmarkStart w:id="972" w:name="_Toc1254_WPSOffice_Level3"/>
      <w:bookmarkStart w:id="973" w:name="_Toc6218_WPSOffice_Level3"/>
      <w:r>
        <w:rPr>
          <w:rFonts w:hint="default" w:ascii="Times New Roman" w:hAnsi="Times New Roman" w:eastAsia="宋体" w:cs="Times New Roman"/>
          <w:color w:val="auto"/>
        </w:rPr>
        <w:t>（1）地表水环境</w:t>
      </w:r>
      <w:bookmarkEnd w:id="972"/>
      <w:bookmarkEnd w:id="973"/>
    </w:p>
    <w:p w14:paraId="4BCB4616">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rPr>
        <w:t>地表水监测结果表明，</w:t>
      </w:r>
      <w:r>
        <w:rPr>
          <w:rFonts w:hint="default" w:ascii="Times New Roman" w:hAnsi="Times New Roman" w:eastAsia="宋体" w:cs="Times New Roman"/>
          <w:color w:val="auto"/>
          <w:lang w:val="en-US" w:eastAsia="zh-CN"/>
        </w:rPr>
        <w:t>项目所在东洞庭湖水域上游500m、下游1500m断面除总磷外其他各监测因子均符合《地表水环境质量标准》（GB3838-2002）中Ⅲ类标准，《洞庭湖总磷污染控制与削减攻坚行动计划（2022~2025年）》、《洞庭湖水环境综合治理规划》等相关文件和规划方案已颁布实施，政府已加强对洞庭湖水域的保护和污染治理，随着相关治理方案、工程等的实施，洞庭湖的主要水质污染的总磷等指标将逐步好转，湖体水环境质量状况有望达到水质管理目标要求。</w:t>
      </w:r>
    </w:p>
    <w:p w14:paraId="186C0354">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rPr>
      </w:pPr>
      <w:bookmarkStart w:id="974" w:name="_Toc23410_WPSOffice_Level3"/>
      <w:bookmarkStart w:id="975" w:name="_Toc25149_WPSOffice_Level3"/>
      <w:r>
        <w:rPr>
          <w:rFonts w:hint="default" w:ascii="Times New Roman" w:hAnsi="Times New Roman" w:eastAsia="宋体" w:cs="Times New Roman"/>
          <w:color w:val="auto"/>
        </w:rPr>
        <w:t>（2）大气环境</w:t>
      </w:r>
      <w:bookmarkEnd w:id="974"/>
      <w:bookmarkEnd w:id="975"/>
    </w:p>
    <w:p w14:paraId="1FF3B848">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lang w:val="en-US"/>
        </w:rPr>
      </w:pPr>
      <w:bookmarkStart w:id="976" w:name="_Toc16020_WPSOffice_Level3"/>
      <w:bookmarkStart w:id="977" w:name="_Toc13549_WPSOffice_Level3"/>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202</w:t>
      </w:r>
      <w:r>
        <w:rPr>
          <w:rFonts w:hint="eastAsia" w:cs="Times New Roman"/>
          <w:color w:val="auto"/>
          <w:lang w:val="en-US" w:eastAsia="zh-CN"/>
        </w:rPr>
        <w:t>3</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岳阳县</w:t>
      </w:r>
      <w:r>
        <w:rPr>
          <w:rFonts w:hint="default" w:ascii="Times New Roman" w:hAnsi="Times New Roman" w:eastAsia="宋体" w:cs="Times New Roman"/>
          <w:color w:val="auto"/>
        </w:rPr>
        <w:t>环境空气监测数据，对比《环境空气质量标准》（GB3095-2012）及修改单中的二级标准，</w:t>
      </w:r>
      <w:r>
        <w:rPr>
          <w:rFonts w:hint="default" w:ascii="Times New Roman" w:hAnsi="Times New Roman" w:eastAsia="宋体" w:cs="Times New Roman"/>
          <w:color w:val="auto"/>
          <w:lang w:eastAsia="zh-CN"/>
        </w:rPr>
        <w:t>岳阳县</w:t>
      </w:r>
      <w:r>
        <w:rPr>
          <w:rFonts w:hint="default" w:ascii="Times New Roman" w:hAnsi="Times New Roman" w:eastAsia="宋体" w:cs="Times New Roman"/>
          <w:color w:val="auto"/>
          <w:lang w:val="en-US"/>
        </w:rPr>
        <w:t>SO</w:t>
      </w:r>
      <w:r>
        <w:rPr>
          <w:rFonts w:hint="default" w:ascii="Times New Roman" w:hAnsi="Times New Roman" w:eastAsia="宋体" w:cs="Times New Roman"/>
          <w:color w:val="auto"/>
          <w:vertAlign w:val="subscript"/>
          <w:lang w:val="en-US"/>
        </w:rPr>
        <w:t>2</w:t>
      </w:r>
      <w:r>
        <w:rPr>
          <w:rFonts w:hint="default" w:ascii="Times New Roman" w:hAnsi="Times New Roman" w:eastAsia="宋体" w:cs="Times New Roman"/>
          <w:color w:val="auto"/>
          <w:lang w:val="en-US"/>
        </w:rPr>
        <w:t>、NO</w:t>
      </w:r>
      <w:r>
        <w:rPr>
          <w:rFonts w:hint="default" w:ascii="Times New Roman" w:hAnsi="Times New Roman" w:eastAsia="宋体" w:cs="Times New Roman"/>
          <w:color w:val="auto"/>
          <w:vertAlign w:val="subscript"/>
          <w:lang w:val="en-US"/>
        </w:rPr>
        <w:t>2</w:t>
      </w:r>
      <w:r>
        <w:rPr>
          <w:rFonts w:hint="default" w:ascii="Times New Roman" w:hAnsi="Times New Roman" w:eastAsia="宋体" w:cs="Times New Roman"/>
          <w:color w:val="auto"/>
          <w:lang w:val="en-US"/>
        </w:rPr>
        <w:t>、PM</w:t>
      </w:r>
      <w:r>
        <w:rPr>
          <w:rFonts w:hint="default" w:ascii="Times New Roman" w:hAnsi="Times New Roman" w:eastAsia="宋体" w:cs="Times New Roman"/>
          <w:color w:val="auto"/>
          <w:vertAlign w:val="subscript"/>
          <w:lang w:val="en-US"/>
        </w:rPr>
        <w:t>10</w:t>
      </w:r>
      <w:r>
        <w:rPr>
          <w:rFonts w:hint="default" w:ascii="Times New Roman" w:hAnsi="Times New Roman" w:eastAsia="宋体" w:cs="Times New Roman"/>
          <w:color w:val="auto"/>
          <w:lang w:val="en-US"/>
        </w:rPr>
        <w:t>、PM</w:t>
      </w:r>
      <w:r>
        <w:rPr>
          <w:rFonts w:hint="default" w:ascii="Times New Roman" w:hAnsi="Times New Roman" w:eastAsia="宋体" w:cs="Times New Roman"/>
          <w:color w:val="auto"/>
          <w:vertAlign w:val="subscript"/>
          <w:lang w:val="en-US"/>
        </w:rPr>
        <w:t>2.5</w:t>
      </w:r>
      <w:r>
        <w:rPr>
          <w:rFonts w:hint="default" w:ascii="Times New Roman" w:hAnsi="Times New Roman" w:eastAsia="宋体" w:cs="Times New Roman"/>
          <w:color w:val="auto"/>
          <w:lang w:val="en-US"/>
        </w:rPr>
        <w:t>、CO和O</w:t>
      </w:r>
      <w:r>
        <w:rPr>
          <w:rFonts w:hint="default" w:ascii="Times New Roman" w:hAnsi="Times New Roman" w:eastAsia="宋体" w:cs="Times New Roman"/>
          <w:color w:val="auto"/>
          <w:vertAlign w:val="subscript"/>
          <w:lang w:val="en-US"/>
        </w:rPr>
        <w:t>3</w:t>
      </w:r>
      <w:r>
        <w:rPr>
          <w:rFonts w:hint="default" w:ascii="Times New Roman" w:hAnsi="Times New Roman" w:eastAsia="宋体" w:cs="Times New Roman"/>
          <w:color w:val="auto"/>
          <w:lang w:val="en-US"/>
        </w:rPr>
        <w:t>六项污染物全部达</w:t>
      </w:r>
      <w:r>
        <w:rPr>
          <w:rFonts w:hint="default" w:ascii="Times New Roman" w:hAnsi="Times New Roman" w:eastAsia="宋体" w:cs="Times New Roman"/>
          <w:color w:val="auto"/>
        </w:rPr>
        <w:t>《环境空气质量标准》（GB3095-2012）及修改单中的二级标准</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val="en-US"/>
        </w:rPr>
        <w:t>由此判定20</w:t>
      </w:r>
      <w:r>
        <w:rPr>
          <w:rFonts w:hint="default" w:ascii="Times New Roman" w:hAnsi="Times New Roman" w:eastAsia="宋体" w:cs="Times New Roman"/>
          <w:color w:val="auto"/>
          <w:lang w:val="en-US" w:eastAsia="zh-CN"/>
        </w:rPr>
        <w:t>2</w:t>
      </w:r>
      <w:r>
        <w:rPr>
          <w:rFonts w:hint="eastAsia" w:cs="Times New Roman"/>
          <w:color w:val="auto"/>
          <w:lang w:val="en-US" w:eastAsia="zh-CN"/>
        </w:rPr>
        <w:t>3</w:t>
      </w:r>
      <w:r>
        <w:rPr>
          <w:rFonts w:hint="default" w:ascii="Times New Roman" w:hAnsi="Times New Roman" w:eastAsia="宋体" w:cs="Times New Roman"/>
          <w:color w:val="auto"/>
          <w:lang w:val="en-US"/>
        </w:rPr>
        <w:t>年</w:t>
      </w:r>
      <w:r>
        <w:rPr>
          <w:rFonts w:hint="default" w:ascii="Times New Roman" w:hAnsi="Times New Roman" w:eastAsia="宋体" w:cs="Times New Roman"/>
          <w:color w:val="auto"/>
          <w:lang w:val="en-US" w:eastAsia="zh-CN"/>
        </w:rPr>
        <w:t>岳阳县</w:t>
      </w:r>
      <w:r>
        <w:rPr>
          <w:rFonts w:hint="default" w:ascii="Times New Roman" w:hAnsi="Times New Roman" w:eastAsia="宋体" w:cs="Times New Roman"/>
          <w:color w:val="auto"/>
          <w:lang w:val="en-US"/>
        </w:rPr>
        <w:t>的城市环境空气质量达标</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val="en-US"/>
        </w:rPr>
        <w:t>环境空气质量较好。</w:t>
      </w:r>
    </w:p>
    <w:p w14:paraId="68E48A73">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（3）声环境</w:t>
      </w:r>
      <w:bookmarkEnd w:id="976"/>
      <w:bookmarkEnd w:id="977"/>
    </w:p>
    <w:p w14:paraId="1A8EF3F4">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rPr>
      </w:pPr>
      <w:bookmarkStart w:id="978" w:name="_Toc18892_WPSOffice_Level3"/>
      <w:bookmarkStart w:id="979" w:name="_Toc23985_WPSOffice_Level3"/>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场界</w:t>
      </w:r>
      <w:r>
        <w:rPr>
          <w:rFonts w:hint="default" w:ascii="Times New Roman" w:hAnsi="Times New Roman" w:eastAsia="宋体" w:cs="Times New Roman"/>
          <w:color w:val="auto"/>
        </w:rPr>
        <w:t>声环境质量能</w:t>
      </w:r>
      <w:r>
        <w:rPr>
          <w:rFonts w:hint="default" w:ascii="Times New Roman" w:hAnsi="Times New Roman" w:eastAsia="宋体" w:cs="Times New Roman"/>
          <w:color w:val="auto"/>
          <w:lang w:eastAsia="zh-CN"/>
        </w:rPr>
        <w:t>满足</w:t>
      </w:r>
      <w:r>
        <w:rPr>
          <w:rFonts w:hint="default" w:ascii="Times New Roman" w:hAnsi="Times New Roman" w:eastAsia="宋体" w:cs="Times New Roman"/>
          <w:color w:val="auto"/>
        </w:rPr>
        <w:t>《声环境质量标准》（GB3096－2008）中的</w:t>
      </w:r>
      <w:r>
        <w:rPr>
          <w:rFonts w:hint="default" w:ascii="Times New Roman" w:hAnsi="Times New Roman" w:eastAsia="宋体" w:cs="Times New Roman"/>
          <w:color w:val="auto"/>
          <w:lang w:eastAsia="zh-CN"/>
        </w:rPr>
        <w:t>4a</w:t>
      </w:r>
      <w:r>
        <w:rPr>
          <w:rFonts w:hint="default" w:ascii="Times New Roman" w:hAnsi="Times New Roman" w:eastAsia="宋体" w:cs="Times New Roman"/>
          <w:color w:val="auto"/>
        </w:rPr>
        <w:t>区标准要求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周边</w:t>
      </w:r>
      <w:r>
        <w:rPr>
          <w:rFonts w:hint="default" w:ascii="Times New Roman" w:hAnsi="Times New Roman" w:eastAsia="宋体" w:cs="Times New Roman"/>
          <w:color w:val="auto"/>
          <w:lang w:eastAsia="zh-CN"/>
        </w:rPr>
        <w:t>居民</w:t>
      </w:r>
      <w:r>
        <w:rPr>
          <w:rFonts w:hint="default" w:ascii="Times New Roman" w:hAnsi="Times New Roman" w:eastAsia="宋体" w:cs="Times New Roman"/>
          <w:color w:val="auto"/>
        </w:rPr>
        <w:t>声环境质量能</w:t>
      </w:r>
      <w:r>
        <w:rPr>
          <w:rFonts w:hint="default" w:ascii="Times New Roman" w:hAnsi="Times New Roman" w:eastAsia="宋体" w:cs="Times New Roman"/>
          <w:color w:val="auto"/>
          <w:lang w:eastAsia="zh-CN"/>
        </w:rPr>
        <w:t>满足</w:t>
      </w:r>
      <w:r>
        <w:rPr>
          <w:rFonts w:hint="default" w:ascii="Times New Roman" w:hAnsi="Times New Roman" w:eastAsia="宋体" w:cs="Times New Roman"/>
          <w:color w:val="auto"/>
        </w:rPr>
        <w:t>《声环境质量标准》（GB3096－2008）中的</w:t>
      </w:r>
      <w:r>
        <w:rPr>
          <w:rFonts w:hint="default" w:ascii="Times New Roman" w:hAnsi="Times New Roman" w:eastAsia="宋体" w:cs="Times New Roman"/>
          <w:color w:val="auto"/>
          <w:lang w:eastAsia="zh-CN"/>
        </w:rPr>
        <w:t>2</w:t>
      </w:r>
      <w:r>
        <w:rPr>
          <w:rFonts w:hint="default" w:ascii="Times New Roman" w:hAnsi="Times New Roman" w:eastAsia="宋体" w:cs="Times New Roman"/>
          <w:color w:val="auto"/>
        </w:rPr>
        <w:t>类区标准要求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声环境质量较好。</w:t>
      </w:r>
    </w:p>
    <w:bookmarkEnd w:id="978"/>
    <w:bookmarkEnd w:id="979"/>
    <w:p w14:paraId="187DBEBB">
      <w:pPr>
        <w:pStyle w:val="38"/>
        <w:pageBreakBefore w:val="0"/>
        <w:kinsoku/>
        <w:wordWrap/>
        <w:overflowPunct/>
        <w:topLinePunct w:val="0"/>
        <w:autoSpaceDE/>
        <w:autoSpaceDN/>
        <w:bidi w:val="0"/>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（4）生态环境</w:t>
      </w:r>
    </w:p>
    <w:p w14:paraId="00369BE6">
      <w:pPr>
        <w:pageBreakBefore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①陆生植物</w:t>
      </w:r>
    </w:p>
    <w:p w14:paraId="168B197C">
      <w:pPr>
        <w:pageBreakBefore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的现场踏勘，本项目生态环境现状主要以农村生态为主，兼有林地、草地、河滩，植被多为农业栽培和防护林带，无国家保护野生植物。主要农作物有水田和旱田作物，林地以农田林网。常见主要树种有杉树、马尾松、落叶栎类、檫树、臭椿、湿地松、火炬松、女贞等。</w:t>
      </w:r>
    </w:p>
    <w:p w14:paraId="00954160">
      <w:pPr>
        <w:pageBreakBefore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②陆生动物</w:t>
      </w:r>
    </w:p>
    <w:p w14:paraId="40DB91F6">
      <w:pPr>
        <w:pageBreakBefore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区域人为干扰大、人口流动大、植被单一，周边人类活动频繁，许多野生动物为避开人类，早已离开项目区域，无珍稀野生动物。常见的野生动物多为鸟类、啮齿类、昆虫等，所有本区内脊椎动物种类较少。</w:t>
      </w:r>
    </w:p>
    <w:p w14:paraId="6ED2FD9B">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③鱼类</w:t>
      </w:r>
    </w:p>
    <w:p w14:paraId="6CA96722">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为了解项目所在的湘江流域鱼类资源现状，本项目引用《湘江湘阴县段新洲湖采区、湘资村采区采砂项目》中对湘江中的鱼类调查成果，根据其调查结果统计出评价区范围内鱼类7目16科98种。</w:t>
      </w:r>
    </w:p>
    <w:p w14:paraId="4763DC75">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区范围内鱼类以鲤形目为主，共66种，占鱼类总数的67.35%；其次为鲇形目有13种，占鱼类总数的13.27%；鲈形目有12种，占鱼类总数的12.24%；鲑形目4种，占总数的4.08%；鲱形目、颌针鱼目、合鳃鱼目各有1种，分别占鱼类总数的1.02%。</w:t>
      </w:r>
    </w:p>
    <w:p w14:paraId="177B4EB0">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评价区河段内主要经济鱼类有：鲫（</w:t>
      </w:r>
      <w:r>
        <w:rPr>
          <w:rFonts w:hint="default" w:ascii="Times New Roman" w:hAnsi="Times New Roman" w:eastAsia="宋体" w:cs="Times New Roman"/>
          <w:i/>
          <w:color w:val="auto"/>
          <w:sz w:val="24"/>
        </w:rPr>
        <w:t>Carassius auratus</w:t>
      </w:r>
      <w:r>
        <w:rPr>
          <w:rFonts w:hint="default" w:ascii="Times New Roman" w:hAnsi="Times New Roman" w:eastAsia="宋体" w:cs="Times New Roman"/>
          <w:color w:val="auto"/>
          <w:sz w:val="24"/>
        </w:rPr>
        <w:t>）、黄颡鱼（</w:t>
      </w:r>
      <w:r>
        <w:rPr>
          <w:rFonts w:hint="default" w:ascii="Times New Roman" w:hAnsi="Times New Roman" w:eastAsia="宋体" w:cs="Times New Roman"/>
          <w:i/>
          <w:color w:val="auto"/>
          <w:sz w:val="24"/>
        </w:rPr>
        <w:t>Pelteobagrus fulvidraco</w:t>
      </w:r>
      <w:r>
        <w:rPr>
          <w:rFonts w:hint="default" w:ascii="Times New Roman" w:hAnsi="Times New Roman" w:eastAsia="宋体" w:cs="Times New Roman"/>
          <w:color w:val="auto"/>
          <w:sz w:val="24"/>
        </w:rPr>
        <w:t>）、鲢（</w:t>
      </w:r>
      <w:r>
        <w:rPr>
          <w:rFonts w:hint="default" w:ascii="Times New Roman" w:hAnsi="Times New Roman" w:eastAsia="宋体" w:cs="Times New Roman"/>
          <w:i/>
          <w:color w:val="auto"/>
          <w:sz w:val="24"/>
        </w:rPr>
        <w:t>Hypophthalmichthys molitrix</w:t>
      </w:r>
      <w:r>
        <w:rPr>
          <w:rFonts w:hint="default" w:ascii="Times New Roman" w:hAnsi="Times New Roman" w:eastAsia="宋体" w:cs="Times New Roman"/>
          <w:color w:val="auto"/>
          <w:sz w:val="24"/>
        </w:rPr>
        <w:t>）、鳙（</w:t>
      </w:r>
      <w:r>
        <w:rPr>
          <w:rFonts w:hint="default" w:ascii="Times New Roman" w:hAnsi="Times New Roman" w:eastAsia="宋体" w:cs="Times New Roman"/>
          <w:i/>
          <w:color w:val="auto"/>
          <w:sz w:val="24"/>
        </w:rPr>
        <w:t>Aristichthys nobilis</w:t>
      </w:r>
      <w:r>
        <w:rPr>
          <w:rFonts w:hint="default" w:ascii="Times New Roman" w:hAnsi="Times New Roman" w:eastAsia="宋体" w:cs="Times New Roman"/>
          <w:color w:val="auto"/>
          <w:sz w:val="24"/>
        </w:rPr>
        <w:t>）、翘嘴鲌（</w:t>
      </w:r>
      <w:r>
        <w:rPr>
          <w:rFonts w:hint="default" w:ascii="Times New Roman" w:hAnsi="Times New Roman" w:eastAsia="宋体" w:cs="Times New Roman"/>
          <w:i/>
          <w:color w:val="auto"/>
          <w:sz w:val="24"/>
        </w:rPr>
        <w:t>Culter alburnus</w:t>
      </w:r>
      <w:r>
        <w:rPr>
          <w:rFonts w:hint="default" w:ascii="Times New Roman" w:hAnsi="Times New Roman" w:eastAsia="宋体" w:cs="Times New Roman"/>
          <w:color w:val="auto"/>
          <w:sz w:val="24"/>
        </w:rPr>
        <w:t>）等。</w:t>
      </w:r>
    </w:p>
    <w:p w14:paraId="0372BAA6">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④浮游植物</w:t>
      </w:r>
    </w:p>
    <w:p w14:paraId="3291E8C2">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湘江河段评价区河段共检出浮游植物6门58种（属），其中硅藻门最多22种（属），占总数的37.93%；其次为绿藻门16种（属），占总数的27.59%；蓝藻门13种，占总数的22.41%；其他藻门共7种（属），占总数的12.07%。</w:t>
      </w:r>
    </w:p>
    <w:p w14:paraId="31D2C967">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从种类分布看，湘江河段评价区以硅藻门占优势，其次为绿藻门、蓝藻门，其他门类较少。优势种有颗粒直链藻（</w:t>
      </w:r>
      <w:r>
        <w:rPr>
          <w:rFonts w:hint="default" w:ascii="Times New Roman" w:hAnsi="Times New Roman" w:eastAsia="宋体" w:cs="Times New Roman"/>
          <w:i/>
          <w:color w:val="auto"/>
          <w:sz w:val="24"/>
        </w:rPr>
        <w:t>Melosira granulata</w:t>
      </w:r>
      <w:r>
        <w:rPr>
          <w:rFonts w:hint="default" w:ascii="Times New Roman" w:hAnsi="Times New Roman" w:eastAsia="宋体" w:cs="Times New Roman"/>
          <w:color w:val="auto"/>
          <w:sz w:val="24"/>
        </w:rPr>
        <w:t>）、脆杆藻（</w:t>
      </w:r>
      <w:r>
        <w:rPr>
          <w:rFonts w:hint="default" w:ascii="Times New Roman" w:hAnsi="Times New Roman" w:eastAsia="宋体" w:cs="Times New Roman"/>
          <w:i/>
          <w:color w:val="auto"/>
          <w:sz w:val="24"/>
        </w:rPr>
        <w:t>Fragilaria</w:t>
      </w:r>
      <w:r>
        <w:rPr>
          <w:rFonts w:hint="default" w:ascii="Times New Roman" w:hAnsi="Times New Roman" w:eastAsia="宋体" w:cs="Times New Roman"/>
          <w:color w:val="auto"/>
          <w:sz w:val="24"/>
        </w:rPr>
        <w:t xml:space="preserve"> sp.）、菱形藻（</w:t>
      </w:r>
      <w:r>
        <w:rPr>
          <w:rFonts w:hint="default" w:ascii="Times New Roman" w:hAnsi="Times New Roman" w:eastAsia="宋体" w:cs="Times New Roman"/>
          <w:i/>
          <w:color w:val="auto"/>
          <w:sz w:val="24"/>
        </w:rPr>
        <w:t>Nitzschia</w:t>
      </w:r>
      <w:r>
        <w:rPr>
          <w:rFonts w:hint="default" w:ascii="Times New Roman" w:hAnsi="Times New Roman" w:eastAsia="宋体" w:cs="Times New Roman"/>
          <w:color w:val="auto"/>
          <w:sz w:val="24"/>
        </w:rPr>
        <w:t xml:space="preserve"> sp.）、衣藻（</w:t>
      </w:r>
      <w:r>
        <w:rPr>
          <w:rFonts w:hint="default" w:ascii="Times New Roman" w:hAnsi="Times New Roman" w:eastAsia="宋体" w:cs="Times New Roman"/>
          <w:i/>
          <w:color w:val="auto"/>
          <w:sz w:val="24"/>
        </w:rPr>
        <w:t>Chlamydomonas</w:t>
      </w:r>
      <w:r>
        <w:rPr>
          <w:rFonts w:hint="default" w:ascii="Times New Roman" w:hAnsi="Times New Roman" w:eastAsia="宋体" w:cs="Times New Roman"/>
          <w:color w:val="auto"/>
          <w:sz w:val="24"/>
        </w:rPr>
        <w:t xml:space="preserve"> sp.）等。</w:t>
      </w:r>
    </w:p>
    <w:p w14:paraId="3AE417E8">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⑤浮游动物</w:t>
      </w:r>
    </w:p>
    <w:p w14:paraId="49540EC9">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湘江河段评价区共检出浮游动物4类40种（属）。其中原生动物有13种（属），占总数的32.50%；轮虫类有17种（属），占总数的42.50%；枝角类和桡足类各有5种（属），分别占总数的12.50%。</w:t>
      </w:r>
    </w:p>
    <w:p w14:paraId="50633303">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从种类分布看，湘江河段评价区水域浮游动物以轮虫占优势，其次为原生动物、枝角类和桡足类。评价区常见类群为原生动物的表壳虫（</w:t>
      </w:r>
      <w:r>
        <w:rPr>
          <w:rFonts w:hint="default" w:ascii="Times New Roman" w:hAnsi="Times New Roman" w:eastAsia="宋体" w:cs="Times New Roman"/>
          <w:i/>
          <w:color w:val="auto"/>
          <w:sz w:val="24"/>
        </w:rPr>
        <w:t>Arcella</w:t>
      </w:r>
      <w:r>
        <w:rPr>
          <w:rFonts w:hint="default" w:ascii="Times New Roman" w:hAnsi="Times New Roman" w:eastAsia="宋体" w:cs="Times New Roman"/>
          <w:color w:val="auto"/>
          <w:sz w:val="24"/>
        </w:rPr>
        <w:t xml:space="preserve"> sp.）；轮虫类的萼花臂尾轮虫（</w:t>
      </w:r>
      <w:r>
        <w:rPr>
          <w:rFonts w:hint="default" w:ascii="Times New Roman" w:hAnsi="Times New Roman" w:eastAsia="宋体" w:cs="Times New Roman"/>
          <w:i/>
          <w:color w:val="auto"/>
          <w:sz w:val="24"/>
        </w:rPr>
        <w:t>Brachionus calyciflorus</w:t>
      </w:r>
      <w:r>
        <w:rPr>
          <w:rFonts w:hint="default" w:ascii="Times New Roman" w:hAnsi="Times New Roman" w:eastAsia="宋体" w:cs="Times New Roman"/>
          <w:color w:val="auto"/>
          <w:sz w:val="24"/>
        </w:rPr>
        <w:t>）、囊形单趾轮虫（</w:t>
      </w:r>
      <w:r>
        <w:rPr>
          <w:rFonts w:hint="default" w:ascii="Times New Roman" w:hAnsi="Times New Roman" w:eastAsia="宋体" w:cs="Times New Roman"/>
          <w:i/>
          <w:color w:val="auto"/>
          <w:sz w:val="24"/>
        </w:rPr>
        <w:t>Moonostyla bulla</w:t>
      </w:r>
      <w:r>
        <w:rPr>
          <w:rFonts w:hint="default" w:ascii="Times New Roman" w:hAnsi="Times New Roman" w:eastAsia="宋体" w:cs="Times New Roman"/>
          <w:color w:val="auto"/>
          <w:sz w:val="24"/>
        </w:rPr>
        <w:t>）；枝角类的长额象鼻溞（</w:t>
      </w:r>
      <w:r>
        <w:rPr>
          <w:rFonts w:hint="default" w:ascii="Times New Roman" w:hAnsi="Times New Roman" w:eastAsia="宋体" w:cs="Times New Roman"/>
          <w:i/>
          <w:color w:val="auto"/>
          <w:sz w:val="24"/>
        </w:rPr>
        <w:t>Bosmina longirostris</w:t>
      </w:r>
      <w:r>
        <w:rPr>
          <w:rFonts w:hint="default" w:ascii="Times New Roman" w:hAnsi="Times New Roman" w:eastAsia="宋体" w:cs="Times New Roman"/>
          <w:color w:val="auto"/>
          <w:sz w:val="24"/>
        </w:rPr>
        <w:t>）；桡足类的桡足无节幼体（</w:t>
      </w:r>
      <w:r>
        <w:rPr>
          <w:rFonts w:hint="default" w:ascii="Times New Roman" w:hAnsi="Times New Roman" w:eastAsia="宋体" w:cs="Times New Roman"/>
          <w:i/>
          <w:color w:val="auto"/>
          <w:sz w:val="24"/>
        </w:rPr>
        <w:t>Nauplius</w:t>
      </w:r>
      <w:r>
        <w:rPr>
          <w:rFonts w:hint="default" w:ascii="Times New Roman" w:hAnsi="Times New Roman" w:eastAsia="宋体" w:cs="Times New Roman"/>
          <w:color w:val="auto"/>
          <w:sz w:val="24"/>
        </w:rPr>
        <w:t xml:space="preserve"> sp.）等。</w:t>
      </w:r>
    </w:p>
    <w:p w14:paraId="2959B230">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⑥底栖动物</w:t>
      </w:r>
    </w:p>
    <w:p w14:paraId="0ECD4605">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湘江河段评价区内共检出底栖动物3门31种（属），其中软体动物门有16种（属），占总数的56.61%；节肢动物门10种（属），占总数的32.26%；环节动物5种（属），占总数的16.13%。</w:t>
      </w:r>
    </w:p>
    <w:p w14:paraId="2E0C2103">
      <w:pPr>
        <w:pageBreakBefore w:val="0"/>
        <w:widowControl/>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从种类分布看，湘江河段评价区水域底栖动物以软体动物占优势，其次为节肢动物，环节动物相对较少。优势种有河蚬（</w:t>
      </w:r>
      <w:r>
        <w:rPr>
          <w:rFonts w:hint="default" w:ascii="Times New Roman" w:hAnsi="Times New Roman" w:eastAsia="宋体" w:cs="Times New Roman"/>
          <w:i/>
          <w:color w:val="auto"/>
          <w:sz w:val="24"/>
        </w:rPr>
        <w:t>Corbicula fluminea</w:t>
      </w:r>
      <w:r>
        <w:rPr>
          <w:rFonts w:hint="default" w:ascii="Times New Roman" w:hAnsi="Times New Roman" w:eastAsia="宋体" w:cs="Times New Roman"/>
          <w:color w:val="auto"/>
          <w:sz w:val="24"/>
        </w:rPr>
        <w:t>）、隐摇蚊</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Cryptochironomus</w:t>
      </w:r>
      <w:r>
        <w:rPr>
          <w:rFonts w:hint="default" w:ascii="Times New Roman" w:hAnsi="Times New Roman" w:eastAsia="宋体" w:cs="Times New Roman"/>
          <w:color w:val="auto"/>
          <w:sz w:val="24"/>
          <w:szCs w:val="24"/>
        </w:rPr>
        <w:t xml:space="preserve">  sp.）、日本沼虾（</w:t>
      </w:r>
      <w:r>
        <w:rPr>
          <w:rFonts w:hint="default" w:ascii="Times New Roman" w:hAnsi="Times New Roman" w:eastAsia="宋体" w:cs="Times New Roman"/>
          <w:i/>
          <w:color w:val="auto"/>
          <w:sz w:val="24"/>
          <w:szCs w:val="24"/>
        </w:rPr>
        <w:t>Macrobrachium nipponensis</w:t>
      </w:r>
      <w:r>
        <w:rPr>
          <w:rFonts w:hint="default" w:ascii="Times New Roman" w:hAnsi="Times New Roman" w:eastAsia="宋体" w:cs="Times New Roman"/>
          <w:color w:val="auto"/>
          <w:sz w:val="24"/>
          <w:szCs w:val="24"/>
        </w:rPr>
        <w:t>）、苏氏尾鳃蚓（</w:t>
      </w:r>
      <w:r>
        <w:rPr>
          <w:rFonts w:hint="default" w:ascii="Times New Roman" w:hAnsi="Times New Roman" w:eastAsia="宋体" w:cs="Times New Roman"/>
          <w:i/>
          <w:color w:val="auto"/>
          <w:sz w:val="24"/>
          <w:szCs w:val="24"/>
        </w:rPr>
        <w:t>Branchiura sowerbyi</w:t>
      </w:r>
      <w:r>
        <w:rPr>
          <w:rFonts w:hint="default" w:ascii="Times New Roman" w:hAnsi="Times New Roman" w:eastAsia="宋体" w:cs="Times New Roman"/>
          <w:color w:val="auto"/>
          <w:sz w:val="24"/>
          <w:szCs w:val="24"/>
        </w:rPr>
        <w:t>）等。</w:t>
      </w:r>
    </w:p>
    <w:p w14:paraId="6E001D37">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980" w:name="_Toc15491"/>
      <w:bookmarkStart w:id="981" w:name="_Toc31876_WPSOffice_Level2"/>
      <w:bookmarkStart w:id="982" w:name="_Toc30089_WPSOffice_Level2"/>
      <w:bookmarkStart w:id="983" w:name="_Toc8255"/>
      <w:bookmarkStart w:id="984" w:name="_Toc13710"/>
      <w:bookmarkStart w:id="985" w:name="_Toc27791_WPSOffice_Level2"/>
      <w:bookmarkStart w:id="986" w:name="_Toc15003"/>
      <w:bookmarkStart w:id="987" w:name="_Toc14624_WPSOffice_Level2"/>
      <w:bookmarkStart w:id="988" w:name="_Toc17699"/>
      <w:bookmarkStart w:id="989" w:name="_Toc18108"/>
      <w:bookmarkStart w:id="990" w:name="_Toc25353"/>
      <w:bookmarkStart w:id="991" w:name="_Toc21495"/>
      <w:bookmarkStart w:id="992" w:name="_Toc14579_WPSOffice_Level2"/>
      <w:bookmarkStart w:id="993" w:name="_Toc331278444"/>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.3环境影响结论</w:t>
      </w:r>
      <w:bookmarkEnd w:id="980"/>
      <w:bookmarkEnd w:id="981"/>
      <w:bookmarkEnd w:id="982"/>
      <w:bookmarkEnd w:id="983"/>
      <w:bookmarkEnd w:id="984"/>
      <w:bookmarkEnd w:id="985"/>
      <w:bookmarkEnd w:id="986"/>
      <w:bookmarkEnd w:id="987"/>
      <w:bookmarkEnd w:id="988"/>
      <w:bookmarkEnd w:id="989"/>
      <w:bookmarkEnd w:id="990"/>
      <w:bookmarkEnd w:id="991"/>
      <w:bookmarkEnd w:id="992"/>
    </w:p>
    <w:p w14:paraId="12BD8356">
      <w:pPr>
        <w:pStyle w:val="38"/>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eastAsia="zh-CN"/>
        </w:rPr>
      </w:pPr>
      <w:bookmarkStart w:id="994" w:name="_Toc7926_WPSOffice_Level3"/>
      <w:bookmarkStart w:id="995" w:name="_Toc31675_WPSOffice_Level3"/>
      <w:bookmarkStart w:id="996" w:name="_Toc23044"/>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eastAsia="zh-CN"/>
        </w:rPr>
        <w:t>营运</w:t>
      </w:r>
      <w:r>
        <w:rPr>
          <w:rFonts w:hint="default" w:ascii="Times New Roman" w:hAnsi="Times New Roman" w:eastAsia="宋体" w:cs="Times New Roman"/>
          <w:color w:val="auto"/>
          <w:sz w:val="24"/>
          <w:szCs w:val="24"/>
        </w:rPr>
        <w:t>期</w:t>
      </w:r>
      <w:bookmarkEnd w:id="994"/>
      <w:bookmarkEnd w:id="995"/>
      <w:r>
        <w:rPr>
          <w:rFonts w:hint="default" w:ascii="Times New Roman" w:hAnsi="Times New Roman" w:eastAsia="宋体" w:cs="Times New Roman"/>
          <w:color w:val="auto"/>
          <w:sz w:val="24"/>
          <w:szCs w:val="24"/>
        </w:rPr>
        <w:t>地表水影响分析</w:t>
      </w:r>
      <w:bookmarkEnd w:id="996"/>
    </w:p>
    <w:p w14:paraId="5FCFC2B8">
      <w:pPr>
        <w:pageBreakBefore w:val="0"/>
        <w:kinsoku/>
        <w:wordWrap/>
        <w:overflowPunct/>
        <w:topLinePunct w:val="0"/>
        <w:bidi w:val="0"/>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本项目产生废水为营运期</w:t>
      </w:r>
      <w:r>
        <w:rPr>
          <w:rFonts w:hint="default" w:ascii="Times New Roman" w:hAnsi="Times New Roman" w:eastAsia="宋体" w:cs="Times New Roman"/>
          <w:color w:val="auto"/>
          <w:sz w:val="24"/>
          <w:szCs w:val="24"/>
          <w:lang w:val="en-US" w:eastAsia="zh-CN"/>
        </w:rPr>
        <w:t>趸船</w:t>
      </w:r>
      <w:r>
        <w:rPr>
          <w:rFonts w:hint="default" w:ascii="Times New Roman" w:hAnsi="Times New Roman" w:eastAsia="宋体" w:cs="Times New Roman"/>
          <w:color w:val="auto"/>
          <w:sz w:val="24"/>
          <w:szCs w:val="24"/>
        </w:rPr>
        <w:t>员工</w:t>
      </w:r>
      <w:r>
        <w:rPr>
          <w:rFonts w:hint="default" w:ascii="Times New Roman" w:hAnsi="Times New Roman" w:eastAsia="宋体" w:cs="Times New Roman"/>
          <w:color w:val="auto"/>
          <w:sz w:val="24"/>
          <w:szCs w:val="24"/>
          <w:lang w:val="en-US" w:eastAsia="zh-CN"/>
        </w:rPr>
        <w:t>及船舶人员</w:t>
      </w:r>
      <w:r>
        <w:rPr>
          <w:rFonts w:hint="default" w:ascii="Times New Roman" w:hAnsi="Times New Roman" w:eastAsia="宋体" w:cs="Times New Roman"/>
          <w:color w:val="auto"/>
          <w:sz w:val="24"/>
          <w:szCs w:val="24"/>
        </w:rPr>
        <w:t>产生的生活污水、船舶废水（舱底油污水、生活污水）。</w:t>
      </w:r>
    </w:p>
    <w:p w14:paraId="02A23897">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本项目码头生活污水主要污染物为COD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、SS、氨氮等，趸船人员生活污水及船舶人员产生的污水经趸船配套的污水系统预处理后作为区域林地灌溉水回用。</w:t>
      </w:r>
      <w:r>
        <w:rPr>
          <w:rFonts w:hint="default" w:ascii="Times New Roman" w:hAnsi="Times New Roman" w:eastAsia="宋体" w:cs="Times New Roman"/>
          <w:color w:val="auto"/>
          <w:spacing w:val="4"/>
          <w:lang w:val="en-US" w:eastAsia="zh-CN"/>
        </w:rPr>
        <w:t>船舶含油废水由码头上含油污水箱收集后由有资质单位接收处置</w:t>
      </w:r>
      <w:r>
        <w:rPr>
          <w:rFonts w:hint="default" w:ascii="Times New Roman" w:hAnsi="Times New Roman" w:eastAsia="宋体" w:cs="Times New Roman"/>
          <w:color w:val="auto"/>
          <w:lang w:eastAsia="zh-CN"/>
        </w:rPr>
        <w:t>。</w:t>
      </w:r>
    </w:p>
    <w:p w14:paraId="6E7534C7">
      <w:pPr>
        <w:pageBreakBefore w:val="0"/>
        <w:widowControl/>
        <w:kinsoku/>
        <w:wordWrap/>
        <w:overflowPunct/>
        <w:topLinePunct w:val="0"/>
        <w:bidi w:val="0"/>
        <w:snapToGrid/>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采取以上措施后，项目无废水外排，对地表水环境基本无影响。</w:t>
      </w:r>
    </w:p>
    <w:p w14:paraId="0AD14337">
      <w:pPr>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val="en-US" w:eastAsia="zh-CN"/>
        </w:rPr>
      </w:pPr>
      <w:bookmarkStart w:id="997" w:name="_Toc4681"/>
      <w:r>
        <w:rPr>
          <w:rFonts w:hint="default" w:ascii="Times New Roman" w:hAnsi="Times New Roman" w:eastAsia="宋体" w:cs="Times New Roman"/>
          <w:color w:val="auto"/>
          <w:sz w:val="24"/>
          <w:szCs w:val="24"/>
          <w:lang w:val="en-US" w:eastAsia="zh-CN"/>
        </w:rPr>
        <w:t>2、营运期期大气影响分析</w:t>
      </w:r>
      <w:bookmarkEnd w:id="997"/>
    </w:p>
    <w:p w14:paraId="4C96F486">
      <w:pPr>
        <w:pStyle w:val="38"/>
        <w:pageBreakBefore w:val="0"/>
        <w:kinsoku/>
        <w:wordWrap/>
        <w:overflowPunct/>
        <w:topLinePunct w:val="0"/>
        <w:bidi w:val="0"/>
        <w:snapToGrid/>
        <w:ind w:left="0" w:leftChars="0" w:firstLine="42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根据工程分析本项目废气主要来自汽车、船舶燃油废气</w:t>
      </w:r>
      <w:r>
        <w:rPr>
          <w:rFonts w:hint="default" w:ascii="Times New Roman" w:hAnsi="Times New Roman" w:eastAsia="宋体" w:cs="Times New Roman"/>
          <w:color w:val="auto"/>
          <w:sz w:val="24"/>
          <w:lang w:val="en-US" w:eastAsia="zh-CN"/>
        </w:rPr>
        <w:t>、车辆</w:t>
      </w:r>
      <w:r>
        <w:rPr>
          <w:rFonts w:hint="default" w:ascii="Times New Roman" w:hAnsi="Times New Roman" w:eastAsia="宋体" w:cs="Times New Roman"/>
          <w:color w:val="auto"/>
          <w:sz w:val="24"/>
        </w:rPr>
        <w:t>车辆行驶产生扬尘</w:t>
      </w:r>
      <w:r>
        <w:rPr>
          <w:rFonts w:hint="default" w:ascii="Times New Roman" w:hAnsi="Times New Roman" w:eastAsia="宋体" w:cs="Times New Roman"/>
          <w:color w:val="auto"/>
          <w:sz w:val="24"/>
          <w:lang w:val="en-US" w:eastAsia="zh-CN"/>
        </w:rPr>
        <w:t>及趸船厨房的油烟废气</w:t>
      </w:r>
      <w:r>
        <w:rPr>
          <w:rFonts w:hint="default" w:ascii="Times New Roman" w:hAnsi="Times New Roman" w:eastAsia="宋体" w:cs="Times New Roman"/>
          <w:color w:val="auto"/>
          <w:sz w:val="24"/>
        </w:rPr>
        <w:t>。汽车、船舶燃油废气为无组织排放，由于扩散条件好，此类废气在码头滞留时间短，一般不造成集中影响，对环境空气的影响较小。</w:t>
      </w:r>
      <w:r>
        <w:rPr>
          <w:rFonts w:hint="default" w:ascii="Times New Roman" w:hAnsi="Times New Roman" w:eastAsia="宋体" w:cs="Times New Roman"/>
          <w:color w:val="auto"/>
          <w:lang w:val="en-US" w:eastAsia="zh-CN"/>
        </w:rPr>
        <w:t>趸船设置一座小型食堂，产生的少量油烟废气经油烟净化设施处理后排放，不会对区域环境造成明显影响。</w:t>
      </w:r>
    </w:p>
    <w:p w14:paraId="1B221F03">
      <w:pPr>
        <w:pStyle w:val="38"/>
        <w:pageBreakBefore w:val="0"/>
        <w:kinsoku/>
        <w:wordWrap/>
        <w:overflowPunct/>
        <w:topLinePunct w:val="0"/>
        <w:bidi w:val="0"/>
        <w:snapToGrid/>
        <w:ind w:left="0" w:leftChars="0" w:firstLine="420" w:firstLineChars="0"/>
        <w:outlineLvl w:val="9"/>
        <w:rPr>
          <w:rFonts w:hint="default" w:ascii="Times New Roman" w:hAnsi="Times New Roman" w:eastAsia="宋体" w:cs="Times New Roman"/>
          <w:color w:val="auto"/>
          <w:sz w:val="24"/>
          <w:szCs w:val="24"/>
          <w:lang w:val="en-US" w:eastAsia="zh-CN"/>
        </w:rPr>
      </w:pPr>
      <w:bookmarkStart w:id="998" w:name="_Toc20238"/>
      <w:r>
        <w:rPr>
          <w:rFonts w:hint="default" w:ascii="Times New Roman" w:hAnsi="Times New Roman" w:eastAsia="宋体" w:cs="Times New Roman"/>
          <w:color w:val="auto"/>
          <w:sz w:val="24"/>
          <w:szCs w:val="24"/>
          <w:lang w:val="en-US" w:eastAsia="zh-CN"/>
        </w:rPr>
        <w:t>3、营运期噪声影响分析</w:t>
      </w:r>
      <w:bookmarkEnd w:id="998"/>
    </w:p>
    <w:p w14:paraId="0A0B1392">
      <w:pPr>
        <w:pageBreakBefore w:val="0"/>
        <w:kinsoku/>
        <w:wordWrap/>
        <w:overflowPunct/>
        <w:topLinePunct w:val="0"/>
        <w:bidi w:val="0"/>
        <w:snapToGrid/>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营运期噪声源主要为</w:t>
      </w:r>
      <w:r>
        <w:rPr>
          <w:rFonts w:hint="default" w:ascii="Times New Roman" w:hAnsi="Times New Roman" w:eastAsia="宋体" w:cs="Times New Roman"/>
          <w:color w:val="auto"/>
          <w:sz w:val="24"/>
          <w:szCs w:val="24"/>
          <w:lang w:val="en-US" w:eastAsia="zh-CN"/>
        </w:rPr>
        <w:t>小型车辆</w:t>
      </w:r>
      <w:r>
        <w:rPr>
          <w:rFonts w:hint="default" w:ascii="Times New Roman" w:hAnsi="Times New Roman" w:eastAsia="宋体" w:cs="Times New Roman"/>
          <w:color w:val="auto"/>
          <w:sz w:val="24"/>
          <w:szCs w:val="24"/>
        </w:rPr>
        <w:t>、到港船舶，噪声源强约在</w:t>
      </w:r>
      <w:r>
        <w:rPr>
          <w:rFonts w:hint="default"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5dB之间，本项目拟采取的污染防治措施为①进出港船舶在靠泊、离泊、调头作业时采取号旗、号灯、无线电通信方式传递信号，尽量减少鸣笛。码头前沿设置禁止鸣笛标志；②加强各种机械设备、车辆的维修保养，减少因机械磨损而增加的噪声。</w:t>
      </w:r>
    </w:p>
    <w:p w14:paraId="757C2BE3">
      <w:pPr>
        <w:pageBreakBefore w:val="0"/>
        <w:kinsoku/>
        <w:wordWrap/>
        <w:overflowPunct/>
        <w:topLinePunct w:val="0"/>
        <w:bidi w:val="0"/>
        <w:snapToGrid/>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根据环境影响预测结果，在采取以上防治措施以后，本项目</w:t>
      </w:r>
      <w:r>
        <w:rPr>
          <w:rFonts w:hint="default" w:ascii="Times New Roman" w:hAnsi="Times New Roman" w:eastAsia="宋体" w:cs="Times New Roman"/>
          <w:color w:val="auto"/>
          <w:sz w:val="24"/>
          <w:szCs w:val="24"/>
          <w:lang w:eastAsia="zh-CN"/>
        </w:rPr>
        <w:t>东</w:t>
      </w:r>
      <w:bookmarkStart w:id="1052" w:name="_GoBack"/>
      <w:bookmarkEnd w:id="1052"/>
      <w:r>
        <w:rPr>
          <w:rFonts w:hint="default" w:ascii="Times New Roman" w:hAnsi="Times New Roman" w:eastAsia="宋体" w:cs="Times New Roman"/>
          <w:color w:val="auto"/>
          <w:sz w:val="24"/>
          <w:szCs w:val="24"/>
        </w:rPr>
        <w:t>侧处居民噪声预测值在叠加背景值后均能满足《声环境质量标准》（GB3096-2008）2类标准要求，对环境的影响是可以接受的。</w:t>
      </w:r>
    </w:p>
    <w:p w14:paraId="37740787">
      <w:pPr>
        <w:pStyle w:val="38"/>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eastAsia="zh-CN"/>
        </w:rPr>
      </w:pPr>
      <w:bookmarkStart w:id="999" w:name="_Toc12981"/>
      <w:r>
        <w:rPr>
          <w:rFonts w:hint="default" w:ascii="Times New Roman" w:hAnsi="Times New Roman" w:eastAsia="宋体" w:cs="Times New Roman"/>
          <w:color w:val="auto"/>
          <w:sz w:val="24"/>
          <w:szCs w:val="24"/>
          <w:lang w:eastAsia="zh-CN"/>
        </w:rPr>
        <w:t>4、固废影响分析</w:t>
      </w:r>
      <w:bookmarkEnd w:id="999"/>
    </w:p>
    <w:p w14:paraId="1E231460">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本项目营运期主要包括营运期码头员工生活垃圾、船舶员工生活垃圾</w:t>
      </w:r>
      <w:r>
        <w:rPr>
          <w:rFonts w:hint="default" w:ascii="Times New Roman" w:hAnsi="Times New Roman" w:eastAsia="宋体" w:cs="Times New Roman"/>
          <w:bCs/>
          <w:color w:val="auto"/>
          <w:sz w:val="24"/>
          <w:szCs w:val="24"/>
        </w:rPr>
        <w:t>等</w:t>
      </w:r>
      <w:r>
        <w:rPr>
          <w:rFonts w:hint="default" w:ascii="Times New Roman" w:hAnsi="Times New Roman" w:eastAsia="宋体" w:cs="Times New Roman"/>
          <w:color w:val="auto"/>
          <w:sz w:val="24"/>
          <w:szCs w:val="24"/>
        </w:rPr>
        <w:t>。</w:t>
      </w:r>
    </w:p>
    <w:p w14:paraId="2537E0BD">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项目营运期码头员工生活垃圾</w:t>
      </w:r>
      <w:r>
        <w:rPr>
          <w:rFonts w:hint="default" w:ascii="Times New Roman" w:hAnsi="Times New Roman" w:eastAsia="宋体" w:cs="Times New Roman"/>
          <w:color w:val="auto"/>
          <w:sz w:val="24"/>
          <w:szCs w:val="24"/>
          <w:lang w:eastAsia="zh-CN"/>
        </w:rPr>
        <w:t>经</w:t>
      </w:r>
      <w:r>
        <w:rPr>
          <w:rFonts w:hint="default" w:ascii="Times New Roman" w:hAnsi="Times New Roman" w:eastAsia="宋体" w:cs="Times New Roman"/>
          <w:color w:val="auto"/>
          <w:sz w:val="24"/>
          <w:szCs w:val="24"/>
        </w:rPr>
        <w:t>码头生活垃圾收集系统收集后交环卫部门清运</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船舶员工经趸船生活垃圾箱收集后交</w:t>
      </w:r>
      <w:r>
        <w:rPr>
          <w:rFonts w:hint="default" w:ascii="Times New Roman" w:hAnsi="Times New Roman" w:eastAsia="宋体" w:cs="Times New Roman"/>
          <w:color w:val="auto"/>
          <w:sz w:val="24"/>
          <w:szCs w:val="24"/>
          <w:lang w:val="en-US" w:eastAsia="zh-CN"/>
        </w:rPr>
        <w:t>环卫部门处理</w:t>
      </w:r>
      <w:r>
        <w:rPr>
          <w:rFonts w:hint="default" w:ascii="Times New Roman" w:hAnsi="Times New Roman" w:eastAsia="宋体" w:cs="Times New Roman"/>
          <w:color w:val="auto"/>
          <w:sz w:val="24"/>
          <w:szCs w:val="24"/>
        </w:rPr>
        <w:t>。</w:t>
      </w:r>
    </w:p>
    <w:p w14:paraId="27693A3E">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采取上述措施后，本项目固废不会对周围环境造成不良影响。</w:t>
      </w:r>
    </w:p>
    <w:p w14:paraId="448CC71B">
      <w:pPr>
        <w:pStyle w:val="38"/>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val="en-US" w:eastAsia="zh-CN"/>
        </w:rPr>
      </w:pPr>
      <w:bookmarkStart w:id="1000" w:name="_Toc6601"/>
      <w:r>
        <w:rPr>
          <w:rFonts w:hint="default" w:ascii="Times New Roman" w:hAnsi="Times New Roman" w:eastAsia="宋体" w:cs="Times New Roman"/>
          <w:color w:val="auto"/>
          <w:sz w:val="24"/>
          <w:szCs w:val="24"/>
          <w:lang w:val="en-US" w:eastAsia="zh-CN"/>
        </w:rPr>
        <w:t>5、生态影响分析</w:t>
      </w:r>
      <w:bookmarkEnd w:id="1000"/>
    </w:p>
    <w:p w14:paraId="7C80BE24">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岳阳县鹿角交通渔政综合</w:t>
      </w:r>
      <w:r>
        <w:rPr>
          <w:rFonts w:hint="eastAsia" w:cs="Times New Roman"/>
          <w:color w:val="auto"/>
          <w:kern w:val="0"/>
          <w:sz w:val="24"/>
          <w:u w:val="none"/>
          <w:lang w:val="en-US" w:eastAsia="zh-CN"/>
        </w:rPr>
        <w:t>执法</w:t>
      </w:r>
      <w:r>
        <w:rPr>
          <w:rFonts w:hint="default" w:ascii="Times New Roman" w:hAnsi="Times New Roman" w:eastAsia="宋体" w:cs="Times New Roman"/>
          <w:color w:val="auto"/>
          <w:sz w:val="24"/>
          <w:szCs w:val="24"/>
          <w:lang w:val="en-US" w:eastAsia="zh-CN"/>
        </w:rPr>
        <w:t>码头为现有码头环保规范提升提质项目，且远离洞庭湖珍稀水禽、鸟类、鱼类栖息地。工程运营后，项目运营期在该水域船舶密度增加，趸船式浮码头接引桥过驳、密集的船舶航行产生的影响因子(噪声、光照、螺旋桨动力撞击等)对所在水域内鱼类正常觅食、洄游行为产生一定干扰，水面设施阻挡光照影响浮游动植物、底栖生物生存成为长期生态影响源，可能造成部分个体生物量损失和生态习性改变，但不会造成保护物种种群数量明显下降。项目建成后临时占用的水域范围相对于所在江段的东洞庭湖自然保护区实验区、东洞庭湖江豚自然保护区等生态敏感区整体范围对比，项目影响区域极小，不会造成保护区内重要物种的分布、种群数量、生境状况发生明显改变，不会对保护物种迁徙、洄游行为造成阻隔影响。</w:t>
      </w:r>
    </w:p>
    <w:p w14:paraId="34CDCE69">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正常运营情况下，本工程不会对区域生态功能产生显著影响，不改变项目作业区水体的营养状况，对水生生态影响有限。因此，评价认为本项目建设后对保护区内鱼类、重点保护野生物种(长江江豚、中华鲟、胭脂鱼)等水生生物的种类组成、种群结构、资源时空分布不会造成明显改变，不会造成项目所在水域范围内现有生态系统结构和功能、生物多样性降低。</w:t>
      </w:r>
    </w:p>
    <w:p w14:paraId="54E32F6B">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评价区的陆生植物、陆生动物均为常见种，评价范围内不涉及需要保护的珍稀古树，不会对珍稀野生保护动物、植物资源产生不利影响。</w:t>
      </w:r>
    </w:p>
    <w:p w14:paraId="7C2AB3EB">
      <w:pPr>
        <w:pStyle w:val="38"/>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val="en-US" w:eastAsia="zh-CN"/>
        </w:rPr>
      </w:pPr>
      <w:bookmarkStart w:id="1001" w:name="_Toc20127"/>
      <w:r>
        <w:rPr>
          <w:rFonts w:hint="default" w:ascii="Times New Roman" w:hAnsi="Times New Roman" w:eastAsia="宋体" w:cs="Times New Roman"/>
          <w:color w:val="auto"/>
          <w:sz w:val="24"/>
          <w:szCs w:val="24"/>
          <w:lang w:val="en-US" w:eastAsia="zh-CN"/>
        </w:rPr>
        <w:t>6、环境风险影响分析</w:t>
      </w:r>
      <w:bookmarkEnd w:id="1001"/>
    </w:p>
    <w:p w14:paraId="0D1AF60D">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鹿角港</w:t>
      </w:r>
      <w:r>
        <w:rPr>
          <w:rFonts w:hint="default" w:ascii="Times New Roman" w:hAnsi="Times New Roman" w:eastAsia="宋体" w:cs="Times New Roman"/>
          <w:color w:val="auto"/>
          <w:sz w:val="24"/>
          <w:szCs w:val="24"/>
          <w:lang w:val="en-US"/>
        </w:rPr>
        <w:t>码头主要用于</w:t>
      </w:r>
      <w:r>
        <w:rPr>
          <w:rFonts w:hint="default" w:ascii="Times New Roman" w:hAnsi="Times New Roman" w:eastAsia="宋体" w:cs="Times New Roman"/>
          <w:color w:val="auto"/>
          <w:sz w:val="24"/>
          <w:szCs w:val="24"/>
          <w:lang w:val="en-US" w:eastAsia="zh-CN"/>
        </w:rPr>
        <w:t>渔政执法船停泊</w:t>
      </w:r>
      <w:r>
        <w:rPr>
          <w:rFonts w:hint="default" w:ascii="Times New Roman" w:hAnsi="Times New Roman" w:eastAsia="宋体" w:cs="Times New Roman"/>
          <w:color w:val="auto"/>
          <w:sz w:val="24"/>
          <w:szCs w:val="24"/>
          <w:lang w:val="en-US"/>
        </w:rPr>
        <w:t>，非危险化学品货运码头，风险等级一般。提质改造工程最大可信事故源项为水上安全事故引发的溢油风险。据岳阳海事局水上交通事故险情统计分析，评价水域湘江段安全形势相对较好，船舶碰撞事故率较低。</w:t>
      </w:r>
    </w:p>
    <w:p w14:paraId="05BE5560">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一旦船舶碰撞引发的溢油事故，导致石油类在鱼体中积累和残留，引起鱼类慢性中毒</w:t>
      </w:r>
      <w:bookmarkStart w:id="1002" w:name="_Toc492929279"/>
      <w:bookmarkStart w:id="1003" w:name="_Toc509478055"/>
      <w:bookmarkStart w:id="1004" w:name="_Toc492973283"/>
      <w:r>
        <w:rPr>
          <w:rFonts w:hint="default" w:ascii="Times New Roman" w:hAnsi="Times New Roman" w:eastAsia="宋体" w:cs="Times New Roman"/>
          <w:color w:val="auto"/>
          <w:sz w:val="24"/>
          <w:szCs w:val="24"/>
          <w:lang w:val="en-US"/>
        </w:rPr>
        <w:t>，会对以鱼类为食的长江江豚水生生物生命构成威胁和危害。</w:t>
      </w:r>
    </w:p>
    <w:bookmarkEnd w:id="1002"/>
    <w:bookmarkEnd w:id="1003"/>
    <w:bookmarkEnd w:id="1004"/>
    <w:p w14:paraId="031DEF21">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必须采取必要的风险防范措施，加强码头和船舶进出港的管理，制定严格的码头巡护检查制度，进一步降低事故发生的概率，制定应急预案，并准备必要的防护物资，减少事故发生时的环境危害。因此，采取必要的保护措施后，本项目船舶溢油事故的环境风险处于可接受的水平。</w:t>
      </w:r>
    </w:p>
    <w:p w14:paraId="79797A87">
      <w:pPr>
        <w:pStyle w:val="38"/>
        <w:pageBreakBefore w:val="0"/>
        <w:kinsoku/>
        <w:wordWrap/>
        <w:overflowPunct/>
        <w:topLinePunct w:val="0"/>
        <w:bidi w:val="0"/>
        <w:snapToGrid/>
        <w:ind w:firstLine="480"/>
        <w:outlineLvl w:val="9"/>
        <w:rPr>
          <w:rFonts w:hint="default" w:ascii="Times New Roman" w:hAnsi="Times New Roman" w:eastAsia="宋体" w:cs="Times New Roman"/>
          <w:color w:val="auto"/>
          <w:sz w:val="24"/>
          <w:szCs w:val="24"/>
          <w:lang w:val="en-US" w:eastAsia="zh-CN"/>
        </w:rPr>
      </w:pPr>
      <w:bookmarkStart w:id="1005" w:name="_Toc20826"/>
      <w:r>
        <w:rPr>
          <w:rFonts w:hint="default" w:ascii="Times New Roman" w:hAnsi="Times New Roman" w:eastAsia="宋体" w:cs="Times New Roman"/>
          <w:color w:val="auto"/>
          <w:sz w:val="24"/>
          <w:szCs w:val="24"/>
          <w:lang w:val="en-US" w:eastAsia="zh-CN"/>
        </w:rPr>
        <w:t>7、对湘江水文情势影响分析</w:t>
      </w:r>
      <w:bookmarkEnd w:id="1005"/>
    </w:p>
    <w:p w14:paraId="6102774A">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同类工程类比分析，遭遇洪水流量条件，壅水最大值约1.1cm，壅水影响（大于0.3cm）主要集中在趸船上游100m，下游40m范围内；遭遇多年平均流量洪水条件，壅水最大值约0.9cm，壅水影响（大于0.3cm）主要集中在趸船上游90m，下游30m范围内。工程下游水位降低，遭遇洪水流量条件，最大降低值约4.1cm，降水影响范围（大于1cm）主要集中在趸船上游110m范围内；遭遇多年平均流量洪水条件，最大降低值约3.7cm，降水影响范围（大于1cm）主要集中在趸船上游100m范围内。</w:t>
      </w:r>
    </w:p>
    <w:p w14:paraId="577E33F4">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现状地形基础上，遭遇洪水流量条件，工程后流速最大减小约0.1m/s，流速增大有限，最大增加值约0.02m/s，流速变化主要影响范围局限于趸船上游70m，下游40m范围内；多年平均流量条件时，工程后流速最大减小约0.08m/s，流速增大有限，最大增加值约0.005m/s，流速变化主要影响范围局限于趸船上游120m，下游60m范围内。</w:t>
      </w:r>
    </w:p>
    <w:p w14:paraId="50FDC030">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类比分析结果表明，工程对河道水位流场的影响均不大、影响范围有限，对河道断面流速分布及河道主流线无影响。因此，工程兴建后，不会对本河段行洪带来不利影响。</w:t>
      </w:r>
    </w:p>
    <w:bookmarkEnd w:id="993"/>
    <w:p w14:paraId="20580D6F">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lang w:val="en-US" w:eastAsia="zh-CN"/>
        </w:rPr>
      </w:pPr>
      <w:bookmarkStart w:id="1006" w:name="_Toc5421"/>
      <w:bookmarkStart w:id="1007" w:name="_Toc15337"/>
      <w:bookmarkStart w:id="1008" w:name="_Toc20269"/>
      <w:bookmarkStart w:id="1009" w:name="_Toc30160"/>
      <w:bookmarkStart w:id="1010" w:name="_Toc18436_WPSOffice_Level2"/>
      <w:bookmarkStart w:id="1011" w:name="_Toc15152"/>
      <w:bookmarkStart w:id="1012" w:name="_Toc9300"/>
      <w:bookmarkStart w:id="1013" w:name="_Toc24952_WPSOffice_Level2"/>
      <w:bookmarkStart w:id="1014" w:name="_Toc21544_WPSOffice_Level2"/>
      <w:bookmarkStart w:id="1015" w:name="_Toc16721_WPSOffice_Level2"/>
      <w:bookmarkStart w:id="1016" w:name="_Toc25176_WPSOffice_Level2"/>
      <w:bookmarkStart w:id="1017" w:name="_Toc2866"/>
      <w:bookmarkStart w:id="1018" w:name="_Toc19602"/>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.4项目</w:t>
      </w:r>
      <w:bookmarkEnd w:id="1006"/>
      <w:bookmarkEnd w:id="1007"/>
      <w:bookmarkEnd w:id="1008"/>
      <w:bookmarkEnd w:id="1009"/>
      <w:bookmarkEnd w:id="1010"/>
      <w:bookmarkEnd w:id="1011"/>
      <w:bookmarkEnd w:id="1012"/>
      <w:bookmarkEnd w:id="1013"/>
      <w:bookmarkEnd w:id="1014"/>
      <w:bookmarkEnd w:id="1015"/>
      <w:bookmarkEnd w:id="1016"/>
      <w:bookmarkStart w:id="1019" w:name="_Toc331278445"/>
      <w:r>
        <w:rPr>
          <w:rFonts w:hint="eastAsia" w:cs="Times New Roman"/>
          <w:color w:val="auto"/>
          <w:sz w:val="28"/>
          <w:szCs w:val="28"/>
          <w:lang w:val="en-US" w:eastAsia="zh-CN"/>
        </w:rPr>
        <w:t>与相关规划法律相符性</w:t>
      </w:r>
      <w:bookmarkEnd w:id="1017"/>
      <w:bookmarkEnd w:id="1018"/>
    </w:p>
    <w:bookmarkEnd w:id="1019"/>
    <w:p w14:paraId="296A37B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bookmarkStart w:id="1020" w:name="_Toc619_WPSOffice_Level3"/>
      <w:bookmarkStart w:id="1021" w:name="_Toc10544"/>
      <w:bookmarkStart w:id="1022" w:name="_Toc257532635"/>
      <w:bookmarkStart w:id="1023" w:name="_Toc11140_WPSOffice_Level3"/>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产业政策相符性分析</w:t>
      </w:r>
    </w:p>
    <w:p w14:paraId="6315E317">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为渔政综合执法码头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符合《产业结构调整指导目录（20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中鼓励类</w:t>
      </w:r>
      <w:r>
        <w:rPr>
          <w:rFonts w:hint="eastAsia" w:ascii="Times New Roman" w:hAnsi="Times New Roman" w:eastAsia="宋体" w:cs="Times New Roman"/>
          <w:color w:val="auto"/>
          <w:sz w:val="24"/>
          <w:szCs w:val="24"/>
          <w:lang w:eastAsia="zh-CN"/>
        </w:rPr>
        <w:t>“一、农林牧渔业业”</w:t>
      </w:r>
      <w:r>
        <w:rPr>
          <w:rFonts w:hint="default" w:ascii="Times New Roman" w:hAnsi="Times New Roman" w:eastAsia="宋体" w:cs="Times New Roman"/>
          <w:color w:val="auto"/>
          <w:sz w:val="24"/>
          <w:szCs w:val="24"/>
          <w:lang w:eastAsia="zh-CN"/>
        </w:rPr>
        <w:t>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14.现代畜牧业及水产生态健康养殖：畜禽标准化规模养殖技术开发与应用，农牧渔产品绿色生产技术开发与应用，畜禽养殖废弃物处理和资源化利用（畜禽粪污肥料化、能源化、基料化和垫料化利用，病死畜禽无害化处理），</w:t>
      </w:r>
      <w:r>
        <w:rPr>
          <w:rFonts w:hint="eastAsia" w:ascii="Times New Roman" w:hAnsi="Times New Roman" w:eastAsia="宋体" w:cs="Times New Roman"/>
          <w:b/>
          <w:bCs/>
          <w:color w:val="auto"/>
          <w:sz w:val="24"/>
          <w:szCs w:val="24"/>
          <w:lang w:val="en-US" w:eastAsia="zh-CN"/>
        </w:rPr>
        <w:t>远洋渔业、人工鱼礁、渔政渔港工程</w:t>
      </w:r>
      <w:r>
        <w:rPr>
          <w:rFonts w:hint="eastAsia" w:ascii="Times New Roman" w:hAnsi="Times New Roman" w:eastAsia="宋体" w:cs="Times New Roman"/>
          <w:color w:val="auto"/>
          <w:sz w:val="24"/>
          <w:szCs w:val="24"/>
          <w:lang w:val="en-US" w:eastAsia="zh-CN"/>
        </w:rPr>
        <w:t>、绿色环保功能性渔具示范与应用，新能源渔船，淡水与海水健康养殖及产品深加工，淡水与海水渔业资源增殖与保护，海洋牧场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因此，项目符合国家产业政策。</w:t>
      </w:r>
    </w:p>
    <w:p w14:paraId="4C1F60CC">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default" w:cs="Times New Roman"/>
          <w:color w:val="auto"/>
          <w:sz w:val="24"/>
          <w:szCs w:val="24"/>
          <w:lang w:eastAsia="zh-CN"/>
        </w:rPr>
        <w:t>相关规划符合性分析</w:t>
      </w:r>
    </w:p>
    <w:p w14:paraId="2D0D4864">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本项目符合《长江干线港口布局及港口岸线保护利用规划》</w:t>
      </w:r>
      <w:r>
        <w:rPr>
          <w:rFonts w:hint="eastAsia" w:cs="Times New Roman"/>
          <w:color w:val="auto"/>
          <w:lang w:val="en-US" w:eastAsia="zh-CN"/>
        </w:rPr>
        <w:t>、</w:t>
      </w:r>
      <w:r>
        <w:rPr>
          <w:rFonts w:hint="default" w:ascii="Times New Roman" w:hAnsi="Times New Roman" w:eastAsia="宋体" w:cs="Times New Roman"/>
          <w:color w:val="auto"/>
          <w:lang w:val="en-US" w:eastAsia="zh-CN"/>
        </w:rPr>
        <w:t>《长江岸线保护和开发利用总体规划》、《长江经济带发展负面清单指南（试行，2022年版）》、《湖南省长江经济带发展负面清单实施细则（试行，2022年版）》、《岳阳港总体规划（2035）》、《岳阳市城市总体规划（2008- 2030）》等规划要求。</w:t>
      </w:r>
    </w:p>
    <w:p w14:paraId="0E67EC44">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hint="eastAsia" w:cs="Times New Roman"/>
          <w:color w:val="auto"/>
          <w:sz w:val="24"/>
          <w:szCs w:val="24"/>
          <w:lang w:val="en-US" w:eastAsia="zh-CN"/>
        </w:rPr>
        <w:t>与生态环境分区管控的相符性分析</w:t>
      </w:r>
    </w:p>
    <w:p w14:paraId="1033A022">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本项目不在生态保护红线范围内，项目的建设符合《岳阳市生态环境局关于发布岳阳市生态环境分区管控动态更新成果（2023年版）的相关要求。</w:t>
      </w:r>
    </w:p>
    <w:p w14:paraId="7F9565A5">
      <w:pPr>
        <w:pStyle w:val="38"/>
        <w:pageBreakBefore w:val="0"/>
        <w:widowControl w:val="0"/>
        <w:kinsoku/>
        <w:wordWrap/>
        <w:overflowPunct/>
        <w:topLinePunct w:val="0"/>
        <w:autoSpaceDE/>
        <w:autoSpaceDN/>
        <w:bidi w:val="0"/>
        <w:adjustRightInd/>
        <w:snapToGrid/>
        <w:spacing w:line="360" w:lineRule="auto"/>
        <w:ind w:firstLine="480"/>
        <w:textAlignment w:val="auto"/>
        <w:rPr>
          <w:rFonts w:hint="default" w:cs="Times New Roman"/>
          <w:color w:val="auto"/>
          <w:sz w:val="24"/>
          <w:szCs w:val="24"/>
          <w:lang w:val="en-US" w:eastAsia="zh-CN"/>
        </w:rPr>
      </w:pPr>
      <w:r>
        <w:rPr>
          <w:rFonts w:hint="eastAsia" w:cs="Times New Roman"/>
          <w:color w:val="auto"/>
          <w:sz w:val="24"/>
          <w:szCs w:val="24"/>
          <w:lang w:val="en-US" w:eastAsia="zh-CN"/>
        </w:rPr>
        <w:t>（4）</w:t>
      </w:r>
      <w:r>
        <w:rPr>
          <w:rFonts w:hint="default" w:cs="Times New Roman"/>
          <w:color w:val="auto"/>
          <w:sz w:val="24"/>
          <w:szCs w:val="24"/>
          <w:lang w:val="en-US" w:eastAsia="zh-CN"/>
        </w:rPr>
        <w:t>与</w:t>
      </w:r>
      <w:r>
        <w:rPr>
          <w:rFonts w:hint="eastAsia" w:cs="Times New Roman"/>
          <w:color w:val="auto"/>
          <w:sz w:val="24"/>
          <w:szCs w:val="24"/>
          <w:lang w:val="en-US" w:eastAsia="zh-CN"/>
        </w:rPr>
        <w:t>相关法律法规</w:t>
      </w:r>
      <w:r>
        <w:rPr>
          <w:rFonts w:hint="default" w:cs="Times New Roman"/>
          <w:color w:val="auto"/>
          <w:sz w:val="24"/>
          <w:szCs w:val="24"/>
          <w:lang w:val="en-US" w:eastAsia="zh-CN"/>
        </w:rPr>
        <w:t>符合性分析</w:t>
      </w:r>
    </w:p>
    <w:p w14:paraId="0371B2F4">
      <w:pPr>
        <w:pStyle w:val="38"/>
        <w:ind w:firstLine="480"/>
        <w:outlineLvl w:val="9"/>
        <w:rPr>
          <w:rFonts w:hint="default" w:ascii="Times New Roman" w:hAnsi="Times New Roman" w:eastAsia="宋体" w:cs="Times New Roman"/>
          <w:color w:val="auto"/>
          <w:sz w:val="24"/>
          <w:szCs w:val="24"/>
          <w:lang w:val="en-US" w:eastAsia="zh-CN"/>
        </w:rPr>
      </w:pPr>
      <w:r>
        <w:rPr>
          <w:rFonts w:hint="eastAsia" w:cs="Times New Roman"/>
          <w:color w:val="auto"/>
          <w:lang w:val="en-US" w:eastAsia="zh-CN"/>
        </w:rPr>
        <w:t>在充分论证工程对保护区的影响和采取必要的生态保护措施后，项目的建设与《中华人民共和国自然保护管理条例》不冲突，符合《水产种质资源保护区管理暂行办法》（2016年修订）、《长江水生生物保护管理规定》（2021年第5号）等法律相关规定。</w:t>
      </w:r>
    </w:p>
    <w:p w14:paraId="0DE01F2C">
      <w:pPr>
        <w:pStyle w:val="38"/>
        <w:ind w:firstLine="480"/>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项目</w:t>
      </w:r>
      <w:r>
        <w:rPr>
          <w:rFonts w:hint="default" w:ascii="Times New Roman" w:hAnsi="Times New Roman" w:eastAsia="宋体" w:cs="Times New Roman"/>
          <w:color w:val="auto"/>
          <w:lang w:val="en-US" w:eastAsia="zh-CN"/>
        </w:rPr>
        <w:t>选址可行性</w:t>
      </w:r>
    </w:p>
    <w:p w14:paraId="01EBC0A9">
      <w:pPr>
        <w:pStyle w:val="38"/>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本项目符合国家、湖南省产业政策相关要求，选址、范围也符合国家及省、自然保护区等相关法律法规要求，再通过严格控制施工范围及强度，优化工艺，加强渔政及环保监管，认真落实生态专题报告里提出的生态恢复措施，工程不会对该区段的生态环境、资源及景观等造成影响，从生态保护角度是选址、选线是合理的。</w:t>
      </w:r>
    </w:p>
    <w:bookmarkEnd w:id="1020"/>
    <w:bookmarkEnd w:id="1021"/>
    <w:bookmarkEnd w:id="1022"/>
    <w:bookmarkEnd w:id="1023"/>
    <w:p w14:paraId="4C771F9B">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1024" w:name="_Toc25136_WPSOffice_Level2"/>
      <w:bookmarkStart w:id="1025" w:name="_Toc18400"/>
      <w:bookmarkStart w:id="1026" w:name="_Toc11396_WPSOffice_Level2"/>
      <w:bookmarkStart w:id="1027" w:name="_Toc3184"/>
      <w:bookmarkStart w:id="1028" w:name="_Toc5674"/>
      <w:bookmarkStart w:id="1029" w:name="_Toc474_WPSOffice_Level2"/>
      <w:bookmarkStart w:id="1030" w:name="_Toc30410_WPSOffice_Level2"/>
      <w:bookmarkStart w:id="1031" w:name="_Toc24137"/>
      <w:bookmarkStart w:id="1032" w:name="_Toc4254"/>
      <w:bookmarkStart w:id="1033" w:name="_Toc27055"/>
      <w:bookmarkStart w:id="1034" w:name="_Toc8291"/>
      <w:bookmarkStart w:id="1035" w:name="_Toc6419_WPSOffice_Level2"/>
      <w:bookmarkStart w:id="1036" w:name="_Toc19630"/>
      <w:bookmarkStart w:id="1037" w:name="_Toc23623"/>
      <w:bookmarkStart w:id="1038" w:name="_Toc11562_WPSOffice_Level2"/>
      <w:bookmarkStart w:id="1039" w:name="_Toc20095_WPSOffice_Level2"/>
      <w:bookmarkStart w:id="1040" w:name="_Toc28420_WPSOffice_Level2"/>
      <w:bookmarkStart w:id="1041" w:name="_Toc29830_WPSOffice_Level2"/>
      <w:bookmarkStart w:id="1042" w:name="_Toc19239"/>
      <w:bookmarkStart w:id="1043" w:name="_Toc19674"/>
      <w:bookmarkStart w:id="1044" w:name="_Toc17000_WPSOffice_Level2"/>
      <w:bookmarkStart w:id="1045" w:name="_Toc22010"/>
      <w:bookmarkStart w:id="1046" w:name="_Toc331278447"/>
      <w:bookmarkStart w:id="1047" w:name="_Toc252173684"/>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.5总结论</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1C221042">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本项目的建设符合当前国家产业政策，与区域相关规划的要求也不冲突；工程是在现有码头的基础上进行提质改造</w:t>
      </w:r>
      <w:r>
        <w:rPr>
          <w:rFonts w:hint="default" w:ascii="Times New Roman" w:hAnsi="Times New Roman" w:eastAsia="宋体" w:cs="Times New Roman"/>
          <w:color w:val="auto"/>
          <w:sz w:val="24"/>
          <w:szCs w:val="24"/>
          <w:lang w:eastAsia="zh-CN"/>
        </w:rPr>
        <w:t>，选址合理</w:t>
      </w:r>
      <w:r>
        <w:rPr>
          <w:rFonts w:hint="default" w:ascii="Times New Roman" w:hAnsi="Times New Roman" w:eastAsia="宋体" w:cs="Times New Roman"/>
          <w:color w:val="auto"/>
          <w:sz w:val="24"/>
          <w:szCs w:val="24"/>
        </w:rPr>
        <w:t>；在落实报告中的</w:t>
      </w:r>
      <w:r>
        <w:rPr>
          <w:rFonts w:hint="default" w:ascii="Times New Roman" w:hAnsi="Times New Roman" w:eastAsia="宋体" w:cs="Times New Roman"/>
          <w:color w:val="auto"/>
          <w:sz w:val="24"/>
          <w:szCs w:val="24"/>
          <w:lang w:eastAsia="zh-CN"/>
        </w:rPr>
        <w:t>治理</w:t>
      </w:r>
      <w:r>
        <w:rPr>
          <w:rFonts w:hint="default" w:ascii="Times New Roman" w:hAnsi="Times New Roman" w:eastAsia="宋体" w:cs="Times New Roman"/>
          <w:color w:val="auto"/>
          <w:sz w:val="24"/>
          <w:szCs w:val="24"/>
        </w:rPr>
        <w:t>措施后，项目</w:t>
      </w:r>
      <w:r>
        <w:rPr>
          <w:rFonts w:hint="default" w:ascii="Times New Roman" w:hAnsi="Times New Roman" w:eastAsia="宋体" w:cs="Times New Roman"/>
          <w:color w:val="auto"/>
          <w:sz w:val="24"/>
          <w:szCs w:val="24"/>
          <w:lang w:eastAsia="zh-CN"/>
        </w:rPr>
        <w:t>运营</w:t>
      </w:r>
      <w:r>
        <w:rPr>
          <w:rFonts w:hint="default" w:ascii="Times New Roman" w:hAnsi="Times New Roman" w:eastAsia="宋体" w:cs="Times New Roman"/>
          <w:color w:val="auto"/>
          <w:sz w:val="24"/>
          <w:szCs w:val="24"/>
        </w:rPr>
        <w:t>过程中产生的各种污染物均可实现达标排放，其</w:t>
      </w:r>
      <w:r>
        <w:rPr>
          <w:rFonts w:hint="default" w:ascii="Times New Roman" w:hAnsi="Times New Roman" w:eastAsia="宋体" w:cs="Times New Roman"/>
          <w:color w:val="auto"/>
          <w:sz w:val="24"/>
          <w:szCs w:val="24"/>
          <w:lang w:bidi="ar"/>
        </w:rPr>
        <w:t>项目环境影响可以接受</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bidi="ar"/>
        </w:rPr>
        <w:t>通过对本项目风险识别，项目环境风险影响可接受</w:t>
      </w:r>
      <w:r>
        <w:rPr>
          <w:rFonts w:hint="default" w:ascii="Times New Roman" w:hAnsi="Times New Roman" w:eastAsia="宋体" w:cs="Times New Roman"/>
          <w:color w:val="auto"/>
          <w:sz w:val="24"/>
          <w:szCs w:val="24"/>
        </w:rPr>
        <w:t>。</w:t>
      </w:r>
    </w:p>
    <w:p w14:paraId="4465795D">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分析，本评价认为，只要建设单位能认真贯彻执行国家和地方的环境保护法规政策，加强环境管理，认真落实各项环保措施，确保项目所排污染物经处理后达标排放的前提下，本项目建设产生的环境影响是可以得到有效控制，对环境的影响较小，从环境保护的角度考虑，本项目建设可行。</w:t>
      </w:r>
    </w:p>
    <w:p w14:paraId="6C8E8FF7">
      <w:pPr>
        <w:pStyle w:val="8"/>
        <w:pageBreakBefore w:val="0"/>
        <w:kinsoku/>
        <w:wordWrap/>
        <w:overflowPunct/>
        <w:topLinePunct w:val="0"/>
        <w:autoSpaceDE/>
        <w:autoSpaceDN/>
        <w:bidi w:val="0"/>
        <w:adjustRightInd/>
        <w:snapToGrid/>
        <w:spacing w:before="0" w:after="0" w:line="360" w:lineRule="auto"/>
        <w:ind w:left="576" w:hanging="576"/>
        <w:textAlignment w:val="auto"/>
        <w:rPr>
          <w:rFonts w:hint="default" w:ascii="Times New Roman" w:hAnsi="Times New Roman" w:eastAsia="宋体" w:cs="Times New Roman"/>
          <w:color w:val="auto"/>
          <w:sz w:val="28"/>
          <w:szCs w:val="28"/>
        </w:rPr>
      </w:pPr>
      <w:bookmarkStart w:id="1048" w:name="_Toc5785"/>
      <w:bookmarkStart w:id="1049" w:name="_Toc27377"/>
      <w:bookmarkStart w:id="1050" w:name="_Toc21193"/>
      <w:bookmarkStart w:id="1051" w:name="_Toc31877"/>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rPr>
        <w:t>.6建议</w:t>
      </w:r>
      <w:bookmarkEnd w:id="1037"/>
      <w:bookmarkEnd w:id="1038"/>
      <w:bookmarkEnd w:id="1039"/>
      <w:bookmarkEnd w:id="1040"/>
      <w:bookmarkEnd w:id="1041"/>
      <w:bookmarkEnd w:id="1042"/>
      <w:bookmarkEnd w:id="1043"/>
      <w:bookmarkEnd w:id="1044"/>
      <w:bookmarkEnd w:id="1045"/>
      <w:bookmarkEnd w:id="1048"/>
      <w:bookmarkEnd w:id="1049"/>
      <w:bookmarkEnd w:id="1050"/>
      <w:bookmarkEnd w:id="1051"/>
    </w:p>
    <w:bookmarkEnd w:id="1046"/>
    <w:bookmarkEnd w:id="1047"/>
    <w:p w14:paraId="31DAE2A3">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（1）重视和加强环境风险管理和防范，杜绝各类风险事故发生；</w:t>
      </w:r>
    </w:p>
    <w:p w14:paraId="32ABFD10">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（2）加强营运期的环境管理和监理，按当地环保部门及本报告书要求，设立必要的环境管理职能部门，并完成必要的日常管理工作。</w:t>
      </w:r>
      <w:r>
        <w:rPr>
          <w:rFonts w:hint="default" w:ascii="Times New Roman" w:hAnsi="Times New Roman" w:eastAsia="宋体" w:cs="Times New Roman"/>
          <w:color w:val="auto"/>
          <w:sz w:val="24"/>
          <w:szCs w:val="24"/>
        </w:rPr>
        <w:t>。</w:t>
      </w:r>
    </w:p>
    <w:p w14:paraId="183A9974">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本项目在投入运行前，必须按国家有关规定建立健全安全生产管理的各项规章制度及岗位操作规程，建立健全安全管理体系，制定相应的预防控制措施和应急救援预案。企业负责人、安全管理员工、特种作业员工做到持证上岗，其他从业员工必须按国家规定进行上岗前安全培训。</w:t>
      </w:r>
    </w:p>
    <w:p w14:paraId="299DF681">
      <w:pPr>
        <w:pStyle w:val="38"/>
        <w:pageBreakBefore w:val="0"/>
        <w:kinsoku/>
        <w:wordWrap/>
        <w:overflowPunct/>
        <w:topLinePunct w:val="0"/>
        <w:bidi w:val="0"/>
        <w:snapToGrid/>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（4）加强</w:t>
      </w:r>
      <w:r>
        <w:rPr>
          <w:rFonts w:hint="default" w:ascii="Times New Roman" w:hAnsi="Times New Roman" w:eastAsia="宋体" w:cs="Times New Roman"/>
          <w:color w:val="auto"/>
          <w:sz w:val="24"/>
          <w:szCs w:val="24"/>
          <w:lang w:eastAsia="zh-CN"/>
        </w:rPr>
        <w:t>员工</w:t>
      </w:r>
      <w:r>
        <w:rPr>
          <w:rFonts w:hint="default" w:ascii="Times New Roman" w:hAnsi="Times New Roman" w:eastAsia="宋体" w:cs="Times New Roman"/>
          <w:color w:val="auto"/>
          <w:sz w:val="24"/>
          <w:szCs w:val="24"/>
        </w:rPr>
        <w:t>环境保护的宣传教育工作，提高全体员工的环保意识，做到环境保护，人人有责。</w:t>
      </w:r>
    </w:p>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4E0A8">
    <w:pPr>
      <w:pStyle w:val="2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B4B8E">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2B4B8E">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8FBBD">
    <w:pPr>
      <w:spacing w:line="188" w:lineRule="auto"/>
      <w:ind w:left="4606"/>
      <w:rPr>
        <w:rFonts w:ascii="仿宋" w:hAnsi="仿宋" w:eastAsia="仿宋" w:cs="仿宋"/>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19B166">
                          <w:pPr>
                            <w:pStyle w:val="21"/>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IvnBsoBAACd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rylx3OLIzz9/nH/9Of/+&#10;TrITJeoD1Jh5HzA3De/8gOmzH9CZmQ8q2vxFTgTjKPDpIrAcEhH50Wq5WlUYEhibL4jPHp6HCOm9&#10;9JZko6ERJ1iE5cePkMbUOSVXc/5OG1OmaNw/DsTMHpZ7H3vMVhp2w0Ro59sT8ulx+A11uOuUmA8O&#10;tc17MhtxNnazcQhR77uySLkehNtDwiZKb7nCCDsVxqkVdtOG5bV4fC9ZD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IvnBsoBAACdAwAADgAAAAAAAAABACAAAAAeAQAAZHJzL2Uyb0Rv&#10;Yy54bWxQSwUGAAAAAAYABgBZAQAAWgUAAAAA&#10;">
              <v:fill on="f" focussize="0,0"/>
              <v:stroke on="f"/>
              <v:imagedata o:title=""/>
              <o:lock v:ext="edit" aspectratio="f"/>
              <v:textbox inset="0mm,0mm,0mm,0mm" style="mso-fit-shape-to-text:t;">
                <w:txbxContent>
                  <w:p w14:paraId="3319B166">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857B6">
    <w:pPr>
      <w:widowControl w:val="0"/>
      <w:spacing w:line="1" w:lineRule="exact"/>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09855" cy="91440"/>
              <wp:effectExtent l="0" t="0" r="0" b="0"/>
              <wp:wrapNone/>
              <wp:docPr id="12" name="Shape 12"/>
              <wp:cNvGraphicFramePr/>
              <a:graphic xmlns:a="http://schemas.openxmlformats.org/drawingml/2006/main">
                <a:graphicData uri="http://schemas.microsoft.com/office/word/2010/wordprocessingShape">
                  <wps:wsp>
                    <wps:cNvSpPr txBox="1"/>
                    <wps:spPr>
                      <a:xfrm>
                        <a:off x="0" y="0"/>
                        <a:ext cx="109855" cy="91440"/>
                      </a:xfrm>
                      <a:prstGeom prst="rect">
                        <a:avLst/>
                      </a:prstGeom>
                      <a:noFill/>
                    </wps:spPr>
                    <wps:txbx>
                      <w:txbxContent>
                        <w:p w14:paraId="6DEF38AD">
                          <w:pPr>
                            <w:pStyle w:val="48"/>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12" o:spid="_x0000_s1026" o:spt="202" type="#_x0000_t202" style="position:absolute;left:0pt;margin-top:0pt;height:7.2pt;width:8.65pt;mso-position-horizontal:center;mso-position-horizontal-relative:margin;mso-wrap-style:none;z-index:251659264;mso-width-relative:page;mso-height-relative:page;" filled="f" stroked="f" coordsize="21600,21600" o:gfxdata="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J2UL0QAAAAMBAAAP&#10;AAAAAAAAAAEAIAAAACIAAABkcnMvZG93bnJldi54bWxQSwECFAAUAAAACACHTuJAcnOdTK0BAABw&#10;AwAADgAAAAAAAAABACAAAAAgAQAAZHJzL2Uyb0RvYy54bWxQSwUGAAAAAAYABgBZAQAAPwUAAAAA&#10;">
              <v:fill on="f" focussize="0,0"/>
              <v:stroke on="f"/>
              <v:imagedata o:title=""/>
              <o:lock v:ext="edit" aspectratio="f"/>
              <v:textbox inset="0mm,0mm,0mm,0mm" style="mso-fit-shape-to-text:t;">
                <w:txbxContent>
                  <w:p w14:paraId="6DEF38AD">
                    <w:pPr>
                      <w:pStyle w:val="48"/>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0CD3">
    <w:pPr>
      <w:widowControl w:val="0"/>
      <w:spacing w:line="1" w:lineRule="exact"/>
    </w:pPr>
    <w: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09855" cy="91440"/>
              <wp:effectExtent l="0" t="0" r="0" b="0"/>
              <wp:wrapNone/>
              <wp:docPr id="127" name="Shape 12"/>
              <wp:cNvGraphicFramePr/>
              <a:graphic xmlns:a="http://schemas.openxmlformats.org/drawingml/2006/main">
                <a:graphicData uri="http://schemas.microsoft.com/office/word/2010/wordprocessingShape">
                  <wps:wsp>
                    <wps:cNvSpPr txBox="1"/>
                    <wps:spPr>
                      <a:xfrm>
                        <a:off x="0" y="0"/>
                        <a:ext cx="109855" cy="91440"/>
                      </a:xfrm>
                      <a:prstGeom prst="rect">
                        <a:avLst/>
                      </a:prstGeom>
                      <a:noFill/>
                    </wps:spPr>
                    <wps:txbx>
                      <w:txbxContent>
                        <w:p w14:paraId="56638DAC">
                          <w:pPr>
                            <w:pStyle w:val="48"/>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12" o:spid="_x0000_s1026" o:spt="202" type="#_x0000_t202" style="position:absolute;left:0pt;margin-top:0pt;height:7.2pt;width:8.65pt;mso-position-horizontal:center;mso-position-horizontal-relative:margin;mso-wrap-style:none;z-index:251666432;mso-width-relative:page;mso-height-relative:page;" filled="f" stroked="f" coordsize="21600,21600" o:gfxdata="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SdlC9EAAAADAQAA&#10;DwAAAAAAAAABACAAAAAiAAAAZHJzL2Rvd25yZXYueG1sUEsBAhQAFAAAAAgAh07iQOz5t8muAQAA&#10;cQMAAA4AAAAAAAAAAQAgAAAAIAEAAGRycy9lMm9Eb2MueG1sUEsFBgAAAAAGAAYAWQEAAEAFAAAA&#10;AA==&#10;">
              <v:fill on="f" focussize="0,0"/>
              <v:stroke on="f"/>
              <v:imagedata o:title=""/>
              <o:lock v:ext="edit" aspectratio="f"/>
              <v:textbox inset="0mm,0mm,0mm,0mm" style="mso-fit-shape-to-text:t;">
                <w:txbxContent>
                  <w:p w14:paraId="56638DAC">
                    <w:pPr>
                      <w:pStyle w:val="48"/>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0BA58"/>
    <w:multiLevelType w:val="singleLevel"/>
    <w:tmpl w:val="ABD0BA58"/>
    <w:lvl w:ilvl="0" w:tentative="0">
      <w:start w:val="3"/>
      <w:numFmt w:val="decimal"/>
      <w:suff w:val="nothing"/>
      <w:lvlText w:val="（%1）"/>
      <w:lvlJc w:val="left"/>
    </w:lvl>
  </w:abstractNum>
  <w:abstractNum w:abstractNumId="1">
    <w:nsid w:val="15DEB946"/>
    <w:multiLevelType w:val="singleLevel"/>
    <w:tmpl w:val="15DEB946"/>
    <w:lvl w:ilvl="0" w:tentative="0">
      <w:start w:val="1"/>
      <w:numFmt w:val="decimal"/>
      <w:suff w:val="nothing"/>
      <w:lvlText w:val="%1、"/>
      <w:lvlJc w:val="left"/>
      <w:pPr>
        <w:ind w:left="-80"/>
      </w:pPr>
    </w:lvl>
  </w:abstractNum>
  <w:abstractNum w:abstractNumId="2">
    <w:nsid w:val="3AB740B7"/>
    <w:multiLevelType w:val="multilevel"/>
    <w:tmpl w:val="3AB740B7"/>
    <w:lvl w:ilvl="0" w:tentative="0">
      <w:start w:val="1"/>
      <w:numFmt w:val="decimal"/>
      <w:isLgl/>
      <w:suff w:val="nothing"/>
      <w:lvlText w:val="第%1章  "/>
      <w:lvlJc w:val="left"/>
      <w:pPr>
        <w:tabs>
          <w:tab w:val="left" w:pos="0"/>
        </w:tabs>
        <w:ind w:left="0" w:firstLine="0"/>
      </w:pPr>
      <w:rPr>
        <w:rFonts w:hint="default" w:ascii="宋体" w:hAnsi="宋体" w:eastAsia="黑体" w:cs="黑体"/>
        <w:sz w:val="32"/>
        <w:szCs w:val="32"/>
      </w:rPr>
    </w:lvl>
    <w:lvl w:ilvl="1" w:tentative="0">
      <w:start w:val="1"/>
      <w:numFmt w:val="decimal"/>
      <w:suff w:val="nothing"/>
      <w:lvlText w:val="%1.%2 "/>
      <w:lvlJc w:val="left"/>
      <w:pPr>
        <w:tabs>
          <w:tab w:val="left" w:pos="0"/>
        </w:tabs>
        <w:ind w:left="0" w:firstLine="0"/>
      </w:pPr>
      <w:rPr>
        <w:rFonts w:hint="default" w:ascii="宋体" w:hAnsi="宋体" w:eastAsia="宋体" w:cs="宋体"/>
      </w:rPr>
    </w:lvl>
    <w:lvl w:ilvl="2" w:tentative="0">
      <w:start w:val="1"/>
      <w:numFmt w:val="decimal"/>
      <w:suff w:val="nothing"/>
      <w:lvlText w:val="%1.%2.%3 "/>
      <w:lvlJc w:val="left"/>
      <w:pPr>
        <w:ind w:left="80" w:firstLine="400"/>
      </w:pPr>
      <w:rPr>
        <w:rFonts w:hint="default" w:ascii="Times New Roman" w:hAnsi="Times New Roman" w:eastAsia="宋体" w:cs="Times New Roman"/>
      </w:rPr>
    </w:lvl>
    <w:lvl w:ilvl="3" w:tentative="0">
      <w:start w:val="1"/>
      <w:numFmt w:val="decimal"/>
      <w:suff w:val="nothing"/>
      <w:lvlText w:val="%1.%2.%3.%4 "/>
      <w:lvlJc w:val="left"/>
      <w:pPr>
        <w:ind w:left="0" w:firstLine="402"/>
      </w:pPr>
      <w:rPr>
        <w:rFonts w:hint="default" w:ascii="宋体" w:hAnsi="宋体" w:eastAsia="宋体" w:cs="宋体"/>
      </w:rPr>
    </w:lvl>
    <w:lvl w:ilvl="4" w:tentative="0">
      <w:start w:val="1"/>
      <w:numFmt w:val="decimal"/>
      <w:lvlRestart w:val="2"/>
      <w:suff w:val="nothing"/>
      <w:lvlText w:val="表%1.%2-%5 "/>
      <w:lvlJc w:val="left"/>
      <w:pPr>
        <w:tabs>
          <w:tab w:val="left" w:pos="0"/>
        </w:tabs>
        <w:ind w:left="2718" w:firstLine="402"/>
      </w:pPr>
      <w:rPr>
        <w:rFonts w:hint="default" w:ascii="宋体" w:hAnsi="宋体" w:eastAsia="宋体" w:cs="宋体"/>
      </w:rPr>
    </w:lvl>
    <w:lvl w:ilvl="5" w:tentative="0">
      <w:start w:val="1"/>
      <w:numFmt w:val="decimal"/>
      <w:lvlRestart w:val="2"/>
      <w:pStyle w:val="61"/>
      <w:suff w:val="nothing"/>
      <w:lvlText w:val="图%1.%2-%6"/>
      <w:lvlJc w:val="left"/>
      <w:pPr>
        <w:tabs>
          <w:tab w:val="left" w:pos="0"/>
        </w:tabs>
        <w:ind w:left="4638"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4C300254"/>
    <w:multiLevelType w:val="multilevel"/>
    <w:tmpl w:val="4C300254"/>
    <w:lvl w:ilvl="0" w:tentative="0">
      <w:start w:val="1"/>
      <w:numFmt w:val="decimal"/>
      <w:pStyle w:val="72"/>
      <w:lvlText w:val="表1-%1  "/>
      <w:lvlJc w:val="center"/>
      <w:pPr>
        <w:ind w:left="2546" w:hanging="420"/>
      </w:pPr>
      <w:rPr>
        <w:b/>
        <w:bCs w:val="0"/>
        <w:i w:val="0"/>
        <w:iCs w:val="0"/>
        <w:caps w:val="0"/>
        <w:smallCaps w:val="0"/>
        <w:strike w:val="0"/>
        <w:dstrike w:val="0"/>
        <w:vanish w:val="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lvlText w:val="%2、"/>
      <w:lvlJc w:val="left"/>
      <w:pPr>
        <w:ind w:left="795" w:hanging="3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FB65012"/>
    <w:multiLevelType w:val="multilevel"/>
    <w:tmpl w:val="7FB65012"/>
    <w:lvl w:ilvl="0" w:tentative="0">
      <w:start w:val="1"/>
      <w:numFmt w:val="decimal"/>
      <w:pStyle w:val="52"/>
      <w:lvlText w:val="表2-%1  "/>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OTg4NGEzNzg3YjM4Y2ViYjFjZDgzMjc0ZmQ2NGMifQ=="/>
  </w:docVars>
  <w:rsids>
    <w:rsidRoot w:val="00000000"/>
    <w:rsid w:val="00624250"/>
    <w:rsid w:val="00B406C6"/>
    <w:rsid w:val="01CE2C0A"/>
    <w:rsid w:val="02497414"/>
    <w:rsid w:val="026659F0"/>
    <w:rsid w:val="02852462"/>
    <w:rsid w:val="02E334E5"/>
    <w:rsid w:val="041A146A"/>
    <w:rsid w:val="043462C4"/>
    <w:rsid w:val="047A376E"/>
    <w:rsid w:val="04974587"/>
    <w:rsid w:val="051554AC"/>
    <w:rsid w:val="053A13B6"/>
    <w:rsid w:val="058645FB"/>
    <w:rsid w:val="05D47A6B"/>
    <w:rsid w:val="067556FF"/>
    <w:rsid w:val="06C929F2"/>
    <w:rsid w:val="06D422E1"/>
    <w:rsid w:val="06FF694F"/>
    <w:rsid w:val="073A569E"/>
    <w:rsid w:val="07540E8E"/>
    <w:rsid w:val="076C7CFA"/>
    <w:rsid w:val="077542B8"/>
    <w:rsid w:val="07CB0CF1"/>
    <w:rsid w:val="07FD5F24"/>
    <w:rsid w:val="08BE1C57"/>
    <w:rsid w:val="0A1251A3"/>
    <w:rsid w:val="0C637445"/>
    <w:rsid w:val="0CB94AAB"/>
    <w:rsid w:val="0CC7352F"/>
    <w:rsid w:val="0CDB69E6"/>
    <w:rsid w:val="0D1505EF"/>
    <w:rsid w:val="0D2F1B60"/>
    <w:rsid w:val="0D4F00F6"/>
    <w:rsid w:val="0D501777"/>
    <w:rsid w:val="0DB51F60"/>
    <w:rsid w:val="0DC61A39"/>
    <w:rsid w:val="0FE74E65"/>
    <w:rsid w:val="0FEB3F6C"/>
    <w:rsid w:val="10A114BB"/>
    <w:rsid w:val="111331E7"/>
    <w:rsid w:val="11B04EDA"/>
    <w:rsid w:val="11BC7BEB"/>
    <w:rsid w:val="11F96B22"/>
    <w:rsid w:val="12865C3B"/>
    <w:rsid w:val="12C62A3D"/>
    <w:rsid w:val="133D09EF"/>
    <w:rsid w:val="138E124B"/>
    <w:rsid w:val="139E058D"/>
    <w:rsid w:val="147026FF"/>
    <w:rsid w:val="14E66497"/>
    <w:rsid w:val="14F71BA0"/>
    <w:rsid w:val="14FB253E"/>
    <w:rsid w:val="15767E12"/>
    <w:rsid w:val="16AF3030"/>
    <w:rsid w:val="1741762B"/>
    <w:rsid w:val="17BE05D3"/>
    <w:rsid w:val="18015910"/>
    <w:rsid w:val="187D53EA"/>
    <w:rsid w:val="19EE44D0"/>
    <w:rsid w:val="1A1D0099"/>
    <w:rsid w:val="1A3030DC"/>
    <w:rsid w:val="1B1177A6"/>
    <w:rsid w:val="1CE123EB"/>
    <w:rsid w:val="1CF2284B"/>
    <w:rsid w:val="1D54580E"/>
    <w:rsid w:val="1D5726AE"/>
    <w:rsid w:val="1DBB7D72"/>
    <w:rsid w:val="1E1453F4"/>
    <w:rsid w:val="1E3408C4"/>
    <w:rsid w:val="1F052BA1"/>
    <w:rsid w:val="1F4A0E5E"/>
    <w:rsid w:val="1F925845"/>
    <w:rsid w:val="1FD46237"/>
    <w:rsid w:val="1FD47FE6"/>
    <w:rsid w:val="1FE7674F"/>
    <w:rsid w:val="205B4440"/>
    <w:rsid w:val="205D59B9"/>
    <w:rsid w:val="2088320D"/>
    <w:rsid w:val="20EB4BEE"/>
    <w:rsid w:val="210163ED"/>
    <w:rsid w:val="21E36DC5"/>
    <w:rsid w:val="21F66C29"/>
    <w:rsid w:val="232105D0"/>
    <w:rsid w:val="23531AC9"/>
    <w:rsid w:val="236945AC"/>
    <w:rsid w:val="246D27B7"/>
    <w:rsid w:val="247E6772"/>
    <w:rsid w:val="24AA3A0B"/>
    <w:rsid w:val="25117A4F"/>
    <w:rsid w:val="251E1D03"/>
    <w:rsid w:val="25D30D3F"/>
    <w:rsid w:val="262339B3"/>
    <w:rsid w:val="2638052A"/>
    <w:rsid w:val="2672726E"/>
    <w:rsid w:val="26C1503C"/>
    <w:rsid w:val="271D6716"/>
    <w:rsid w:val="276500BD"/>
    <w:rsid w:val="276D2305"/>
    <w:rsid w:val="27826579"/>
    <w:rsid w:val="27BC0E8F"/>
    <w:rsid w:val="284101E2"/>
    <w:rsid w:val="290731DA"/>
    <w:rsid w:val="296E3259"/>
    <w:rsid w:val="2978278A"/>
    <w:rsid w:val="29BE71D6"/>
    <w:rsid w:val="2B077849"/>
    <w:rsid w:val="2B2F3D8D"/>
    <w:rsid w:val="2B3B467B"/>
    <w:rsid w:val="2C564541"/>
    <w:rsid w:val="2F9675A4"/>
    <w:rsid w:val="30E751B4"/>
    <w:rsid w:val="31033252"/>
    <w:rsid w:val="313B65BE"/>
    <w:rsid w:val="32260C66"/>
    <w:rsid w:val="32D43FFF"/>
    <w:rsid w:val="32DF008C"/>
    <w:rsid w:val="3301513E"/>
    <w:rsid w:val="33230194"/>
    <w:rsid w:val="334E014B"/>
    <w:rsid w:val="33713A95"/>
    <w:rsid w:val="3391156D"/>
    <w:rsid w:val="33D22636"/>
    <w:rsid w:val="340116DE"/>
    <w:rsid w:val="34034EE6"/>
    <w:rsid w:val="341D67CB"/>
    <w:rsid w:val="342B1CA7"/>
    <w:rsid w:val="344B71A2"/>
    <w:rsid w:val="34705C75"/>
    <w:rsid w:val="34796F56"/>
    <w:rsid w:val="34A17512"/>
    <w:rsid w:val="34DB376C"/>
    <w:rsid w:val="35013052"/>
    <w:rsid w:val="358A426B"/>
    <w:rsid w:val="35A0671F"/>
    <w:rsid w:val="35E574C7"/>
    <w:rsid w:val="35F61717"/>
    <w:rsid w:val="35FB6E04"/>
    <w:rsid w:val="37070849"/>
    <w:rsid w:val="371F762E"/>
    <w:rsid w:val="372A4354"/>
    <w:rsid w:val="38092C35"/>
    <w:rsid w:val="38415C81"/>
    <w:rsid w:val="38534EDC"/>
    <w:rsid w:val="387433FC"/>
    <w:rsid w:val="38E928FC"/>
    <w:rsid w:val="3B8A45D3"/>
    <w:rsid w:val="3C8A61A4"/>
    <w:rsid w:val="3CD2668C"/>
    <w:rsid w:val="3CE33222"/>
    <w:rsid w:val="3D2A34E3"/>
    <w:rsid w:val="3E6A2DEB"/>
    <w:rsid w:val="3EB76FF8"/>
    <w:rsid w:val="3F053477"/>
    <w:rsid w:val="3F125028"/>
    <w:rsid w:val="3F6F51DD"/>
    <w:rsid w:val="4050500F"/>
    <w:rsid w:val="409D3293"/>
    <w:rsid w:val="40BC26A4"/>
    <w:rsid w:val="40D73D5E"/>
    <w:rsid w:val="410F0A26"/>
    <w:rsid w:val="41110C42"/>
    <w:rsid w:val="411424E0"/>
    <w:rsid w:val="411E299E"/>
    <w:rsid w:val="415B1EBD"/>
    <w:rsid w:val="41FD11C6"/>
    <w:rsid w:val="42B07293"/>
    <w:rsid w:val="42C61D0A"/>
    <w:rsid w:val="43056584"/>
    <w:rsid w:val="43192030"/>
    <w:rsid w:val="434B5F61"/>
    <w:rsid w:val="43530A81"/>
    <w:rsid w:val="43BB5DAD"/>
    <w:rsid w:val="43F84FF6"/>
    <w:rsid w:val="44093E52"/>
    <w:rsid w:val="44486501"/>
    <w:rsid w:val="44A07FC0"/>
    <w:rsid w:val="461203B2"/>
    <w:rsid w:val="46472607"/>
    <w:rsid w:val="46D930F5"/>
    <w:rsid w:val="481D46A7"/>
    <w:rsid w:val="490A7414"/>
    <w:rsid w:val="49461447"/>
    <w:rsid w:val="4AD6385C"/>
    <w:rsid w:val="4AF173EE"/>
    <w:rsid w:val="4B0F625F"/>
    <w:rsid w:val="4B11183E"/>
    <w:rsid w:val="4B783512"/>
    <w:rsid w:val="4BE86A43"/>
    <w:rsid w:val="4C7C718B"/>
    <w:rsid w:val="4CD12DC0"/>
    <w:rsid w:val="4DD94895"/>
    <w:rsid w:val="4E535D43"/>
    <w:rsid w:val="4E5B5992"/>
    <w:rsid w:val="4F4A7728"/>
    <w:rsid w:val="4FB214FE"/>
    <w:rsid w:val="50394DF5"/>
    <w:rsid w:val="50A86902"/>
    <w:rsid w:val="50B75F83"/>
    <w:rsid w:val="512F4230"/>
    <w:rsid w:val="51874608"/>
    <w:rsid w:val="518C5387"/>
    <w:rsid w:val="51D830B6"/>
    <w:rsid w:val="51E41A5B"/>
    <w:rsid w:val="5244463E"/>
    <w:rsid w:val="52493F12"/>
    <w:rsid w:val="528F5E02"/>
    <w:rsid w:val="52ED2B91"/>
    <w:rsid w:val="534C78B7"/>
    <w:rsid w:val="536D2DE0"/>
    <w:rsid w:val="5373753A"/>
    <w:rsid w:val="54280D1A"/>
    <w:rsid w:val="54C7615B"/>
    <w:rsid w:val="54F40207"/>
    <w:rsid w:val="5583536A"/>
    <w:rsid w:val="56217E76"/>
    <w:rsid w:val="56244246"/>
    <w:rsid w:val="56546E4A"/>
    <w:rsid w:val="56646F28"/>
    <w:rsid w:val="57160076"/>
    <w:rsid w:val="575C15E3"/>
    <w:rsid w:val="576D624C"/>
    <w:rsid w:val="57B821FB"/>
    <w:rsid w:val="57F95B34"/>
    <w:rsid w:val="58E42340"/>
    <w:rsid w:val="59352BBF"/>
    <w:rsid w:val="5A440992"/>
    <w:rsid w:val="5A7C4F26"/>
    <w:rsid w:val="5B1228E0"/>
    <w:rsid w:val="5B2335F4"/>
    <w:rsid w:val="5B8D6902"/>
    <w:rsid w:val="5CA940FC"/>
    <w:rsid w:val="5CD27143"/>
    <w:rsid w:val="5CF709BF"/>
    <w:rsid w:val="5CF764EA"/>
    <w:rsid w:val="5D002935"/>
    <w:rsid w:val="5DD042D1"/>
    <w:rsid w:val="5E075281"/>
    <w:rsid w:val="5E567DB7"/>
    <w:rsid w:val="5EB94CC5"/>
    <w:rsid w:val="5ECA3D86"/>
    <w:rsid w:val="5F4146C0"/>
    <w:rsid w:val="5FE9487C"/>
    <w:rsid w:val="5FEA294A"/>
    <w:rsid w:val="60083481"/>
    <w:rsid w:val="6069462C"/>
    <w:rsid w:val="613320B7"/>
    <w:rsid w:val="621875D0"/>
    <w:rsid w:val="62400DDA"/>
    <w:rsid w:val="624A49A4"/>
    <w:rsid w:val="631101D6"/>
    <w:rsid w:val="63D74AAF"/>
    <w:rsid w:val="63E8362C"/>
    <w:rsid w:val="642F4DB7"/>
    <w:rsid w:val="64F658D5"/>
    <w:rsid w:val="654F3237"/>
    <w:rsid w:val="65951FFD"/>
    <w:rsid w:val="65CE0600"/>
    <w:rsid w:val="67C66333"/>
    <w:rsid w:val="6A494E20"/>
    <w:rsid w:val="6A813E93"/>
    <w:rsid w:val="6B9B0AFF"/>
    <w:rsid w:val="6BF574DE"/>
    <w:rsid w:val="6C0F5F72"/>
    <w:rsid w:val="6C2471CC"/>
    <w:rsid w:val="6C2E4999"/>
    <w:rsid w:val="6C3F1694"/>
    <w:rsid w:val="6D512242"/>
    <w:rsid w:val="6DF72B3F"/>
    <w:rsid w:val="6E421B8B"/>
    <w:rsid w:val="6E476E06"/>
    <w:rsid w:val="6FB22D40"/>
    <w:rsid w:val="70020127"/>
    <w:rsid w:val="70572F72"/>
    <w:rsid w:val="707B75D6"/>
    <w:rsid w:val="70A7517D"/>
    <w:rsid w:val="70BA5942"/>
    <w:rsid w:val="71791D68"/>
    <w:rsid w:val="719D6674"/>
    <w:rsid w:val="71F55039"/>
    <w:rsid w:val="722B3164"/>
    <w:rsid w:val="729C3F60"/>
    <w:rsid w:val="729C4A55"/>
    <w:rsid w:val="729D5F55"/>
    <w:rsid w:val="72F04F22"/>
    <w:rsid w:val="72F97729"/>
    <w:rsid w:val="73504E50"/>
    <w:rsid w:val="73C778F9"/>
    <w:rsid w:val="73F90F3E"/>
    <w:rsid w:val="74370108"/>
    <w:rsid w:val="74E120FE"/>
    <w:rsid w:val="75324707"/>
    <w:rsid w:val="755D71E7"/>
    <w:rsid w:val="75743412"/>
    <w:rsid w:val="761402B1"/>
    <w:rsid w:val="7633216E"/>
    <w:rsid w:val="767E1BCE"/>
    <w:rsid w:val="76E22F47"/>
    <w:rsid w:val="77106B55"/>
    <w:rsid w:val="7717683B"/>
    <w:rsid w:val="775C7ACC"/>
    <w:rsid w:val="77692267"/>
    <w:rsid w:val="77986BC8"/>
    <w:rsid w:val="77C74EAF"/>
    <w:rsid w:val="7833537D"/>
    <w:rsid w:val="785B5D23"/>
    <w:rsid w:val="790C78A0"/>
    <w:rsid w:val="79C1605A"/>
    <w:rsid w:val="79D030D9"/>
    <w:rsid w:val="79D275B3"/>
    <w:rsid w:val="7A3B5508"/>
    <w:rsid w:val="7ADD3D16"/>
    <w:rsid w:val="7B0F7299"/>
    <w:rsid w:val="7B1165E0"/>
    <w:rsid w:val="7C080D9A"/>
    <w:rsid w:val="7C7278F9"/>
    <w:rsid w:val="7CB30799"/>
    <w:rsid w:val="7D6531A0"/>
    <w:rsid w:val="7DD86068"/>
    <w:rsid w:val="7DDD2B27"/>
    <w:rsid w:val="7E970F43"/>
    <w:rsid w:val="7EA61CC2"/>
    <w:rsid w:val="7EBC3B8B"/>
    <w:rsid w:val="7ED74C42"/>
    <w:rsid w:val="7F7E49ED"/>
    <w:rsid w:val="7FAA03F4"/>
    <w:rsid w:val="7FCF1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7">
    <w:name w:val="heading 1"/>
    <w:basedOn w:val="1"/>
    <w:next w:val="1"/>
    <w:link w:val="34"/>
    <w:qFormat/>
    <w:uiPriority w:val="0"/>
    <w:pPr>
      <w:keepNext/>
      <w:keepLines/>
      <w:widowControl w:val="0"/>
      <w:suppressLineNumbers w:val="0"/>
      <w:spacing w:before="120" w:beforeAutospacing="0" w:after="240" w:afterAutospacing="0" w:line="576" w:lineRule="auto"/>
      <w:ind w:left="0" w:right="0"/>
      <w:jc w:val="center"/>
      <w:outlineLvl w:val="0"/>
    </w:pPr>
    <w:rPr>
      <w:rFonts w:hint="eastAsia" w:ascii="仿宋_GB2312" w:hAnsi="仿宋_GB2312" w:eastAsia="Arial" w:cs="Times New Roman"/>
      <w:b/>
      <w:kern w:val="44"/>
      <w:sz w:val="36"/>
      <w:szCs w:val="44"/>
    </w:rPr>
  </w:style>
  <w:style w:type="paragraph" w:styleId="8">
    <w:name w:val="heading 2"/>
    <w:basedOn w:val="1"/>
    <w:next w:val="1"/>
    <w:qFormat/>
    <w:uiPriority w:val="0"/>
    <w:pPr>
      <w:keepNext/>
      <w:keepLines/>
      <w:widowControl w:val="0"/>
      <w:suppressLineNumbers w:val="0"/>
      <w:spacing w:before="260" w:beforeAutospacing="0" w:after="260" w:afterAutospacing="0" w:line="416" w:lineRule="auto"/>
      <w:ind w:left="0" w:right="0" w:firstLine="0" w:firstLineChars="0"/>
      <w:jc w:val="both"/>
      <w:outlineLvl w:val="1"/>
    </w:pPr>
    <w:rPr>
      <w:rFonts w:ascii="Times New Roman" w:hAnsi="Times New Roman" w:eastAsia="宋体" w:cs="Times New Roman"/>
      <w:b/>
      <w:sz w:val="28"/>
      <w:szCs w:val="32"/>
    </w:rPr>
  </w:style>
  <w:style w:type="paragraph" w:styleId="9">
    <w:name w:val="heading 3"/>
    <w:basedOn w:val="1"/>
    <w:next w:val="1"/>
    <w:qFormat/>
    <w:uiPriority w:val="0"/>
    <w:pPr>
      <w:keepNext/>
      <w:keepLines/>
      <w:widowControl w:val="0"/>
      <w:suppressLineNumbers w:val="0"/>
      <w:spacing w:before="260" w:beforeAutospacing="0" w:after="260" w:afterAutospacing="0" w:line="240" w:lineRule="auto"/>
      <w:ind w:left="0" w:right="0"/>
      <w:jc w:val="both"/>
      <w:outlineLvl w:val="2"/>
    </w:pPr>
    <w:rPr>
      <w:rFonts w:ascii="Times New Roman" w:hAnsi="Times New Roman" w:eastAsia="宋体"/>
      <w:b/>
      <w:sz w:val="24"/>
      <w:szCs w:val="32"/>
    </w:rPr>
  </w:style>
  <w:style w:type="paragraph" w:styleId="10">
    <w:name w:val="heading 4"/>
    <w:basedOn w:val="1"/>
    <w:next w:val="1"/>
    <w:qFormat/>
    <w:uiPriority w:val="0"/>
    <w:pPr>
      <w:keepNext/>
      <w:keepLines/>
      <w:spacing w:beforeLines="0" w:beforeAutospacing="0" w:afterLines="0" w:afterAutospacing="0" w:line="360" w:lineRule="auto"/>
      <w:outlineLvl w:val="3"/>
    </w:pPr>
    <w:rPr>
      <w:rFonts w:ascii="Times New Roman" w:hAnsi="Times New Roman"/>
      <w:b/>
    </w:rPr>
  </w:style>
  <w:style w:type="paragraph" w:styleId="11">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tabs>
        <w:tab w:val="left" w:pos="4305"/>
      </w:tabs>
      <w:ind w:firstLine="420"/>
    </w:pPr>
    <w:rPr>
      <w:kern w:val="2"/>
      <w:sz w:val="21"/>
      <w:szCs w:val="24"/>
    </w:rPr>
  </w:style>
  <w:style w:type="paragraph" w:styleId="3">
    <w:name w:val="Body Text Indent"/>
    <w:basedOn w:val="1"/>
    <w:next w:val="4"/>
    <w:qFormat/>
    <w:uiPriority w:val="99"/>
    <w:pPr>
      <w:tabs>
        <w:tab w:val="left" w:pos="4305"/>
      </w:tabs>
      <w:adjustRightInd w:val="0"/>
      <w:snapToGrid w:val="0"/>
      <w:spacing w:line="360" w:lineRule="auto"/>
      <w:ind w:firstLine="561"/>
    </w:pPr>
    <w:rPr>
      <w:rFonts w:ascii="宋体" w:hAnsi="宋体"/>
      <w:color w:val="000000"/>
      <w:sz w:val="24"/>
    </w:rPr>
  </w:style>
  <w:style w:type="paragraph" w:customStyle="1" w:styleId="4">
    <w:name w:val="表格编号"/>
    <w:next w:val="5"/>
    <w:unhideWhenUsed/>
    <w:qFormat/>
    <w:uiPriority w:val="0"/>
    <w:pPr>
      <w:widowControl w:val="0"/>
      <w:spacing w:line="60" w:lineRule="atLeast"/>
    </w:pPr>
    <w:rPr>
      <w:rFonts w:ascii="Times New Roman" w:hAnsi="Times New Roman" w:eastAsia="宋体" w:cs="Times New Roman"/>
      <w:spacing w:val="10"/>
      <w:sz w:val="21"/>
      <w:szCs w:val="24"/>
      <w:lang w:val="en-US" w:eastAsia="zh-CN" w:bidi="ar-SA"/>
    </w:rPr>
  </w:style>
  <w:style w:type="paragraph" w:customStyle="1" w:styleId="5">
    <w:name w:val="表格文字"/>
    <w:basedOn w:val="6"/>
    <w:next w:val="1"/>
    <w:qFormat/>
    <w:uiPriority w:val="0"/>
    <w:pPr>
      <w:widowControl/>
      <w:tabs>
        <w:tab w:val="left" w:pos="480"/>
      </w:tabs>
      <w:adjustRightInd w:val="0"/>
      <w:snapToGrid w:val="0"/>
      <w:spacing w:after="0"/>
      <w:ind w:firstLine="0" w:firstLineChars="0"/>
      <w:jc w:val="center"/>
    </w:pPr>
    <w:rPr>
      <w:rFonts w:ascii="Times New Roman" w:hAnsi="Times New Roman" w:eastAsia="宋体" w:cs="Times New Roman"/>
      <w:szCs w:val="20"/>
    </w:rPr>
  </w:style>
  <w:style w:type="paragraph" w:styleId="6">
    <w:name w:val="Normal Indent"/>
    <w:basedOn w:val="1"/>
    <w:next w:val="1"/>
    <w:qFormat/>
    <w:uiPriority w:val="0"/>
    <w:pPr>
      <w:adjustRightInd/>
      <w:spacing w:line="240" w:lineRule="auto"/>
      <w:ind w:firstLine="420" w:firstLineChars="200"/>
      <w:jc w:val="both"/>
      <w:textAlignment w:val="auto"/>
    </w:pPr>
    <w:rPr>
      <w:rFonts w:eastAsia="宋体"/>
      <w:kern w:val="2"/>
      <w:sz w:val="21"/>
      <w:lang w:val="en-US" w:eastAsia="zh-CN" w:bidi="ar-SA"/>
    </w:rPr>
  </w:style>
  <w:style w:type="paragraph" w:styleId="12">
    <w:name w:val="List 3"/>
    <w:basedOn w:val="1"/>
    <w:qFormat/>
    <w:uiPriority w:val="0"/>
    <w:pPr>
      <w:ind w:left="100" w:leftChars="400" w:hanging="200" w:hangingChars="200"/>
    </w:pPr>
    <w:rPr>
      <w:rFonts w:ascii="宋体" w:hAnsi="宋体"/>
      <w:color w:val="000066"/>
      <w:szCs w:val="21"/>
    </w:rPr>
  </w:style>
  <w:style w:type="paragraph" w:styleId="13">
    <w:name w:val="caption"/>
    <w:basedOn w:val="1"/>
    <w:next w:val="1"/>
    <w:unhideWhenUsed/>
    <w:qFormat/>
    <w:uiPriority w:val="0"/>
    <w:pPr>
      <w:jc w:val="center"/>
    </w:pPr>
    <w:rPr>
      <w:rFonts w:ascii="Calibri Light" w:hAnsi="Calibri Light" w:eastAsia="黑体"/>
      <w:szCs w:val="20"/>
    </w:rPr>
  </w:style>
  <w:style w:type="paragraph" w:styleId="14">
    <w:name w:val="annotation text"/>
    <w:basedOn w:val="1"/>
    <w:qFormat/>
    <w:uiPriority w:val="0"/>
    <w:pPr>
      <w:jc w:val="left"/>
    </w:pPr>
  </w:style>
  <w:style w:type="paragraph" w:styleId="15">
    <w:name w:val="Body Text"/>
    <w:basedOn w:val="1"/>
    <w:next w:val="16"/>
    <w:qFormat/>
    <w:uiPriority w:val="99"/>
    <w:pPr>
      <w:autoSpaceDE w:val="0"/>
      <w:autoSpaceDN w:val="0"/>
      <w:adjustRightInd w:val="0"/>
      <w:snapToGrid w:val="0"/>
      <w:jc w:val="center"/>
    </w:pPr>
    <w:rPr>
      <w:rFonts w:ascii="宋体" w:eastAsia="黑体"/>
      <w:color w:val="000000"/>
      <w:kern w:val="0"/>
      <w:szCs w:val="20"/>
    </w:rPr>
  </w:style>
  <w:style w:type="paragraph" w:customStyle="1" w:styleId="1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rPr>
  </w:style>
  <w:style w:type="paragraph" w:styleId="17">
    <w:name w:val="List 2"/>
    <w:basedOn w:val="1"/>
    <w:qFormat/>
    <w:uiPriority w:val="0"/>
    <w:pPr>
      <w:ind w:left="100" w:leftChars="200" w:hanging="200" w:hangingChars="200"/>
    </w:pPr>
    <w:rPr>
      <w:rFonts w:ascii="宋体" w:hAnsi="宋体"/>
      <w:color w:val="000066"/>
      <w:szCs w:val="21"/>
    </w:rPr>
  </w:style>
  <w:style w:type="paragraph" w:styleId="18">
    <w:name w:val="toc 3"/>
    <w:basedOn w:val="1"/>
    <w:next w:val="1"/>
    <w:qFormat/>
    <w:uiPriority w:val="0"/>
    <w:pPr>
      <w:ind w:left="840" w:leftChars="400"/>
    </w:pPr>
  </w:style>
  <w:style w:type="paragraph" w:styleId="19">
    <w:name w:val="Plain Text"/>
    <w:basedOn w:val="1"/>
    <w:qFormat/>
    <w:uiPriority w:val="99"/>
    <w:pPr>
      <w:adjustRightInd w:val="0"/>
      <w:snapToGrid w:val="0"/>
    </w:pPr>
    <w:rPr>
      <w:rFonts w:hint="eastAsia" w:ascii="宋体" w:hAnsi="Courier New"/>
      <w:kern w:val="0"/>
    </w:rPr>
  </w:style>
  <w:style w:type="paragraph" w:styleId="20">
    <w:name w:val="Date"/>
    <w:basedOn w:val="1"/>
    <w:next w:val="1"/>
    <w:qFormat/>
    <w:uiPriority w:val="0"/>
    <w:pPr>
      <w:adjustRightInd w:val="0"/>
      <w:spacing w:line="360" w:lineRule="atLeast"/>
      <w:ind w:left="0" w:leftChars="0"/>
      <w:textAlignment w:val="baseline"/>
    </w:pPr>
    <w:rPr>
      <w:kern w:val="0"/>
      <w:sz w:val="28"/>
      <w:szCs w:val="20"/>
    </w:rPr>
  </w:style>
  <w:style w:type="paragraph" w:styleId="21">
    <w:name w:val="footer"/>
    <w:basedOn w:val="1"/>
    <w:qFormat/>
    <w:uiPriority w:val="99"/>
    <w:pPr>
      <w:tabs>
        <w:tab w:val="center" w:pos="4153"/>
        <w:tab w:val="right" w:pos="8306"/>
      </w:tabs>
      <w:snapToGrid w:val="0"/>
      <w:jc w:val="left"/>
    </w:pPr>
    <w:rPr>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qFormat/>
    <w:uiPriority w:val="0"/>
  </w:style>
  <w:style w:type="paragraph" w:styleId="24">
    <w:name w:val="toc 2"/>
    <w:basedOn w:val="1"/>
    <w:next w:val="1"/>
    <w:qFormat/>
    <w:uiPriority w:val="39"/>
    <w:pPr>
      <w:ind w:left="420" w:leftChars="200"/>
    </w:pPr>
  </w:style>
  <w:style w:type="paragraph" w:styleId="25">
    <w:name w:val="Body Text 2"/>
    <w:basedOn w:val="1"/>
    <w:qFormat/>
    <w:uiPriority w:val="0"/>
    <w:pPr>
      <w:spacing w:line="240" w:lineRule="auto"/>
      <w:jc w:val="center"/>
    </w:pPr>
    <w:rPr>
      <w:color w:val="000000"/>
      <w:szCs w:val="20"/>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styleId="28">
    <w:name w:val="Body Text First Indent"/>
    <w:basedOn w:val="15"/>
    <w:qFormat/>
    <w:uiPriority w:val="0"/>
    <w:pPr>
      <w:spacing w:after="120"/>
      <w:ind w:firstLine="420" w:firstLineChars="100"/>
      <w:jc w:val="both"/>
    </w:pPr>
  </w:style>
  <w:style w:type="table" w:styleId="30">
    <w:name w:val="Table Grid"/>
    <w:basedOn w:val="2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0"/>
  </w:style>
  <w:style w:type="character" w:styleId="33">
    <w:name w:val="Hyperlink"/>
    <w:basedOn w:val="31"/>
    <w:uiPriority w:val="0"/>
    <w:rPr>
      <w:color w:val="0000FF"/>
      <w:u w:val="single"/>
    </w:rPr>
  </w:style>
  <w:style w:type="character" w:customStyle="1" w:styleId="34">
    <w:name w:val="标题 1 Char"/>
    <w:link w:val="7"/>
    <w:qFormat/>
    <w:uiPriority w:val="0"/>
    <w:rPr>
      <w:rFonts w:hint="eastAsia" w:ascii="仿宋_GB2312" w:hAnsi="仿宋_GB2312" w:eastAsia="Arial" w:cs="Times New Roman"/>
      <w:b/>
      <w:kern w:val="44"/>
      <w:sz w:val="36"/>
      <w:szCs w:val="44"/>
    </w:rPr>
  </w:style>
  <w:style w:type="paragraph" w:customStyle="1" w:styleId="35">
    <w:name w:val="表格标题"/>
    <w:basedOn w:val="36"/>
    <w:next w:val="36"/>
    <w:qFormat/>
    <w:uiPriority w:val="0"/>
    <w:pPr>
      <w:tabs>
        <w:tab w:val="left" w:pos="480"/>
      </w:tabs>
    </w:pPr>
    <w:rPr>
      <w:color w:val="auto"/>
      <w:sz w:val="20"/>
    </w:rPr>
  </w:style>
  <w:style w:type="paragraph" w:customStyle="1" w:styleId="36">
    <w:name w:val="Default"/>
    <w:basedOn w:val="37"/>
    <w:qFormat/>
    <w:uiPriority w:val="0"/>
    <w:pPr>
      <w:widowControl w:val="0"/>
      <w:tabs>
        <w:tab w:val="left" w:pos="480"/>
      </w:tabs>
      <w:autoSpaceDE w:val="0"/>
      <w:autoSpaceDN w:val="0"/>
      <w:adjustRightInd w:val="0"/>
    </w:pPr>
    <w:rPr>
      <w:rFonts w:ascii="楷体_GB2312" w:hAnsi="Times New Roman" w:eastAsia="楷体_GB2312" w:cs="Times New Roman"/>
      <w:color w:val="000000"/>
      <w:sz w:val="24"/>
      <w:szCs w:val="24"/>
      <w:lang w:val="en-US" w:eastAsia="zh-CN" w:bidi="ar-SA"/>
    </w:rPr>
  </w:style>
  <w:style w:type="paragraph" w:customStyle="1" w:styleId="37">
    <w:name w:val="！正文 Alt+0"/>
    <w:basedOn w:val="1"/>
    <w:qFormat/>
    <w:uiPriority w:val="0"/>
    <w:pPr>
      <w:tabs>
        <w:tab w:val="left" w:pos="480"/>
      </w:tabs>
      <w:spacing w:line="360" w:lineRule="auto"/>
      <w:ind w:firstLine="200" w:firstLineChars="200"/>
    </w:pPr>
    <w:rPr>
      <w:rFonts w:ascii="Times New Roman" w:hAnsi="Times New Roman"/>
      <w:sz w:val="28"/>
      <w:szCs w:val="28"/>
    </w:rPr>
  </w:style>
  <w:style w:type="paragraph" w:customStyle="1" w:styleId="38">
    <w:name w:val="正文1"/>
    <w:basedOn w:val="1"/>
    <w:link w:val="42"/>
    <w:qFormat/>
    <w:uiPriority w:val="0"/>
    <w:pPr>
      <w:spacing w:line="360" w:lineRule="auto"/>
      <w:ind w:firstLine="723" w:firstLineChars="200"/>
    </w:pPr>
    <w:rPr>
      <w:rFonts w:ascii="Times New Roman" w:hAnsi="Times New Roman"/>
      <w:kern w:val="0"/>
      <w:sz w:val="24"/>
      <w:szCs w:val="20"/>
    </w:rPr>
  </w:style>
  <w:style w:type="paragraph" w:customStyle="1" w:styleId="39">
    <w:name w:val="表格内容"/>
    <w:qFormat/>
    <w:uiPriority w:val="0"/>
    <w:pPr>
      <w:jc w:val="center"/>
    </w:pPr>
    <w:rPr>
      <w:rFonts w:ascii="Times New Roman" w:hAnsi="Times New Roman" w:eastAsia="宋体" w:cs="Times New Roman"/>
      <w:sz w:val="21"/>
      <w:lang w:val="en-US" w:eastAsia="zh-CN" w:bidi="ar-SA"/>
    </w:rPr>
  </w:style>
  <w:style w:type="paragraph" w:customStyle="1" w:styleId="40">
    <w:name w:val="表标题"/>
    <w:qFormat/>
    <w:uiPriority w:val="0"/>
    <w:pPr>
      <w:jc w:val="center"/>
    </w:pPr>
    <w:rPr>
      <w:rFonts w:ascii="Times New Roman" w:hAnsi="Times New Roman" w:eastAsia="宋体" w:cs="Times New Roman"/>
      <w:b/>
      <w:kern w:val="0"/>
      <w:sz w:val="21"/>
      <w:szCs w:val="20"/>
    </w:rPr>
  </w:style>
  <w:style w:type="paragraph" w:customStyle="1" w:styleId="41">
    <w:name w:val="表字体"/>
    <w:next w:val="1"/>
    <w:qFormat/>
    <w:uiPriority w:val="0"/>
    <w:pPr>
      <w:jc w:val="center"/>
    </w:pPr>
    <w:rPr>
      <w:rFonts w:ascii="Times New Roman" w:hAnsi="Times New Roman" w:eastAsia="宋体" w:cs="Times New Roman"/>
      <w:kern w:val="0"/>
      <w:sz w:val="21"/>
      <w:szCs w:val="20"/>
    </w:rPr>
  </w:style>
  <w:style w:type="character" w:customStyle="1" w:styleId="42">
    <w:name w:val="正文1 Char"/>
    <w:link w:val="38"/>
    <w:qFormat/>
    <w:uiPriority w:val="0"/>
    <w:rPr>
      <w:rFonts w:ascii="Times New Roman" w:hAnsi="Times New Roman"/>
      <w:kern w:val="0"/>
      <w:sz w:val="24"/>
      <w:szCs w:val="20"/>
    </w:rPr>
  </w:style>
  <w:style w:type="paragraph" w:customStyle="1" w:styleId="43">
    <w:name w:val="图表"/>
    <w:basedOn w:val="1"/>
    <w:qFormat/>
    <w:uiPriority w:val="0"/>
    <w:pPr>
      <w:spacing w:afterLines="50" w:line="240" w:lineRule="auto"/>
      <w:jc w:val="center"/>
    </w:pPr>
    <w:rPr>
      <w:bCs/>
    </w:rPr>
  </w:style>
  <w:style w:type="table" w:customStyle="1" w:styleId="44">
    <w:name w:val="样式26"/>
    <w:basedOn w:val="29"/>
    <w:qFormat/>
    <w:uiPriority w:val="99"/>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45">
    <w:name w:val="Body text|1"/>
    <w:basedOn w:val="1"/>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46">
    <w:name w:val="Table of contents|1"/>
    <w:basedOn w:val="1"/>
    <w:qFormat/>
    <w:uiPriority w:val="0"/>
    <w:pPr>
      <w:widowControl w:val="0"/>
      <w:shd w:val="clear" w:color="auto" w:fill="auto"/>
      <w:spacing w:after="300"/>
      <w:ind w:firstLine="220"/>
    </w:pPr>
    <w:rPr>
      <w:rFonts w:ascii="宋体" w:hAnsi="宋体" w:eastAsia="宋体" w:cs="宋体"/>
      <w:u w:val="none"/>
      <w:shd w:val="clear" w:color="auto" w:fill="auto"/>
      <w:lang w:val="zh-TW" w:eastAsia="zh-TW" w:bidi="zh-TW"/>
    </w:rPr>
  </w:style>
  <w:style w:type="paragraph" w:customStyle="1" w:styleId="47">
    <w:name w:val="Heading #3|1"/>
    <w:basedOn w:val="1"/>
    <w:qFormat/>
    <w:uiPriority w:val="0"/>
    <w:pPr>
      <w:widowControl w:val="0"/>
      <w:shd w:val="clear" w:color="auto" w:fill="auto"/>
      <w:spacing w:before="340" w:after="320"/>
      <w:jc w:val="center"/>
      <w:outlineLvl w:val="2"/>
    </w:pPr>
    <w:rPr>
      <w:rFonts w:ascii="宋体" w:hAnsi="宋体" w:eastAsia="宋体" w:cs="宋体"/>
      <w:b/>
      <w:bCs/>
      <w:sz w:val="38"/>
      <w:szCs w:val="38"/>
      <w:u w:val="none"/>
      <w:shd w:val="clear" w:color="auto" w:fill="auto"/>
      <w:lang w:val="zh-TW" w:eastAsia="zh-TW" w:bidi="zh-TW"/>
    </w:rPr>
  </w:style>
  <w:style w:type="paragraph" w:customStyle="1" w:styleId="48">
    <w:name w:val="Header or footer|1"/>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9">
    <w:name w:val="正文（用）"/>
    <w:basedOn w:val="1"/>
    <w:qFormat/>
    <w:uiPriority w:val="0"/>
    <w:pPr>
      <w:spacing w:line="360" w:lineRule="auto"/>
      <w:ind w:firstLine="480" w:firstLineChars="200"/>
      <w:jc w:val="left"/>
    </w:pPr>
    <w:rPr>
      <w:rFonts w:ascii="宋体" w:hAnsi="宋体" w:cs="宋体"/>
      <w:sz w:val="24"/>
    </w:rPr>
  </w:style>
  <w:style w:type="paragraph" w:customStyle="1" w:styleId="50">
    <w:name w:val="表头"/>
    <w:next w:val="5"/>
    <w:qFormat/>
    <w:uiPriority w:val="0"/>
    <w:pPr>
      <w:widowControl w:val="0"/>
      <w:spacing w:after="156" w:afterLines="50" w:line="480" w:lineRule="exact"/>
      <w:jc w:val="center"/>
    </w:pPr>
    <w:rPr>
      <w:rFonts w:ascii="Times New Roman" w:hAnsi="Times New Roman" w:eastAsia="宋体" w:cs="Times New Roman"/>
      <w:b/>
      <w:color w:val="000000"/>
      <w:sz w:val="24"/>
      <w:szCs w:val="24"/>
      <w:lang w:val="en-US" w:eastAsia="zh-CN" w:bidi="ar-SA"/>
    </w:rPr>
  </w:style>
  <w:style w:type="paragraph" w:customStyle="1" w:styleId="51">
    <w:name w:val="表文字"/>
    <w:qFormat/>
    <w:uiPriority w:val="0"/>
    <w:pPr>
      <w:widowControl w:val="0"/>
      <w:adjustRightInd w:val="0"/>
      <w:spacing w:line="360" w:lineRule="auto"/>
      <w:jc w:val="center"/>
      <w:textAlignment w:val="baseline"/>
    </w:pPr>
    <w:rPr>
      <w:rFonts w:ascii="Times New Roman" w:hAnsi="Times New Roman" w:eastAsia="宋体" w:cs="Times New Roman"/>
      <w:kern w:val="10"/>
      <w:sz w:val="24"/>
      <w:lang w:val="en-US" w:eastAsia="zh-CN" w:bidi="ar-SA"/>
    </w:rPr>
  </w:style>
  <w:style w:type="paragraph" w:customStyle="1" w:styleId="52">
    <w:name w:val="ZX 2 表标题"/>
    <w:basedOn w:val="1"/>
    <w:qFormat/>
    <w:uiPriority w:val="0"/>
    <w:pPr>
      <w:numPr>
        <w:ilvl w:val="0"/>
        <w:numId w:val="1"/>
      </w:numPr>
      <w:tabs>
        <w:tab w:val="left" w:pos="480"/>
      </w:tabs>
      <w:spacing w:line="240" w:lineRule="auto"/>
      <w:ind w:firstLine="0" w:firstLineChars="0"/>
      <w:jc w:val="center"/>
    </w:pPr>
    <w:rPr>
      <w:rFonts w:cs="宋体"/>
      <w:b/>
      <w:sz w:val="21"/>
      <w:szCs w:val="20"/>
    </w:rPr>
  </w:style>
  <w:style w:type="paragraph" w:customStyle="1" w:styleId="53">
    <w:name w:val="ZX 0 表格文字"/>
    <w:basedOn w:val="1"/>
    <w:qFormat/>
    <w:uiPriority w:val="0"/>
    <w:pPr>
      <w:widowControl/>
      <w:wordWrap w:val="0"/>
      <w:overflowPunct w:val="0"/>
      <w:topLinePunct/>
      <w:spacing w:line="276" w:lineRule="auto"/>
      <w:ind w:firstLine="0" w:firstLineChars="0"/>
      <w:jc w:val="center"/>
    </w:pPr>
    <w:rPr>
      <w:sz w:val="21"/>
      <w:szCs w:val="21"/>
    </w:rPr>
  </w:style>
  <w:style w:type="paragraph" w:customStyle="1" w:styleId="54">
    <w:name w:val="报告文本"/>
    <w:basedOn w:val="1"/>
    <w:qFormat/>
    <w:uiPriority w:val="0"/>
    <w:pPr>
      <w:spacing w:line="360" w:lineRule="auto"/>
      <w:ind w:firstLine="200" w:firstLineChars="200"/>
      <w:jc w:val="left"/>
    </w:pPr>
    <w:rPr>
      <w:rFonts w:ascii="Times New Roman" w:hAnsi="Times New Roman"/>
      <w:sz w:val="24"/>
      <w:szCs w:val="22"/>
    </w:rPr>
  </w:style>
  <w:style w:type="character" w:customStyle="1" w:styleId="55">
    <w:name w:val="postbody1"/>
    <w:basedOn w:val="31"/>
    <w:qFormat/>
    <w:uiPriority w:val="0"/>
    <w:rPr>
      <w:sz w:val="21"/>
      <w:szCs w:val="21"/>
    </w:rPr>
  </w:style>
  <w:style w:type="paragraph" w:customStyle="1" w:styleId="56">
    <w:name w:val="Table Paragraph"/>
    <w:basedOn w:val="1"/>
    <w:qFormat/>
    <w:uiPriority w:val="1"/>
    <w:pPr>
      <w:widowControl/>
      <w:jc w:val="left"/>
    </w:pPr>
    <w:rPr>
      <w:rFonts w:ascii="Calibri" w:hAnsi="Calibri" w:cs="宋体"/>
      <w:kern w:val="0"/>
      <w:sz w:val="22"/>
      <w:szCs w:val="22"/>
    </w:rPr>
  </w:style>
  <w:style w:type="paragraph" w:customStyle="1" w:styleId="57">
    <w:name w:val="表名"/>
    <w:basedOn w:val="1"/>
    <w:qFormat/>
    <w:uiPriority w:val="0"/>
    <w:pPr>
      <w:adjustRightInd w:val="0"/>
      <w:snapToGrid w:val="0"/>
      <w:spacing w:before="120"/>
      <w:contextualSpacing/>
      <w:jc w:val="center"/>
    </w:pPr>
    <w:rPr>
      <w:rFonts w:ascii="Times New Roman" w:hAnsi="Times New Roman"/>
      <w:sz w:val="28"/>
      <w:szCs w:val="20"/>
    </w:rPr>
  </w:style>
  <w:style w:type="paragraph" w:customStyle="1" w:styleId="58">
    <w:name w:val="图表内容"/>
    <w:qFormat/>
    <w:uiPriority w:val="0"/>
    <w:pPr>
      <w:widowControl w:val="0"/>
      <w:adjustRightInd w:val="0"/>
      <w:snapToGrid w:val="0"/>
      <w:jc w:val="center"/>
    </w:pPr>
    <w:rPr>
      <w:rFonts w:ascii="Times New Roman" w:hAnsi="Times New Roman" w:eastAsia="宋体" w:cs="Times New Roman"/>
      <w:kern w:val="2"/>
      <w:sz w:val="28"/>
      <w:szCs w:val="28"/>
      <w:lang w:bidi="ar-SA"/>
    </w:rPr>
  </w:style>
  <w:style w:type="paragraph" w:customStyle="1" w:styleId="59">
    <w:name w:val="文章正文"/>
    <w:basedOn w:val="1"/>
    <w:qFormat/>
    <w:uiPriority w:val="0"/>
    <w:pPr>
      <w:spacing w:beforeLines="50" w:afterLines="50" w:line="360" w:lineRule="auto"/>
      <w:ind w:firstLine="480" w:firstLineChars="200"/>
    </w:pPr>
    <w:rPr>
      <w:rFonts w:ascii="宋体" w:hAnsi="宋体" w:cs="宋体"/>
      <w:sz w:val="24"/>
    </w:rPr>
  </w:style>
  <w:style w:type="paragraph" w:styleId="60">
    <w:name w:val="List Paragraph"/>
    <w:basedOn w:val="1"/>
    <w:qFormat/>
    <w:uiPriority w:val="0"/>
    <w:pPr>
      <w:ind w:firstLine="420" w:firstLineChars="200"/>
    </w:pPr>
    <w:rPr>
      <w:rFonts w:ascii="Times New Roman" w:hAnsi="Times New Roman"/>
    </w:rPr>
  </w:style>
  <w:style w:type="paragraph" w:customStyle="1" w:styleId="61">
    <w:name w:val="图名"/>
    <w:basedOn w:val="50"/>
    <w:next w:val="1"/>
    <w:qFormat/>
    <w:uiPriority w:val="0"/>
    <w:pPr>
      <w:keepNext w:val="0"/>
      <w:numPr>
        <w:ilvl w:val="5"/>
        <w:numId w:val="2"/>
      </w:numPr>
      <w:ind w:left="0" w:firstLine="0"/>
    </w:pPr>
  </w:style>
  <w:style w:type="paragraph" w:customStyle="1" w:styleId="62">
    <w:name w:val="正文首行缩进 New New"/>
    <w:basedOn w:val="1"/>
    <w:qFormat/>
    <w:uiPriority w:val="0"/>
    <w:pPr>
      <w:spacing w:after="120" w:afterLines="0"/>
      <w:ind w:firstLine="420" w:firstLineChars="100"/>
    </w:pPr>
    <w:rPr>
      <w:szCs w:val="24"/>
    </w:rPr>
  </w:style>
  <w:style w:type="paragraph" w:customStyle="1" w:styleId="63">
    <w:name w:val="sheet"/>
    <w:basedOn w:val="1"/>
    <w:qFormat/>
    <w:uiPriority w:val="0"/>
    <w:pPr>
      <w:spacing w:line="240" w:lineRule="auto"/>
      <w:ind w:firstLine="0" w:firstLineChars="0"/>
      <w:jc w:val="center"/>
    </w:pPr>
    <w:rPr>
      <w:rFonts w:ascii="Times New Roman" w:hAnsi="Times New Roman" w:eastAsia="宋体"/>
      <w:kern w:val="0"/>
      <w:sz w:val="21"/>
    </w:rPr>
  </w:style>
  <w:style w:type="table" w:customStyle="1" w:styleId="64">
    <w:name w:val="Table Normal"/>
    <w:unhideWhenUsed/>
    <w:qFormat/>
    <w:uiPriority w:val="0"/>
    <w:tblPr>
      <w:tblCellMar>
        <w:top w:w="0" w:type="dxa"/>
        <w:left w:w="0" w:type="dxa"/>
        <w:bottom w:w="0" w:type="dxa"/>
        <w:right w:w="0" w:type="dxa"/>
      </w:tblCellMar>
    </w:tblPr>
  </w:style>
  <w:style w:type="paragraph" w:customStyle="1" w:styleId="65">
    <w:name w:val="报告书正文"/>
    <w:basedOn w:val="1"/>
    <w:qFormat/>
    <w:uiPriority w:val="0"/>
    <w:pPr>
      <w:adjustRightInd/>
      <w:spacing w:line="300" w:lineRule="auto"/>
      <w:ind w:firstLine="200" w:firstLineChars="200"/>
      <w:jc w:val="both"/>
      <w:textAlignment w:val="auto"/>
    </w:pPr>
    <w:rPr>
      <w:rFonts w:eastAsia="宋体"/>
      <w:kern w:val="2"/>
      <w:sz w:val="24"/>
      <w:lang w:val="en-US" w:eastAsia="zh-CN" w:bidi="ar-SA"/>
    </w:rPr>
  </w:style>
  <w:style w:type="paragraph" w:customStyle="1" w:styleId="66">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7">
    <w:name w:val="font61"/>
    <w:qFormat/>
    <w:uiPriority w:val="0"/>
    <w:rPr>
      <w:rFonts w:hint="eastAsia" w:ascii="宋体" w:hAnsi="宋体" w:eastAsia="宋体" w:cs="宋体"/>
      <w:b/>
      <w:color w:val="000000"/>
      <w:sz w:val="21"/>
      <w:szCs w:val="21"/>
      <w:u w:val="none"/>
    </w:rPr>
  </w:style>
  <w:style w:type="character" w:customStyle="1" w:styleId="68">
    <w:name w:val="font51"/>
    <w:basedOn w:val="31"/>
    <w:qFormat/>
    <w:uiPriority w:val="0"/>
    <w:rPr>
      <w:rFonts w:hint="eastAsia" w:ascii="宋体" w:hAnsi="宋体" w:eastAsia="宋体" w:cs="宋体"/>
      <w:color w:val="000000"/>
      <w:sz w:val="22"/>
      <w:szCs w:val="22"/>
      <w:u w:val="none"/>
    </w:rPr>
  </w:style>
  <w:style w:type="character" w:customStyle="1" w:styleId="69">
    <w:name w:val="font11"/>
    <w:basedOn w:val="31"/>
    <w:qFormat/>
    <w:uiPriority w:val="0"/>
    <w:rPr>
      <w:rFonts w:hint="eastAsia" w:ascii="宋体" w:hAnsi="宋体" w:eastAsia="宋体" w:cs="宋体"/>
      <w:color w:val="000000"/>
      <w:sz w:val="20"/>
      <w:szCs w:val="20"/>
      <w:u w:val="none"/>
    </w:rPr>
  </w:style>
  <w:style w:type="character" w:customStyle="1" w:styleId="70">
    <w:name w:val="font31"/>
    <w:basedOn w:val="31"/>
    <w:qFormat/>
    <w:uiPriority w:val="0"/>
    <w:rPr>
      <w:rFonts w:hint="eastAsia" w:ascii="宋体" w:hAnsi="宋体" w:eastAsia="宋体" w:cs="宋体"/>
      <w:color w:val="000000"/>
      <w:sz w:val="20"/>
      <w:szCs w:val="20"/>
      <w:u w:val="none"/>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paragraph" w:customStyle="1" w:styleId="72">
    <w:name w:val="ZX 1 表标题"/>
    <w:basedOn w:val="1"/>
    <w:qFormat/>
    <w:uiPriority w:val="0"/>
    <w:pPr>
      <w:numPr>
        <w:ilvl w:val="0"/>
        <w:numId w:val="3"/>
      </w:numPr>
      <w:ind w:left="0" w:firstLine="0" w:firstLineChars="0"/>
      <w:jc w:val="center"/>
    </w:pPr>
    <w:rPr>
      <w:rFonts w:cs="宋体"/>
      <w:b/>
      <w:sz w:val="21"/>
      <w:szCs w:val="20"/>
    </w:rPr>
  </w:style>
  <w:style w:type="paragraph" w:customStyle="1" w:styleId="73">
    <w:name w:val="表格"/>
    <w:basedOn w:val="1"/>
    <w:qFormat/>
    <w:uiPriority w:val="0"/>
    <w:pPr>
      <w:snapToGrid/>
      <w:spacing w:before="20" w:after="20" w:line="280" w:lineRule="atLeast"/>
      <w:ind w:firstLine="0" w:firstLineChars="0"/>
      <w:jc w:val="center"/>
    </w:pPr>
    <w:rPr>
      <w:rFonts w:ascii="Garamond" w:hAnsi="Garamond"/>
      <w:spacing w:val="2"/>
      <w:kern w:val="2"/>
      <w:sz w:val="20"/>
      <w:szCs w:val="20"/>
    </w:rPr>
  </w:style>
  <w:style w:type="paragraph" w:customStyle="1" w:styleId="74">
    <w:name w:val="TT正文"/>
    <w:basedOn w:val="1"/>
    <w:qFormat/>
    <w:uiPriority w:val="0"/>
    <w:rPr>
      <w:rFonts w:cs="宋体"/>
      <w:color w:val="00000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7.wmf"/><Relationship Id="rId98" Type="http://schemas.openxmlformats.org/officeDocument/2006/relationships/image" Target="media/image86.wmf"/><Relationship Id="rId97" Type="http://schemas.openxmlformats.org/officeDocument/2006/relationships/image" Target="media/image85.wmf"/><Relationship Id="rId96" Type="http://schemas.openxmlformats.org/officeDocument/2006/relationships/image" Target="media/image84.wmf"/><Relationship Id="rId95" Type="http://schemas.openxmlformats.org/officeDocument/2006/relationships/image" Target="media/image83.wmf"/><Relationship Id="rId94" Type="http://schemas.openxmlformats.org/officeDocument/2006/relationships/image" Target="media/image82.wmf"/><Relationship Id="rId93" Type="http://schemas.openxmlformats.org/officeDocument/2006/relationships/image" Target="media/image81.wmf"/><Relationship Id="rId92" Type="http://schemas.openxmlformats.org/officeDocument/2006/relationships/image" Target="media/image80.wmf"/><Relationship Id="rId91" Type="http://schemas.openxmlformats.org/officeDocument/2006/relationships/image" Target="media/image79.wmf"/><Relationship Id="rId90" Type="http://schemas.openxmlformats.org/officeDocument/2006/relationships/image" Target="media/image78.wmf"/><Relationship Id="rId9" Type="http://schemas.openxmlformats.org/officeDocument/2006/relationships/theme" Target="theme/theme1.xml"/><Relationship Id="rId89" Type="http://schemas.openxmlformats.org/officeDocument/2006/relationships/image" Target="media/image77.wmf"/><Relationship Id="rId88" Type="http://schemas.openxmlformats.org/officeDocument/2006/relationships/image" Target="media/image76.wmf"/><Relationship Id="rId87" Type="http://schemas.openxmlformats.org/officeDocument/2006/relationships/image" Target="media/image75.wmf"/><Relationship Id="rId86" Type="http://schemas.openxmlformats.org/officeDocument/2006/relationships/image" Target="media/image74.wmf"/><Relationship Id="rId85" Type="http://schemas.openxmlformats.org/officeDocument/2006/relationships/image" Target="media/image73.wmf"/><Relationship Id="rId84" Type="http://schemas.openxmlformats.org/officeDocument/2006/relationships/image" Target="media/image72.wmf"/><Relationship Id="rId83" Type="http://schemas.openxmlformats.org/officeDocument/2006/relationships/image" Target="media/image71.wmf"/><Relationship Id="rId82" Type="http://schemas.openxmlformats.org/officeDocument/2006/relationships/image" Target="media/image70.wmf"/><Relationship Id="rId81" Type="http://schemas.openxmlformats.org/officeDocument/2006/relationships/image" Target="media/image69.wmf"/><Relationship Id="rId80" Type="http://schemas.openxmlformats.org/officeDocument/2006/relationships/image" Target="media/image68.wmf"/><Relationship Id="rId8" Type="http://schemas.openxmlformats.org/officeDocument/2006/relationships/footer" Target="footer4.xml"/><Relationship Id="rId79" Type="http://schemas.openxmlformats.org/officeDocument/2006/relationships/image" Target="media/image67.wmf"/><Relationship Id="rId78" Type="http://schemas.openxmlformats.org/officeDocument/2006/relationships/image" Target="media/image66.wmf"/><Relationship Id="rId77" Type="http://schemas.openxmlformats.org/officeDocument/2006/relationships/image" Target="media/image65.wmf"/><Relationship Id="rId76" Type="http://schemas.openxmlformats.org/officeDocument/2006/relationships/image" Target="media/image64.wmf"/><Relationship Id="rId75" Type="http://schemas.openxmlformats.org/officeDocument/2006/relationships/image" Target="media/image63.wmf"/><Relationship Id="rId74" Type="http://schemas.openxmlformats.org/officeDocument/2006/relationships/image" Target="media/image62.wmf"/><Relationship Id="rId73" Type="http://schemas.openxmlformats.org/officeDocument/2006/relationships/image" Target="media/image61.wmf"/><Relationship Id="rId72" Type="http://schemas.openxmlformats.org/officeDocument/2006/relationships/image" Target="media/image60.wmf"/><Relationship Id="rId71" Type="http://schemas.openxmlformats.org/officeDocument/2006/relationships/image" Target="media/image59.png"/><Relationship Id="rId70" Type="http://schemas.openxmlformats.org/officeDocument/2006/relationships/image" Target="media/image58.wmf"/><Relationship Id="rId7" Type="http://schemas.openxmlformats.org/officeDocument/2006/relationships/footer" Target="footer3.xml"/><Relationship Id="rId69" Type="http://schemas.openxmlformats.org/officeDocument/2006/relationships/image" Target="media/image57.wmf"/><Relationship Id="rId68" Type="http://schemas.openxmlformats.org/officeDocument/2006/relationships/image" Target="media/image56.wmf"/><Relationship Id="rId67" Type="http://schemas.openxmlformats.org/officeDocument/2006/relationships/image" Target="media/image55.wmf"/><Relationship Id="rId66" Type="http://schemas.openxmlformats.org/officeDocument/2006/relationships/image" Target="media/image54.wmf"/><Relationship Id="rId65" Type="http://schemas.openxmlformats.org/officeDocument/2006/relationships/image" Target="media/image53.wmf"/><Relationship Id="rId64" Type="http://schemas.openxmlformats.org/officeDocument/2006/relationships/image" Target="media/image52.wmf"/><Relationship Id="rId63" Type="http://schemas.openxmlformats.org/officeDocument/2006/relationships/image" Target="media/image51.wmf"/><Relationship Id="rId62" Type="http://schemas.openxmlformats.org/officeDocument/2006/relationships/image" Target="media/image50.wmf"/><Relationship Id="rId61" Type="http://schemas.openxmlformats.org/officeDocument/2006/relationships/image" Target="media/image49.wmf"/><Relationship Id="rId60" Type="http://schemas.openxmlformats.org/officeDocument/2006/relationships/image" Target="media/image48.wmf"/><Relationship Id="rId6" Type="http://schemas.openxmlformats.org/officeDocument/2006/relationships/footer" Target="footer2.xml"/><Relationship Id="rId59" Type="http://schemas.openxmlformats.org/officeDocument/2006/relationships/image" Target="media/image47.wmf"/><Relationship Id="rId58" Type="http://schemas.openxmlformats.org/officeDocument/2006/relationships/image" Target="media/image46.wmf"/><Relationship Id="rId57" Type="http://schemas.openxmlformats.org/officeDocument/2006/relationships/image" Target="media/image45.wmf"/><Relationship Id="rId56" Type="http://schemas.openxmlformats.org/officeDocument/2006/relationships/image" Target="media/image44.png"/><Relationship Id="rId55" Type="http://schemas.openxmlformats.org/officeDocument/2006/relationships/image" Target="media/image43.wmf"/><Relationship Id="rId54" Type="http://schemas.openxmlformats.org/officeDocument/2006/relationships/image" Target="media/image42.wmf"/><Relationship Id="rId53" Type="http://schemas.openxmlformats.org/officeDocument/2006/relationships/image" Target="media/image41.wmf"/><Relationship Id="rId52" Type="http://schemas.openxmlformats.org/officeDocument/2006/relationships/image" Target="media/image40.wmf"/><Relationship Id="rId51" Type="http://schemas.openxmlformats.org/officeDocument/2006/relationships/oleObject" Target="embeddings/oleObject3.bin"/><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wmf"/><Relationship Id="rId25" Type="http://schemas.openxmlformats.org/officeDocument/2006/relationships/oleObject" Target="embeddings/oleObject2.bin"/><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emf"/><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98.wmf"/><Relationship Id="rId11" Type="http://schemas.openxmlformats.org/officeDocument/2006/relationships/oleObject" Target="embeddings/oleObject1.bin"/><Relationship Id="rId109" Type="http://schemas.openxmlformats.org/officeDocument/2006/relationships/image" Target="media/image97.wmf"/><Relationship Id="rId108" Type="http://schemas.openxmlformats.org/officeDocument/2006/relationships/image" Target="media/image96.wmf"/><Relationship Id="rId107" Type="http://schemas.openxmlformats.org/officeDocument/2006/relationships/image" Target="media/image95.wmf"/><Relationship Id="rId106" Type="http://schemas.openxmlformats.org/officeDocument/2006/relationships/image" Target="media/image94.wmf"/><Relationship Id="rId105" Type="http://schemas.openxmlformats.org/officeDocument/2006/relationships/image" Target="media/image93.wmf"/><Relationship Id="rId104" Type="http://schemas.openxmlformats.org/officeDocument/2006/relationships/image" Target="media/image92.wmf"/><Relationship Id="rId103" Type="http://schemas.openxmlformats.org/officeDocument/2006/relationships/image" Target="media/image91.wmf"/><Relationship Id="rId102" Type="http://schemas.openxmlformats.org/officeDocument/2006/relationships/image" Target="media/image90.wmf"/><Relationship Id="rId101" Type="http://schemas.openxmlformats.org/officeDocument/2006/relationships/image" Target="media/image89.wmf"/><Relationship Id="rId100" Type="http://schemas.openxmlformats.org/officeDocument/2006/relationships/image" Target="media/image8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248</Pages>
  <Words>6846</Words>
  <Characters>7342</Characters>
  <Lines>0</Lines>
  <Paragraphs>0</Paragraphs>
  <TotalTime>138</TotalTime>
  <ScaleCrop>false</ScaleCrop>
  <LinksUpToDate>false</LinksUpToDate>
  <CharactersWithSpaces>7447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2023-05-11T10:51:00Z</dcterms:created>
  <dc:creator>Administrator</dc:creator>
  <cp:lastModifiedBy>Six</cp:lastModifiedBy>
  <cp:lastPrinted>2025-04-08T02:20:00Z</cp:lastPrinted>
  <dcterms:modified xsi:type="dcterms:W3CDTF">2025-04-09T04:07:33Z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270696F82CA84AE8969C395A1B150DB6_12</vt:lpwstr>
  </property>
  <property fmtid="{D5CDD505-2E9C-101B-9397-08002B2CF9AE}" pid="4" name="KSOTemplateDocerSaveRecord">
    <vt:lpwstr>eyJoZGlkIjoiN2FlNmIzZDRhMzRhMzRlZjM2NDAxYjA3OTJiNmEzMjgiLCJ1c2VySWQiOiIzMTQwMzM0NjMifQ==</vt:lpwstr>
  </property>
</Properties>
</file>